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>This policy defines how Acme grants, reviews, and removes access to production systems and company data.</w:t>
      </w:r>
    </w:p>
    <w:p>
      <w:r>
        <w:t>It applies to all employees, contractors, and service accounts.</w:t>
      </w:r>
    </w:p>
    <w:p>
      <w:pPr>
        <w:pStyle w:val="Heading1"/>
      </w:pPr>
      <w:r>
        <w:t>Multi-factor Authentication</w:t>
      </w:r>
    </w:p>
    <w:p>
      <w:r>
        <w:t>MFA is required on all production accounts, including administrator and break-glass accounts.</w:t>
      </w:r>
    </w:p>
    <w:p>
      <w:r>
        <w:t>Hardware security keys are required for members of the infrastructure team.</w:t>
      </w:r>
    </w:p>
    <w:p>
      <w:pPr>
        <w:pStyle w:val="Heading1"/>
      </w:pPr>
      <w:r>
        <w:t>Access Reviews</w:t>
      </w:r>
    </w:p>
    <w:p>
      <w:r>
        <w:t>Access to production systems is reviewed every quarter by the system owner.</w:t>
      </w:r>
    </w:p>
    <w:p>
      <w:r>
        <w:t>Accounts of departed staff are disabled within one business day of their last working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