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5AC00" w14:textId="11DBD13A" w:rsidR="00BF6073" w:rsidRPr="00C471BD" w:rsidRDefault="00BF6073" w:rsidP="00C471BD">
      <w:pPr>
        <w:pStyle w:val="ListParagraph"/>
        <w:spacing w:before="400" w:after="120" w:line="240" w:lineRule="auto"/>
        <w:jc w:val="center"/>
        <w:outlineLvl w:val="0"/>
        <w:rPr>
          <w:rFonts w:ascii="Montserrat" w:eastAsia="Times New Roman" w:hAnsi="Montserrat" w:cs="Times New Roman"/>
          <w:b/>
          <w:bCs/>
          <w:color w:val="3C78D8"/>
          <w:kern w:val="36"/>
          <w:sz w:val="52"/>
          <w:szCs w:val="52"/>
          <w:u w:val="single" w:color="404040" w:themeColor="text1" w:themeTint="BF"/>
        </w:rPr>
      </w:pPr>
      <w:r w:rsidRPr="00C471BD">
        <w:rPr>
          <w:rFonts w:ascii="Montserrat" w:eastAsia="Times New Roman" w:hAnsi="Montserrat" w:cs="Times New Roman"/>
          <w:b/>
          <w:bCs/>
          <w:color w:val="3C78D8"/>
          <w:kern w:val="36"/>
          <w:sz w:val="52"/>
          <w:szCs w:val="52"/>
          <w:u w:val="single" w:color="404040" w:themeColor="text1" w:themeTint="BF"/>
        </w:rPr>
        <w:t xml:space="preserve">Business </w:t>
      </w:r>
      <w:r w:rsidR="00C471BD" w:rsidRPr="00C471BD">
        <w:rPr>
          <w:rFonts w:ascii="Montserrat" w:eastAsia="Times New Roman" w:hAnsi="Montserrat" w:cs="Times New Roman"/>
          <w:b/>
          <w:bCs/>
          <w:color w:val="3C78D8"/>
          <w:kern w:val="36"/>
          <w:sz w:val="52"/>
          <w:szCs w:val="52"/>
          <w:u w:val="single" w:color="404040" w:themeColor="text1" w:themeTint="BF"/>
        </w:rPr>
        <w:t>P</w:t>
      </w:r>
      <w:r w:rsidRPr="00C471BD">
        <w:rPr>
          <w:rFonts w:ascii="Montserrat" w:eastAsia="Times New Roman" w:hAnsi="Montserrat" w:cs="Times New Roman"/>
          <w:b/>
          <w:bCs/>
          <w:color w:val="3C78D8"/>
          <w:kern w:val="36"/>
          <w:sz w:val="52"/>
          <w:szCs w:val="52"/>
          <w:u w:val="single" w:color="404040" w:themeColor="text1" w:themeTint="BF"/>
        </w:rPr>
        <w:t>roblem</w:t>
      </w:r>
    </w:p>
    <w:p w14:paraId="4422FC56" w14:textId="77777777" w:rsidR="00BF6073" w:rsidRPr="00BF6073" w:rsidRDefault="00BF6073" w:rsidP="00BF6073">
      <w:pPr>
        <w:spacing w:after="0" w:line="240" w:lineRule="auto"/>
        <w:rPr>
          <w:rFonts w:ascii="Times New Roman" w:eastAsia="Times New Roman" w:hAnsi="Times New Roman" w:cs="Times New Roman"/>
          <w:sz w:val="24"/>
          <w:szCs w:val="24"/>
        </w:rPr>
      </w:pPr>
      <w:r w:rsidRPr="00BF6073">
        <w:rPr>
          <w:rFonts w:ascii="Arial" w:eastAsia="Times New Roman" w:hAnsi="Arial" w:cs="Arial"/>
          <w:color w:val="000000"/>
        </w:rPr>
        <w:t>The bank faces significant financial risk from loan defaults (borrowers not repaying).</w:t>
      </w:r>
    </w:p>
    <w:p w14:paraId="0D375825" w14:textId="77777777" w:rsidR="00BF6073" w:rsidRPr="00BF6073" w:rsidRDefault="00BF6073" w:rsidP="00BF6073">
      <w:pPr>
        <w:spacing w:after="0" w:line="240" w:lineRule="auto"/>
        <w:rPr>
          <w:rFonts w:ascii="Times New Roman" w:eastAsia="Times New Roman" w:hAnsi="Times New Roman" w:cs="Times New Roman"/>
          <w:sz w:val="24"/>
          <w:szCs w:val="24"/>
        </w:rPr>
      </w:pPr>
      <w:r w:rsidRPr="00BF6073">
        <w:rPr>
          <w:rFonts w:ascii="Arial" w:eastAsia="Times New Roman" w:hAnsi="Arial" w:cs="Arial"/>
          <w:color w:val="000000"/>
        </w:rPr>
        <w:t>Currently, 24.64% of loans default, costing the bank billions of dollars.</w:t>
      </w:r>
    </w:p>
    <w:p w14:paraId="1F3D4DC6" w14:textId="77777777" w:rsidR="00BF6073" w:rsidRPr="00BF6073" w:rsidRDefault="00BF6073" w:rsidP="00BF6073">
      <w:pPr>
        <w:spacing w:after="0" w:line="240" w:lineRule="auto"/>
        <w:rPr>
          <w:rFonts w:ascii="Times New Roman" w:eastAsia="Times New Roman" w:hAnsi="Times New Roman" w:cs="Times New Roman"/>
          <w:sz w:val="24"/>
          <w:szCs w:val="24"/>
        </w:rPr>
      </w:pPr>
      <w:r w:rsidRPr="00BF6073">
        <w:rPr>
          <w:rFonts w:ascii="Arial" w:eastAsia="Times New Roman" w:hAnsi="Arial" w:cs="Arial"/>
          <w:color w:val="000000"/>
        </w:rPr>
        <w:t>Loan lending is a core revenue-generating activity for banks, but it also exposes them to significant credit risk in the form of loan defaults. When borrowers fail to meet their repayment obligations, banks face not only direct financial losses but also increased operational and recovery costs. At the same time, excessively conservative lending decisions can restrict portfolio growth by rejecting potentially creditworthy customers.</w:t>
      </w:r>
    </w:p>
    <w:p w14:paraId="0DDD5F9A" w14:textId="77777777" w:rsidR="00BF6073" w:rsidRPr="00BF6073" w:rsidRDefault="00BF6073" w:rsidP="00BF6073">
      <w:pPr>
        <w:spacing w:after="0" w:line="240" w:lineRule="auto"/>
        <w:rPr>
          <w:rFonts w:ascii="Times New Roman" w:eastAsia="Times New Roman" w:hAnsi="Times New Roman" w:cs="Times New Roman"/>
          <w:sz w:val="24"/>
          <w:szCs w:val="24"/>
        </w:rPr>
      </w:pPr>
    </w:p>
    <w:p w14:paraId="00A9530B" w14:textId="77777777" w:rsidR="00BF6073" w:rsidRPr="00BF6073" w:rsidRDefault="00BF6073" w:rsidP="00BF6073">
      <w:pPr>
        <w:spacing w:after="0" w:line="240" w:lineRule="auto"/>
        <w:rPr>
          <w:rFonts w:ascii="Times New Roman" w:eastAsia="Times New Roman" w:hAnsi="Times New Roman" w:cs="Times New Roman"/>
          <w:sz w:val="24"/>
          <w:szCs w:val="24"/>
        </w:rPr>
      </w:pPr>
      <w:r w:rsidRPr="00BF6073">
        <w:rPr>
          <w:rFonts w:ascii="Arial" w:eastAsia="Times New Roman" w:hAnsi="Arial" w:cs="Arial"/>
          <w:color w:val="000000"/>
        </w:rPr>
        <w:t>The bank currently lacks a comprehensive, data-driven view of default risk drivers across its loan portfolio. There is limited clarity on how borrower characteristics (such as credit score, debt burden, and demographic factors), loan attributes (such as loan amount, loan purpose, term, and loan-to-value ratio), and approval practices (including advance approvals and application channels) collectively influence loan default behavior.</w:t>
      </w:r>
    </w:p>
    <w:p w14:paraId="7AE37408" w14:textId="77777777" w:rsidR="00BF6073" w:rsidRPr="00BF6073" w:rsidRDefault="00BF6073" w:rsidP="00BF6073">
      <w:pPr>
        <w:spacing w:after="0" w:line="240" w:lineRule="auto"/>
        <w:rPr>
          <w:rFonts w:ascii="Times New Roman" w:eastAsia="Times New Roman" w:hAnsi="Times New Roman" w:cs="Times New Roman"/>
          <w:sz w:val="24"/>
          <w:szCs w:val="24"/>
        </w:rPr>
      </w:pPr>
    </w:p>
    <w:p w14:paraId="02E7491A" w14:textId="77777777" w:rsidR="00BF6073" w:rsidRPr="00BF6073" w:rsidRDefault="00BF6073" w:rsidP="00BF6073">
      <w:pPr>
        <w:spacing w:after="0" w:line="240" w:lineRule="auto"/>
        <w:rPr>
          <w:rFonts w:ascii="Times New Roman" w:eastAsia="Times New Roman" w:hAnsi="Times New Roman" w:cs="Times New Roman"/>
          <w:sz w:val="24"/>
          <w:szCs w:val="24"/>
        </w:rPr>
      </w:pPr>
      <w:r w:rsidRPr="00BF6073">
        <w:rPr>
          <w:rFonts w:ascii="Arial" w:eastAsia="Times New Roman" w:hAnsi="Arial" w:cs="Arial"/>
          <w:color w:val="000000"/>
        </w:rPr>
        <w:t>Additionally, the absence of risk-based customer segmentation prevents the bank from applying differentiated lending strategies. Treating all customers uniformly limits the bank’s ability to identify low-risk, high-value customers for growth opportunities while proactively managing high-risk segments that contribute disproportionately to defaults.</w:t>
      </w:r>
    </w:p>
    <w:p w14:paraId="7DEC2290" w14:textId="77777777" w:rsidR="00BF6073" w:rsidRPr="00BF6073" w:rsidRDefault="00BF6073" w:rsidP="00BF6073">
      <w:pPr>
        <w:spacing w:after="0" w:line="240" w:lineRule="auto"/>
        <w:rPr>
          <w:rFonts w:ascii="Times New Roman" w:eastAsia="Times New Roman" w:hAnsi="Times New Roman" w:cs="Times New Roman"/>
          <w:sz w:val="24"/>
          <w:szCs w:val="24"/>
        </w:rPr>
      </w:pPr>
    </w:p>
    <w:p w14:paraId="66F6F063" w14:textId="77777777" w:rsidR="00BF6073" w:rsidRPr="00BF6073" w:rsidRDefault="00BF6073" w:rsidP="00BF6073">
      <w:pPr>
        <w:spacing w:after="0" w:line="240" w:lineRule="auto"/>
        <w:rPr>
          <w:rFonts w:ascii="Times New Roman" w:eastAsia="Times New Roman" w:hAnsi="Times New Roman" w:cs="Times New Roman"/>
          <w:sz w:val="24"/>
          <w:szCs w:val="24"/>
        </w:rPr>
      </w:pPr>
      <w:r w:rsidRPr="00BF6073">
        <w:rPr>
          <w:rFonts w:ascii="Arial" w:eastAsia="Times New Roman" w:hAnsi="Arial" w:cs="Arial"/>
          <w:color w:val="000000"/>
        </w:rPr>
        <w:t>This project aims to analyze historical loan application data to:</w:t>
      </w:r>
    </w:p>
    <w:p w14:paraId="2A710379" w14:textId="77777777" w:rsidR="00BF6073" w:rsidRPr="00BF6073" w:rsidRDefault="00BF6073" w:rsidP="00BF6073">
      <w:pPr>
        <w:spacing w:after="0" w:line="240" w:lineRule="auto"/>
        <w:rPr>
          <w:rFonts w:ascii="Times New Roman" w:eastAsia="Times New Roman" w:hAnsi="Times New Roman" w:cs="Times New Roman"/>
          <w:sz w:val="24"/>
          <w:szCs w:val="24"/>
        </w:rPr>
      </w:pPr>
    </w:p>
    <w:p w14:paraId="4C9EF5F3" w14:textId="77777777" w:rsidR="00BF6073" w:rsidRPr="00BF6073" w:rsidRDefault="00BF6073" w:rsidP="00BF6073">
      <w:pPr>
        <w:spacing w:after="0" w:line="240" w:lineRule="auto"/>
        <w:rPr>
          <w:rFonts w:ascii="Times New Roman" w:eastAsia="Times New Roman" w:hAnsi="Times New Roman" w:cs="Times New Roman"/>
          <w:sz w:val="24"/>
          <w:szCs w:val="24"/>
        </w:rPr>
      </w:pPr>
      <w:r w:rsidRPr="00BF6073">
        <w:rPr>
          <w:rFonts w:ascii="Arial" w:eastAsia="Times New Roman" w:hAnsi="Arial" w:cs="Arial"/>
          <w:color w:val="000000"/>
        </w:rPr>
        <w:t>* Identify key patterns and trends associated with loan default risk</w:t>
      </w:r>
    </w:p>
    <w:p w14:paraId="094E3F93" w14:textId="77777777" w:rsidR="00BF6073" w:rsidRPr="00BF6073" w:rsidRDefault="00BF6073" w:rsidP="00BF6073">
      <w:pPr>
        <w:spacing w:after="0" w:line="240" w:lineRule="auto"/>
        <w:rPr>
          <w:rFonts w:ascii="Times New Roman" w:eastAsia="Times New Roman" w:hAnsi="Times New Roman" w:cs="Times New Roman"/>
          <w:sz w:val="24"/>
          <w:szCs w:val="24"/>
        </w:rPr>
      </w:pPr>
    </w:p>
    <w:p w14:paraId="19E9AB25" w14:textId="77777777" w:rsidR="00BF6073" w:rsidRPr="00BF6073" w:rsidRDefault="00BF6073" w:rsidP="00BF6073">
      <w:pPr>
        <w:spacing w:after="0" w:line="240" w:lineRule="auto"/>
        <w:rPr>
          <w:rFonts w:ascii="Times New Roman" w:eastAsia="Times New Roman" w:hAnsi="Times New Roman" w:cs="Times New Roman"/>
          <w:sz w:val="24"/>
          <w:szCs w:val="24"/>
        </w:rPr>
      </w:pPr>
      <w:r w:rsidRPr="00BF6073">
        <w:rPr>
          <w:rFonts w:ascii="Arial" w:eastAsia="Times New Roman" w:hAnsi="Arial" w:cs="Arial"/>
          <w:color w:val="000000"/>
        </w:rPr>
        <w:t>* Evaluate the effectiveness of existing loan approval and screening processes</w:t>
      </w:r>
    </w:p>
    <w:p w14:paraId="34575B85" w14:textId="77777777" w:rsidR="00BF6073" w:rsidRPr="00BF6073" w:rsidRDefault="00BF6073" w:rsidP="00BF6073">
      <w:pPr>
        <w:spacing w:after="0" w:line="240" w:lineRule="auto"/>
        <w:rPr>
          <w:rFonts w:ascii="Times New Roman" w:eastAsia="Times New Roman" w:hAnsi="Times New Roman" w:cs="Times New Roman"/>
          <w:sz w:val="24"/>
          <w:szCs w:val="24"/>
        </w:rPr>
      </w:pPr>
    </w:p>
    <w:p w14:paraId="165ED62F" w14:textId="77777777" w:rsidR="00BF6073" w:rsidRPr="00BF6073" w:rsidRDefault="00BF6073" w:rsidP="00BF6073">
      <w:pPr>
        <w:spacing w:after="0" w:line="240" w:lineRule="auto"/>
        <w:rPr>
          <w:rFonts w:ascii="Times New Roman" w:eastAsia="Times New Roman" w:hAnsi="Times New Roman" w:cs="Times New Roman"/>
          <w:sz w:val="24"/>
          <w:szCs w:val="24"/>
        </w:rPr>
      </w:pPr>
      <w:r w:rsidRPr="00BF6073">
        <w:rPr>
          <w:rFonts w:ascii="Arial" w:eastAsia="Times New Roman" w:hAnsi="Arial" w:cs="Arial"/>
          <w:color w:val="000000"/>
        </w:rPr>
        <w:t xml:space="preserve">* Segment customers into distinct risk categories </w:t>
      </w:r>
      <w:r w:rsidRPr="00BF6073">
        <w:rPr>
          <w:rFonts w:ascii="Arial" w:eastAsia="Times New Roman" w:hAnsi="Arial" w:cs="Arial"/>
        </w:rPr>
        <w:t>based</w:t>
      </w:r>
      <w:r w:rsidRPr="00BF6073">
        <w:rPr>
          <w:rFonts w:ascii="Arial" w:eastAsia="Times New Roman" w:hAnsi="Arial" w:cs="Arial"/>
          <w:color w:val="000000"/>
        </w:rPr>
        <w:t xml:space="preserve"> on their financial and loan characteristics</w:t>
      </w:r>
    </w:p>
    <w:p w14:paraId="4F4B8CE2" w14:textId="77777777" w:rsidR="00BF6073" w:rsidRPr="00BF6073" w:rsidRDefault="00BF6073" w:rsidP="00BF6073">
      <w:pPr>
        <w:spacing w:after="0" w:line="240" w:lineRule="auto"/>
        <w:rPr>
          <w:rFonts w:ascii="Times New Roman" w:eastAsia="Times New Roman" w:hAnsi="Times New Roman" w:cs="Times New Roman"/>
          <w:sz w:val="24"/>
          <w:szCs w:val="24"/>
        </w:rPr>
      </w:pPr>
    </w:p>
    <w:p w14:paraId="2068A2B4" w14:textId="48B04591" w:rsidR="00BF6073" w:rsidRDefault="00BF6073" w:rsidP="00BF6073">
      <w:pPr>
        <w:spacing w:after="0" w:line="240" w:lineRule="auto"/>
        <w:rPr>
          <w:rFonts w:ascii="Arial" w:eastAsia="Times New Roman" w:hAnsi="Arial" w:cs="Arial"/>
          <w:color w:val="000000"/>
        </w:rPr>
      </w:pPr>
      <w:r w:rsidRPr="00BF6073">
        <w:rPr>
          <w:rFonts w:ascii="Arial" w:eastAsia="Times New Roman" w:hAnsi="Arial" w:cs="Arial"/>
          <w:color w:val="000000"/>
        </w:rPr>
        <w:t>The ultimate objective is to generate actionable, insight-driven recommendations that support safer lending decisions, improved credit risk management, optimized loan portfolio quality, and sustainable business growth.</w:t>
      </w:r>
    </w:p>
    <w:p w14:paraId="2D69A2D2" w14:textId="48980F48" w:rsidR="00BF6073" w:rsidRDefault="00BF6073" w:rsidP="00BF6073">
      <w:pPr>
        <w:spacing w:after="0" w:line="240" w:lineRule="auto"/>
        <w:rPr>
          <w:rFonts w:ascii="Arial" w:eastAsia="Times New Roman" w:hAnsi="Arial" w:cs="Arial"/>
          <w:color w:val="000000"/>
        </w:rPr>
      </w:pPr>
    </w:p>
    <w:p w14:paraId="2DBDC504" w14:textId="77777777" w:rsidR="00BF6073" w:rsidRPr="00BF6073" w:rsidRDefault="00BF6073" w:rsidP="00BF6073">
      <w:pPr>
        <w:pStyle w:val="Heading2"/>
        <w:rPr>
          <w:b/>
          <w:bCs/>
          <w:sz w:val="32"/>
          <w:szCs w:val="32"/>
        </w:rPr>
      </w:pPr>
      <w:r w:rsidRPr="00BF6073">
        <w:rPr>
          <w:b/>
          <w:bCs/>
          <w:sz w:val="32"/>
          <w:szCs w:val="32"/>
        </w:rPr>
        <w:t>Project Objective</w:t>
      </w:r>
    </w:p>
    <w:p w14:paraId="643BF5C1" w14:textId="5944DBB2" w:rsidR="00BF6073" w:rsidRDefault="00BF6073" w:rsidP="00BF6073">
      <w:pPr>
        <w:pStyle w:val="font-claude-response-body"/>
      </w:pPr>
      <w:r>
        <w:t>Analyze historical loan data to identify patterns and factors that increase default probability, then provide actionable recommendations to reduce defaults and improve profitability.</w:t>
      </w:r>
    </w:p>
    <w:p w14:paraId="0FD68637" w14:textId="6F7C2DB6" w:rsidR="001C5AF1" w:rsidRPr="001C5AF1" w:rsidRDefault="001C5AF1" w:rsidP="00AD3D49">
      <w:pPr>
        <w:pStyle w:val="Heading1"/>
        <w:numPr>
          <w:ilvl w:val="0"/>
          <w:numId w:val="6"/>
        </w:numPr>
        <w:rPr>
          <w:sz w:val="32"/>
          <w:szCs w:val="32"/>
        </w:rPr>
      </w:pPr>
      <w:r w:rsidRPr="001C5AF1">
        <w:rPr>
          <w:sz w:val="32"/>
          <w:szCs w:val="32"/>
        </w:rPr>
        <w:t>DATASET OVERVIEW</w:t>
      </w:r>
    </w:p>
    <w:p w14:paraId="33E7A0CE" w14:textId="77777777" w:rsidR="001C5AF1" w:rsidRDefault="001C5AF1" w:rsidP="001C5AF1">
      <w:pPr>
        <w:pStyle w:val="font-claude-response-body"/>
      </w:pPr>
      <w:r>
        <w:rPr>
          <w:rStyle w:val="Strong"/>
        </w:rPr>
        <w:t>Data Source</w:t>
      </w:r>
      <w:r>
        <w:t>: Historical bank loan records</w:t>
      </w:r>
      <w:r>
        <w:br/>
      </w:r>
      <w:proofErr w:type="spellStart"/>
      <w:r>
        <w:rPr>
          <w:rStyle w:val="Strong"/>
        </w:rPr>
        <w:t>Records</w:t>
      </w:r>
      <w:proofErr w:type="spellEnd"/>
      <w:r>
        <w:t>: 148,670 individual loans</w:t>
      </w:r>
      <w:r>
        <w:br/>
      </w:r>
      <w:r>
        <w:rPr>
          <w:rStyle w:val="Strong"/>
        </w:rPr>
        <w:t>Features</w:t>
      </w:r>
      <w:r>
        <w:t>: 34 variables covering borrower information, loan details, and repayment status</w:t>
      </w:r>
    </w:p>
    <w:p w14:paraId="5810DAD9" w14:textId="77777777" w:rsidR="001C5AF1" w:rsidRDefault="001C5AF1" w:rsidP="001C5AF1">
      <w:pPr>
        <w:pStyle w:val="Heading2"/>
      </w:pPr>
      <w:r>
        <w:lastRenderedPageBreak/>
        <w:t>Key Variables Analyzed</w:t>
      </w:r>
    </w:p>
    <w:p w14:paraId="19A892C6" w14:textId="77777777" w:rsidR="001C5AF1" w:rsidRDefault="001C5AF1" w:rsidP="001C5AF1">
      <w:pPr>
        <w:pStyle w:val="font-claude-response-body"/>
      </w:pPr>
      <w:r>
        <w:rPr>
          <w:rStyle w:val="Strong"/>
        </w:rPr>
        <w:t>Borrower Information</w:t>
      </w:r>
      <w:r>
        <w:t>:</w:t>
      </w:r>
    </w:p>
    <w:p w14:paraId="73136488" w14:textId="77777777" w:rsidR="001C5AF1" w:rsidRDefault="001C5AF1" w:rsidP="001C5AF1">
      <w:pPr>
        <w:pStyle w:val="whitespace-normal"/>
        <w:numPr>
          <w:ilvl w:val="0"/>
          <w:numId w:val="1"/>
        </w:numPr>
      </w:pPr>
      <w:r>
        <w:t>Income (monthly earnings)</w:t>
      </w:r>
    </w:p>
    <w:p w14:paraId="4A04B4DC" w14:textId="77777777" w:rsidR="001C5AF1" w:rsidRDefault="001C5AF1" w:rsidP="001C5AF1">
      <w:pPr>
        <w:pStyle w:val="whitespace-normal"/>
        <w:numPr>
          <w:ilvl w:val="0"/>
          <w:numId w:val="1"/>
        </w:numPr>
      </w:pPr>
      <w:r>
        <w:t>Credit Score (300-850 range)</w:t>
      </w:r>
    </w:p>
    <w:p w14:paraId="319B34B7" w14:textId="77777777" w:rsidR="001C5AF1" w:rsidRDefault="001C5AF1" w:rsidP="001C5AF1">
      <w:pPr>
        <w:pStyle w:val="whitespace-normal"/>
        <w:numPr>
          <w:ilvl w:val="0"/>
          <w:numId w:val="1"/>
        </w:numPr>
      </w:pPr>
      <w:r>
        <w:t>Age bracket</w:t>
      </w:r>
    </w:p>
    <w:p w14:paraId="2A420D53" w14:textId="77777777" w:rsidR="001C5AF1" w:rsidRDefault="001C5AF1" w:rsidP="001C5AF1">
      <w:pPr>
        <w:pStyle w:val="whitespace-normal"/>
        <w:numPr>
          <w:ilvl w:val="0"/>
          <w:numId w:val="1"/>
        </w:numPr>
      </w:pPr>
      <w:r>
        <w:t>Geographic region</w:t>
      </w:r>
    </w:p>
    <w:p w14:paraId="4305EF83" w14:textId="77777777" w:rsidR="001C5AF1" w:rsidRDefault="001C5AF1" w:rsidP="001C5AF1">
      <w:pPr>
        <w:pStyle w:val="font-claude-response-body"/>
      </w:pPr>
      <w:r>
        <w:rPr>
          <w:rStyle w:val="Strong"/>
        </w:rPr>
        <w:t>Loan Characteristics</w:t>
      </w:r>
      <w:r>
        <w:t>:</w:t>
      </w:r>
    </w:p>
    <w:p w14:paraId="55C23D92" w14:textId="77777777" w:rsidR="001C5AF1" w:rsidRDefault="001C5AF1" w:rsidP="001C5AF1">
      <w:pPr>
        <w:pStyle w:val="whitespace-normal"/>
        <w:numPr>
          <w:ilvl w:val="0"/>
          <w:numId w:val="2"/>
        </w:numPr>
      </w:pPr>
      <w:r>
        <w:t>Loan Amount (principal borrowed)</w:t>
      </w:r>
    </w:p>
    <w:p w14:paraId="17C0E0BC" w14:textId="77777777" w:rsidR="001C5AF1" w:rsidRDefault="001C5AF1" w:rsidP="001C5AF1">
      <w:pPr>
        <w:pStyle w:val="whitespace-normal"/>
        <w:numPr>
          <w:ilvl w:val="0"/>
          <w:numId w:val="2"/>
        </w:numPr>
      </w:pPr>
      <w:r>
        <w:t>Loan Type (type1, type2, type3 products)</w:t>
      </w:r>
    </w:p>
    <w:p w14:paraId="5D7A45D7" w14:textId="77777777" w:rsidR="001C5AF1" w:rsidRDefault="001C5AF1" w:rsidP="001C5AF1">
      <w:pPr>
        <w:pStyle w:val="whitespace-normal"/>
        <w:numPr>
          <w:ilvl w:val="0"/>
          <w:numId w:val="2"/>
        </w:numPr>
      </w:pPr>
      <w:r>
        <w:t>Loan Purpose (what the money is for)</w:t>
      </w:r>
    </w:p>
    <w:p w14:paraId="36D63621" w14:textId="77777777" w:rsidR="001C5AF1" w:rsidRDefault="001C5AF1" w:rsidP="001C5AF1">
      <w:pPr>
        <w:pStyle w:val="whitespace-normal"/>
        <w:numPr>
          <w:ilvl w:val="0"/>
          <w:numId w:val="2"/>
        </w:numPr>
      </w:pPr>
      <w:r>
        <w:t>Interest Rate</w:t>
      </w:r>
    </w:p>
    <w:p w14:paraId="52E74E7A" w14:textId="77777777" w:rsidR="001C5AF1" w:rsidRDefault="001C5AF1" w:rsidP="001C5AF1">
      <w:pPr>
        <w:pStyle w:val="whitespace-normal"/>
        <w:numPr>
          <w:ilvl w:val="0"/>
          <w:numId w:val="2"/>
        </w:numPr>
      </w:pPr>
      <w:r>
        <w:t>Loan Term</w:t>
      </w:r>
    </w:p>
    <w:p w14:paraId="0EBA8AE5" w14:textId="77777777" w:rsidR="001C5AF1" w:rsidRDefault="001C5AF1" w:rsidP="001C5AF1">
      <w:pPr>
        <w:pStyle w:val="font-claude-response-body"/>
      </w:pPr>
      <w:r>
        <w:rPr>
          <w:rStyle w:val="Strong"/>
        </w:rPr>
        <w:t>Risk Metrics</w:t>
      </w:r>
      <w:r>
        <w:t>:</w:t>
      </w:r>
    </w:p>
    <w:p w14:paraId="256F2E3D" w14:textId="77777777" w:rsidR="001C5AF1" w:rsidRDefault="001C5AF1" w:rsidP="001C5AF1">
      <w:pPr>
        <w:pStyle w:val="whitespace-normal"/>
        <w:numPr>
          <w:ilvl w:val="0"/>
          <w:numId w:val="3"/>
        </w:numPr>
      </w:pPr>
      <w:r>
        <w:t>LTV (Loan-to-Value ratio) - how much borrowed vs. property value</w:t>
      </w:r>
    </w:p>
    <w:p w14:paraId="354D92BB" w14:textId="77777777" w:rsidR="001C5AF1" w:rsidRDefault="001C5AF1" w:rsidP="001C5AF1">
      <w:pPr>
        <w:pStyle w:val="whitespace-normal"/>
        <w:numPr>
          <w:ilvl w:val="0"/>
          <w:numId w:val="3"/>
        </w:numPr>
      </w:pPr>
      <w:r>
        <w:t>DTIR (Debt-to-Income ratio) - monthly debt vs. monthly income</w:t>
      </w:r>
    </w:p>
    <w:p w14:paraId="7C02EF17" w14:textId="77777777" w:rsidR="001C5AF1" w:rsidRDefault="001C5AF1" w:rsidP="001C5AF1">
      <w:pPr>
        <w:pStyle w:val="whitespace-normal"/>
        <w:numPr>
          <w:ilvl w:val="0"/>
          <w:numId w:val="3"/>
        </w:numPr>
      </w:pPr>
      <w:r>
        <w:t>Pre-Approval status (screened in advance vs. standard process)</w:t>
      </w:r>
    </w:p>
    <w:p w14:paraId="179B396C" w14:textId="77777777" w:rsidR="001C5AF1" w:rsidRDefault="001C5AF1" w:rsidP="001C5AF1">
      <w:pPr>
        <w:pStyle w:val="font-claude-response-body"/>
      </w:pPr>
      <w:r>
        <w:rPr>
          <w:rStyle w:val="Strong"/>
        </w:rPr>
        <w:t>Target Variable</w:t>
      </w:r>
      <w:r>
        <w:t>:</w:t>
      </w:r>
    </w:p>
    <w:p w14:paraId="38F6A5A6" w14:textId="77777777" w:rsidR="001C5AF1" w:rsidRDefault="001C5AF1" w:rsidP="001C5AF1">
      <w:pPr>
        <w:pStyle w:val="whitespace-normal"/>
        <w:numPr>
          <w:ilvl w:val="0"/>
          <w:numId w:val="4"/>
        </w:numPr>
      </w:pPr>
      <w:r>
        <w:t>Status: 0 = Repaid successfully | 1 = Defaulted (failed to repay)</w:t>
      </w:r>
    </w:p>
    <w:p w14:paraId="693D9ABB" w14:textId="77777777" w:rsidR="001C5AF1" w:rsidRDefault="001C5AF1" w:rsidP="001C5AF1">
      <w:pPr>
        <w:pStyle w:val="Heading2"/>
      </w:pPr>
      <w:r>
        <w:t>Data Quality Issues Found</w:t>
      </w:r>
    </w:p>
    <w:p w14:paraId="7B65F86F" w14:textId="77777777" w:rsidR="001C5AF1" w:rsidRDefault="001C5AF1" w:rsidP="001C5AF1">
      <w:pPr>
        <w:pStyle w:val="whitespace-normal"/>
        <w:numPr>
          <w:ilvl w:val="0"/>
          <w:numId w:val="5"/>
        </w:numPr>
      </w:pPr>
      <w:r>
        <w:rPr>
          <w:rStyle w:val="Strong"/>
        </w:rPr>
        <w:t>25%</w:t>
      </w:r>
      <w:r>
        <w:t xml:space="preserve"> of records had missing interest rate data</w:t>
      </w:r>
    </w:p>
    <w:p w14:paraId="11F8A7DF" w14:textId="77777777" w:rsidR="001C5AF1" w:rsidRDefault="001C5AF1" w:rsidP="001C5AF1">
      <w:pPr>
        <w:pStyle w:val="whitespace-normal"/>
        <w:numPr>
          <w:ilvl w:val="0"/>
          <w:numId w:val="5"/>
        </w:numPr>
      </w:pPr>
      <w:r>
        <w:rPr>
          <w:rStyle w:val="Strong"/>
        </w:rPr>
        <w:t>16%</w:t>
      </w:r>
      <w:r>
        <w:t xml:space="preserve"> missing debt-to-income ratios</w:t>
      </w:r>
    </w:p>
    <w:p w14:paraId="0B4CDF12" w14:textId="77777777" w:rsidR="001C5AF1" w:rsidRDefault="001C5AF1" w:rsidP="001C5AF1">
      <w:pPr>
        <w:pStyle w:val="whitespace-normal"/>
        <w:numPr>
          <w:ilvl w:val="0"/>
          <w:numId w:val="5"/>
        </w:numPr>
      </w:pPr>
      <w:r>
        <w:rPr>
          <w:rStyle w:val="Strong"/>
        </w:rPr>
        <w:t>10%</w:t>
      </w:r>
      <w:r>
        <w:t xml:space="preserve"> missing property values</w:t>
      </w:r>
    </w:p>
    <w:p w14:paraId="1F166CD7" w14:textId="77777777" w:rsidR="001C5AF1" w:rsidRDefault="001C5AF1" w:rsidP="001C5AF1">
      <w:pPr>
        <w:pStyle w:val="whitespace-normal"/>
        <w:numPr>
          <w:ilvl w:val="0"/>
          <w:numId w:val="5"/>
        </w:numPr>
      </w:pPr>
      <w:r>
        <w:rPr>
          <w:rStyle w:val="Strong"/>
        </w:rPr>
        <w:t>6%</w:t>
      </w:r>
      <w:r>
        <w:t xml:space="preserve"> missing income data</w:t>
      </w:r>
    </w:p>
    <w:p w14:paraId="75F8C70D" w14:textId="18534239" w:rsidR="00B50286" w:rsidRDefault="001C5AF1" w:rsidP="00D02D3F">
      <w:pPr>
        <w:pStyle w:val="font-claude-response-body"/>
      </w:pPr>
      <w:r>
        <w:rPr>
          <w:rStyle w:val="Strong"/>
        </w:rPr>
        <w:t>Solution</w:t>
      </w:r>
      <w:r>
        <w:t xml:space="preserve">: Used intelligent imputation (filling missing values based on similar loan types) and removed only impossible values (like negative income or 0% loan-to-value ratios). Final cleaned </w:t>
      </w:r>
    </w:p>
    <w:p w14:paraId="553DB828" w14:textId="77777777" w:rsidR="00673E0A" w:rsidRDefault="00673E0A" w:rsidP="00AD3D49">
      <w:pPr>
        <w:pStyle w:val="font-claude-response-body"/>
        <w:numPr>
          <w:ilvl w:val="0"/>
          <w:numId w:val="7"/>
        </w:numPr>
        <w:rPr>
          <w:color w:val="2F5496" w:themeColor="accent1" w:themeShade="BF"/>
          <w:sz w:val="32"/>
          <w:szCs w:val="32"/>
        </w:rPr>
      </w:pPr>
      <w:r w:rsidRPr="00673E0A">
        <w:rPr>
          <w:color w:val="2F5496" w:themeColor="accent1" w:themeShade="BF"/>
          <w:sz w:val="32"/>
          <w:szCs w:val="32"/>
        </w:rPr>
        <w:t>Data Cleaning and Preparation</w:t>
      </w:r>
    </w:p>
    <w:p w14:paraId="23F44D5F" w14:textId="77777777" w:rsidR="00673E0A" w:rsidRDefault="00D02D3F" w:rsidP="00D02D3F">
      <w:pPr>
        <w:pStyle w:val="font-claude-response-body"/>
        <w:rPr>
          <w:color w:val="2F5496" w:themeColor="accent1" w:themeShade="BF"/>
          <w:sz w:val="32"/>
          <w:szCs w:val="32"/>
        </w:rPr>
      </w:pPr>
      <w:r>
        <w:t>The raw dataset contained 148,670 loans with several quality issues:</w:t>
      </w:r>
    </w:p>
    <w:p w14:paraId="04E44A57" w14:textId="036DBCE5" w:rsidR="00D02D3F" w:rsidRPr="00673E0A" w:rsidRDefault="00D02D3F" w:rsidP="00D02D3F">
      <w:pPr>
        <w:pStyle w:val="font-claude-response-body"/>
        <w:rPr>
          <w:color w:val="2F5496" w:themeColor="accent1" w:themeShade="BF"/>
          <w:sz w:val="32"/>
          <w:szCs w:val="32"/>
        </w:rPr>
      </w:pPr>
      <w:r>
        <w:t>**Missing Values:**</w:t>
      </w:r>
    </w:p>
    <w:p w14:paraId="58CB9E18" w14:textId="77777777" w:rsidR="00673E0A" w:rsidRDefault="00D02D3F" w:rsidP="00D02D3F">
      <w:pPr>
        <w:pStyle w:val="font-claude-response-body"/>
      </w:pPr>
      <w:r>
        <w:t>- 25% missing interest rates</w:t>
      </w:r>
    </w:p>
    <w:p w14:paraId="5CAE21EE" w14:textId="02B0EEF3" w:rsidR="00D02D3F" w:rsidRDefault="00D02D3F" w:rsidP="00D02D3F">
      <w:pPr>
        <w:pStyle w:val="font-claude-response-body"/>
      </w:pPr>
      <w:r>
        <w:lastRenderedPageBreak/>
        <w:t xml:space="preserve">- 16% missing debt ratios  </w:t>
      </w:r>
    </w:p>
    <w:p w14:paraId="1F588DD1" w14:textId="77777777" w:rsidR="00D02D3F" w:rsidRDefault="00D02D3F" w:rsidP="00D02D3F">
      <w:pPr>
        <w:pStyle w:val="font-claude-response-body"/>
      </w:pPr>
      <w:r>
        <w:t>- 10% missing property values</w:t>
      </w:r>
    </w:p>
    <w:p w14:paraId="2345430D" w14:textId="77777777" w:rsidR="00D02D3F" w:rsidRDefault="00D02D3F" w:rsidP="00D02D3F">
      <w:pPr>
        <w:pStyle w:val="font-claude-response-body"/>
      </w:pPr>
      <w:r>
        <w:t>- 6% missing income data</w:t>
      </w:r>
    </w:p>
    <w:p w14:paraId="3329FF13" w14:textId="77777777" w:rsidR="00D02D3F" w:rsidRDefault="00D02D3F" w:rsidP="00D02D3F">
      <w:pPr>
        <w:pStyle w:val="font-claude-response-body"/>
      </w:pPr>
    </w:p>
    <w:p w14:paraId="6D2B3BF7" w14:textId="77777777" w:rsidR="00D02D3F" w:rsidRDefault="00D02D3F" w:rsidP="00D02D3F">
      <w:pPr>
        <w:pStyle w:val="font-claude-response-body"/>
      </w:pPr>
      <w:r>
        <w:t>**Approach:**</w:t>
      </w:r>
    </w:p>
    <w:p w14:paraId="2EA8582F" w14:textId="77777777" w:rsidR="00D02D3F" w:rsidRDefault="00D02D3F" w:rsidP="00D02D3F">
      <w:pPr>
        <w:pStyle w:val="font-claude-response-body"/>
      </w:pPr>
      <w:r>
        <w:t xml:space="preserve">I filled missing values using **group-based medians** (e.g., Type1 </w:t>
      </w:r>
    </w:p>
    <w:p w14:paraId="0B4BDAD2" w14:textId="77777777" w:rsidR="00D02D3F" w:rsidRDefault="00D02D3F" w:rsidP="00D02D3F">
      <w:pPr>
        <w:pStyle w:val="font-claude-response-body"/>
      </w:pPr>
      <w:r>
        <w:t xml:space="preserve">loans filled with Type1 averages) to preserve patterns. </w:t>
      </w:r>
    </w:p>
    <w:p w14:paraId="0B602DAA" w14:textId="77777777" w:rsidR="00D02D3F" w:rsidRDefault="00D02D3F" w:rsidP="00D02D3F">
      <w:pPr>
        <w:pStyle w:val="font-claude-response-body"/>
      </w:pPr>
      <w:r>
        <w:t>**Outlier Removal:**</w:t>
      </w:r>
    </w:p>
    <w:p w14:paraId="03C49692" w14:textId="77777777" w:rsidR="00D02D3F" w:rsidRDefault="00D02D3F" w:rsidP="00D02D3F">
      <w:pPr>
        <w:pStyle w:val="font-claude-response-body"/>
      </w:pPr>
      <w:r>
        <w:t>Removed 20,325 records (13.7%) with impossible values:</w:t>
      </w:r>
    </w:p>
    <w:p w14:paraId="27D12147" w14:textId="77777777" w:rsidR="00D02D3F" w:rsidRDefault="00D02D3F" w:rsidP="00D02D3F">
      <w:pPr>
        <w:pStyle w:val="font-claude-response-body"/>
      </w:pPr>
      <w:r>
        <w:t>- Zero or negative income</w:t>
      </w:r>
    </w:p>
    <w:p w14:paraId="1CF66A26" w14:textId="77777777" w:rsidR="00D02D3F" w:rsidRDefault="00D02D3F" w:rsidP="00D02D3F">
      <w:pPr>
        <w:pStyle w:val="font-claude-response-body"/>
      </w:pPr>
      <w:r>
        <w:t>- Credit scores below 300 (FICO minimum)</w:t>
      </w:r>
    </w:p>
    <w:p w14:paraId="345306FA" w14:textId="77777777" w:rsidR="00D02D3F" w:rsidRDefault="00D02D3F" w:rsidP="00D02D3F">
      <w:pPr>
        <w:pStyle w:val="font-claude-response-body"/>
      </w:pPr>
      <w:r>
        <w:t>- Loan-to-value ratios over 300%</w:t>
      </w:r>
    </w:p>
    <w:p w14:paraId="4CBD4428" w14:textId="77777777" w:rsidR="00D02D3F" w:rsidRDefault="00D02D3F" w:rsidP="00D02D3F">
      <w:pPr>
        <w:pStyle w:val="font-claude-response-body"/>
      </w:pPr>
      <w:r>
        <w:t>**Validation:**</w:t>
      </w:r>
    </w:p>
    <w:p w14:paraId="13EC85C8" w14:textId="77777777" w:rsidR="00D02D3F" w:rsidRDefault="00D02D3F" w:rsidP="00D02D3F">
      <w:pPr>
        <w:pStyle w:val="font-claude-response-body"/>
      </w:pPr>
      <w:r>
        <w:t xml:space="preserve">Confirmed that cleaning preserved key patterns—Type2 loans remained </w:t>
      </w:r>
    </w:p>
    <w:p w14:paraId="3C3E9AA6" w14:textId="77777777" w:rsidR="00673E0A" w:rsidRDefault="00D02D3F" w:rsidP="00D02D3F">
      <w:pPr>
        <w:pStyle w:val="font-claude-response-body"/>
      </w:pPr>
      <w:r>
        <w:t>the riskiest product before and after cleaning.</w:t>
      </w:r>
    </w:p>
    <w:p w14:paraId="4D20563B" w14:textId="48BFAB9E" w:rsidR="00D02D3F" w:rsidRDefault="00D02D3F" w:rsidP="00D02D3F">
      <w:pPr>
        <w:pStyle w:val="font-claude-response-body"/>
      </w:pPr>
      <w:r>
        <w:t>**Final Dataset:** 128,345 clean records ready for analysis.</w:t>
      </w:r>
    </w:p>
    <w:p w14:paraId="7C27BA04" w14:textId="1B1821B1" w:rsidR="00673E0A" w:rsidRPr="00D60A9B" w:rsidRDefault="00673E0A" w:rsidP="00D60A9B">
      <w:pPr>
        <w:pStyle w:val="font-claude-response-body"/>
        <w:rPr>
          <w:sz w:val="32"/>
          <w:szCs w:val="32"/>
          <w:u w:val="single"/>
        </w:rPr>
      </w:pPr>
    </w:p>
    <w:p w14:paraId="53BDBA94" w14:textId="5A4FB480" w:rsidR="00673E0A" w:rsidRPr="00D60A9B" w:rsidRDefault="00673E0A" w:rsidP="00AD3D49">
      <w:pPr>
        <w:pStyle w:val="Heading2"/>
        <w:numPr>
          <w:ilvl w:val="0"/>
          <w:numId w:val="8"/>
        </w:numPr>
        <w:rPr>
          <w:sz w:val="32"/>
          <w:szCs w:val="32"/>
          <w:u w:val="single"/>
        </w:rPr>
      </w:pPr>
      <w:r w:rsidRPr="00D60A9B">
        <w:rPr>
          <w:b/>
          <w:bCs/>
          <w:sz w:val="32"/>
          <w:szCs w:val="32"/>
          <w:u w:val="single"/>
        </w:rPr>
        <w:t>Exploratory Data Analysis insights</w:t>
      </w:r>
      <w:r w:rsidRPr="00D60A9B">
        <w:rPr>
          <w:sz w:val="32"/>
          <w:szCs w:val="32"/>
          <w:u w:val="single"/>
        </w:rPr>
        <w:t xml:space="preserve"> –</w:t>
      </w:r>
    </w:p>
    <w:p w14:paraId="167D99AD" w14:textId="77777777" w:rsidR="00D60A9B" w:rsidRDefault="00D60A9B" w:rsidP="00D60A9B">
      <w:pPr>
        <w:pStyle w:val="Heading2"/>
      </w:pPr>
      <w:r>
        <w:rPr>
          <w:rStyle w:val="Strong"/>
          <w:b w:val="0"/>
          <w:bCs w:val="0"/>
        </w:rPr>
        <w:t>Overview</w:t>
      </w:r>
    </w:p>
    <w:p w14:paraId="6B7D47DC" w14:textId="0D85A6DB" w:rsidR="00D60A9B" w:rsidRDefault="00D60A9B" w:rsidP="00D60A9B">
      <w:pPr>
        <w:pStyle w:val="font-claude-response-body"/>
      </w:pPr>
      <w:r>
        <w:t>To understand loan default patterns, I performed systematic exploratory data analysis addressing key business questions. The analysis progresses from examining individual variables (univariate), to relationships between pairs of variables (bivariate), to complex interactions among multiple factors (multivariate).</w:t>
      </w:r>
    </w:p>
    <w:p w14:paraId="5F8457A3" w14:textId="77777777" w:rsidR="00D60A9B" w:rsidRPr="00D60A9B" w:rsidRDefault="00D60A9B" w:rsidP="00C471BD">
      <w:pPr>
        <w:pStyle w:val="Heading2"/>
        <w:numPr>
          <w:ilvl w:val="0"/>
          <w:numId w:val="39"/>
        </w:numPr>
        <w:rPr>
          <w:rFonts w:ascii="Times New Roman" w:hAnsi="Times New Roman" w:cs="Times New Roman"/>
          <w:sz w:val="36"/>
          <w:szCs w:val="36"/>
        </w:rPr>
      </w:pPr>
      <w:r w:rsidRPr="00D60A9B">
        <w:rPr>
          <w:rStyle w:val="Strong"/>
          <w:rFonts w:ascii="Times New Roman" w:hAnsi="Times New Roman" w:cs="Times New Roman"/>
          <w:sz w:val="36"/>
          <w:szCs w:val="36"/>
        </w:rPr>
        <w:lastRenderedPageBreak/>
        <w:t>UNIVARIATE ANALYSIS</w:t>
      </w:r>
    </w:p>
    <w:p w14:paraId="7322FFB9" w14:textId="77777777" w:rsidR="00D60A9B" w:rsidRPr="00D60A9B" w:rsidRDefault="00D60A9B" w:rsidP="00D60A9B">
      <w:pPr>
        <w:pStyle w:val="Heading3"/>
      </w:pPr>
      <w:r w:rsidRPr="00D60A9B">
        <w:rPr>
          <w:rStyle w:val="Strong"/>
        </w:rPr>
        <w:t>Business Question 1: What is the Current Default Rate?</w:t>
      </w:r>
    </w:p>
    <w:p w14:paraId="20B9518C" w14:textId="77777777" w:rsidR="00D60A9B" w:rsidRDefault="00D60A9B" w:rsidP="00D60A9B">
      <w:pPr>
        <w:pStyle w:val="font-claude-response-body"/>
      </w:pPr>
      <w:r>
        <w:rPr>
          <w:rStyle w:val="Strong"/>
          <w:rFonts w:eastAsiaTheme="majorEastAsia"/>
        </w:rPr>
        <w:t>Analysis Performed:</w:t>
      </w:r>
      <w:r>
        <w:t xml:space="preserve"> Examined the distribution of loan repayment status across the portfolio.</w:t>
      </w:r>
    </w:p>
    <w:p w14:paraId="007A2CB9" w14:textId="5D2AB4BB" w:rsidR="00D60A9B" w:rsidRDefault="00D60A9B" w:rsidP="00D60A9B">
      <w:pPr>
        <w:pStyle w:val="font-claude-response-body"/>
        <w:rPr>
          <w:rStyle w:val="Strong"/>
          <w:rFonts w:eastAsiaTheme="majorEastAsia"/>
        </w:rPr>
      </w:pPr>
      <w:r>
        <w:rPr>
          <w:rStyle w:val="Strong"/>
          <w:rFonts w:ascii="Segoe UI Emoji" w:eastAsiaTheme="majorEastAsia" w:hAnsi="Segoe UI Emoji" w:cs="Segoe UI Emoji"/>
        </w:rPr>
        <w:t>📊</w:t>
      </w:r>
      <w:r>
        <w:rPr>
          <w:rStyle w:val="Strong"/>
          <w:rFonts w:eastAsiaTheme="majorEastAsia"/>
        </w:rPr>
        <w:t xml:space="preserve"> Chart 1: Loan Status Distribution</w:t>
      </w:r>
    </w:p>
    <w:p w14:paraId="4A644FB0" w14:textId="1CD03D6D" w:rsidR="00D60A9B" w:rsidRDefault="00D60A9B" w:rsidP="00D60A9B">
      <w:pPr>
        <w:pStyle w:val="font-claude-response-body"/>
      </w:pPr>
      <w:r w:rsidRPr="00D60A9B">
        <w:rPr>
          <w:noProof/>
        </w:rPr>
        <w:drawing>
          <wp:inline distT="0" distB="0" distL="0" distR="0" wp14:anchorId="7BD12DCD" wp14:editId="699A4B11">
            <wp:extent cx="5943600" cy="3529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29330"/>
                    </a:xfrm>
                    <a:prstGeom prst="rect">
                      <a:avLst/>
                    </a:prstGeom>
                  </pic:spPr>
                </pic:pic>
              </a:graphicData>
            </a:graphic>
          </wp:inline>
        </w:drawing>
      </w:r>
    </w:p>
    <w:p w14:paraId="5EDC7808" w14:textId="77777777" w:rsidR="00D60A9B" w:rsidRDefault="00D60A9B" w:rsidP="00D60A9B">
      <w:pPr>
        <w:pStyle w:val="font-claude-response-body"/>
      </w:pPr>
      <w:r>
        <w:rPr>
          <w:rStyle w:val="Strong"/>
          <w:rFonts w:eastAsiaTheme="majorEastAsia"/>
        </w:rPr>
        <w:t>Key Findings:</w:t>
      </w:r>
    </w:p>
    <w:p w14:paraId="4AF5AEC9" w14:textId="77777777" w:rsidR="00D60A9B" w:rsidRDefault="00D60A9B" w:rsidP="00AD3D49">
      <w:pPr>
        <w:pStyle w:val="whitespace-normal"/>
        <w:numPr>
          <w:ilvl w:val="0"/>
          <w:numId w:val="9"/>
        </w:numPr>
      </w:pPr>
      <w:r>
        <w:rPr>
          <w:rStyle w:val="Strong"/>
          <w:rFonts w:eastAsiaTheme="majorEastAsia"/>
        </w:rPr>
        <w:t>Repaid loans</w:t>
      </w:r>
      <w:r>
        <w:t>: 112,031 (75.4%)</w:t>
      </w:r>
    </w:p>
    <w:p w14:paraId="4E3F33BA" w14:textId="77777777" w:rsidR="00D60A9B" w:rsidRDefault="00D60A9B" w:rsidP="00AD3D49">
      <w:pPr>
        <w:pStyle w:val="whitespace-normal"/>
        <w:numPr>
          <w:ilvl w:val="0"/>
          <w:numId w:val="9"/>
        </w:numPr>
      </w:pPr>
      <w:r>
        <w:rPr>
          <w:rStyle w:val="Strong"/>
          <w:rFonts w:eastAsiaTheme="majorEastAsia"/>
        </w:rPr>
        <w:t>Defaulted loans</w:t>
      </w:r>
      <w:r>
        <w:t>: 36,639 (24.6%)</w:t>
      </w:r>
    </w:p>
    <w:p w14:paraId="69B0572F" w14:textId="77777777" w:rsidR="00D60A9B" w:rsidRDefault="00D60A9B" w:rsidP="00AD3D49">
      <w:pPr>
        <w:pStyle w:val="whitespace-normal"/>
        <w:numPr>
          <w:ilvl w:val="0"/>
          <w:numId w:val="9"/>
        </w:numPr>
      </w:pPr>
      <w:r>
        <w:rPr>
          <w:rStyle w:val="Strong"/>
          <w:rFonts w:eastAsiaTheme="majorEastAsia"/>
        </w:rPr>
        <w:t>Overall default rate</w:t>
      </w:r>
      <w:r>
        <w:t>: 24.64%</w:t>
      </w:r>
    </w:p>
    <w:p w14:paraId="2D0DA681" w14:textId="5F3EAF21" w:rsidR="00D60A9B" w:rsidRDefault="00D60A9B" w:rsidP="00D60A9B">
      <w:pPr>
        <w:pStyle w:val="font-claude-response-body"/>
      </w:pPr>
      <w:r>
        <w:rPr>
          <w:rStyle w:val="Strong"/>
          <w:rFonts w:eastAsiaTheme="majorEastAsia"/>
        </w:rPr>
        <w:t>Business Insight:</w:t>
      </w:r>
      <w:r>
        <w:br/>
        <w:t xml:space="preserve">Nearly </w:t>
      </w:r>
      <w:r>
        <w:rPr>
          <w:rStyle w:val="Strong"/>
          <w:rFonts w:eastAsiaTheme="majorEastAsia"/>
        </w:rPr>
        <w:t>1 in 4 loans defaults</w:t>
      </w:r>
      <w:r>
        <w:t xml:space="preserve">, which is significantly higher than industry benchmarks (12-15% for standard portfolios). This represents approximately </w:t>
      </w:r>
      <w:r>
        <w:rPr>
          <w:rStyle w:val="Strong"/>
          <w:rFonts w:eastAsiaTheme="majorEastAsia"/>
        </w:rPr>
        <w:t>$12.1 billion in at-risk capital</w:t>
      </w:r>
      <w:r>
        <w:t>, indicating urgent need for improved risk management.</w:t>
      </w:r>
    </w:p>
    <w:p w14:paraId="776120A8" w14:textId="77777777" w:rsidR="00D60A9B" w:rsidRPr="00D60A9B" w:rsidRDefault="00D60A9B" w:rsidP="00D60A9B">
      <w:pPr>
        <w:pStyle w:val="Heading3"/>
      </w:pPr>
      <w:r w:rsidRPr="00D60A9B">
        <w:rPr>
          <w:rStyle w:val="Strong"/>
        </w:rPr>
        <w:t>Business Question 2: What Data Fields Are Missing or Incomplete?</w:t>
      </w:r>
    </w:p>
    <w:p w14:paraId="642ED76C" w14:textId="77777777" w:rsidR="00D60A9B" w:rsidRDefault="00D60A9B" w:rsidP="00D60A9B">
      <w:pPr>
        <w:pStyle w:val="font-claude-response-body"/>
      </w:pPr>
      <w:r>
        <w:rPr>
          <w:rStyle w:val="Strong"/>
          <w:rFonts w:eastAsiaTheme="majorEastAsia"/>
        </w:rPr>
        <w:t>Analysis Performed:</w:t>
      </w:r>
      <w:r>
        <w:t xml:space="preserve"> Calculated missing value percentages for all variables to assess data quality.</w:t>
      </w:r>
    </w:p>
    <w:p w14:paraId="3CE45AA8" w14:textId="4CB8FE3F" w:rsidR="00D60A9B" w:rsidRDefault="00D60A9B" w:rsidP="00D60A9B">
      <w:pPr>
        <w:pStyle w:val="font-claude-response-body"/>
      </w:pPr>
      <w:r>
        <w:rPr>
          <w:rStyle w:val="Strong"/>
          <w:rFonts w:ascii="Segoe UI Emoji" w:eastAsiaTheme="majorEastAsia" w:hAnsi="Segoe UI Emoji" w:cs="Segoe UI Emoji"/>
        </w:rPr>
        <w:lastRenderedPageBreak/>
        <w:t>📊</w:t>
      </w:r>
      <w:r>
        <w:rPr>
          <w:rStyle w:val="Strong"/>
          <w:rFonts w:eastAsiaTheme="majorEastAsia"/>
        </w:rPr>
        <w:t xml:space="preserve"> Chart 2: Missing Values Analysis</w:t>
      </w:r>
      <w:r w:rsidRPr="00D60A9B">
        <w:rPr>
          <w:noProof/>
        </w:rPr>
        <w:t xml:space="preserve"> </w:t>
      </w:r>
      <w:r w:rsidRPr="00D60A9B">
        <w:rPr>
          <w:rStyle w:val="Strong"/>
          <w:rFonts w:eastAsiaTheme="majorEastAsia"/>
          <w:noProof/>
        </w:rPr>
        <w:drawing>
          <wp:inline distT="0" distB="0" distL="0" distR="0" wp14:anchorId="4BCDCB72" wp14:editId="38FE5AA0">
            <wp:extent cx="5943600" cy="29305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30525"/>
                    </a:xfrm>
                    <a:prstGeom prst="rect">
                      <a:avLst/>
                    </a:prstGeom>
                  </pic:spPr>
                </pic:pic>
              </a:graphicData>
            </a:graphic>
          </wp:inline>
        </w:drawing>
      </w:r>
    </w:p>
    <w:p w14:paraId="02B32365" w14:textId="7A7D8857" w:rsidR="00D60A9B" w:rsidRDefault="00D60A9B" w:rsidP="00D60A9B">
      <w:pPr>
        <w:pStyle w:val="font-claude-response-body"/>
      </w:pPr>
      <w:r>
        <w:rPr>
          <w:rStyle w:val="Strong"/>
          <w:rFonts w:eastAsiaTheme="majorEastAsia"/>
        </w:rPr>
        <w:t>Key Findings:</w:t>
      </w:r>
    </w:p>
    <w:p w14:paraId="2D617AE3" w14:textId="1931F82E" w:rsidR="00D60A9B" w:rsidRDefault="00D60A9B" w:rsidP="00AD3D49">
      <w:pPr>
        <w:pStyle w:val="whitespace-normal"/>
        <w:numPr>
          <w:ilvl w:val="0"/>
          <w:numId w:val="10"/>
        </w:numPr>
      </w:pPr>
      <w:r>
        <w:t>Interest rate data: 24.6</w:t>
      </w:r>
      <w:r w:rsidR="00E91FF1">
        <w:t>4</w:t>
      </w:r>
      <w:r>
        <w:t>% missing</w:t>
      </w:r>
    </w:p>
    <w:p w14:paraId="0FB41BDB" w14:textId="0589F96A" w:rsidR="00D60A9B" w:rsidRDefault="00D60A9B" w:rsidP="00AD3D49">
      <w:pPr>
        <w:pStyle w:val="whitespace-normal"/>
        <w:numPr>
          <w:ilvl w:val="0"/>
          <w:numId w:val="10"/>
        </w:numPr>
      </w:pPr>
      <w:r>
        <w:t>DTIR (debt ratio): 16.2</w:t>
      </w:r>
      <w:r w:rsidR="00E91FF1">
        <w:t>2</w:t>
      </w:r>
      <w:r>
        <w:t>% missing</w:t>
      </w:r>
    </w:p>
    <w:p w14:paraId="0B9D4C52" w14:textId="020E9C2C" w:rsidR="00D60A9B" w:rsidRDefault="00D60A9B" w:rsidP="00AD3D49">
      <w:pPr>
        <w:pStyle w:val="whitespace-normal"/>
        <w:numPr>
          <w:ilvl w:val="0"/>
          <w:numId w:val="10"/>
        </w:numPr>
      </w:pPr>
      <w:r>
        <w:t>Property value: 10.</w:t>
      </w:r>
      <w:r w:rsidR="00E91FF1">
        <w:t>16</w:t>
      </w:r>
      <w:r>
        <w:t>% missing</w:t>
      </w:r>
    </w:p>
    <w:p w14:paraId="2C859C43" w14:textId="741FE46F" w:rsidR="00D60A9B" w:rsidRDefault="00D60A9B" w:rsidP="00AD3D49">
      <w:pPr>
        <w:pStyle w:val="whitespace-normal"/>
        <w:numPr>
          <w:ilvl w:val="0"/>
          <w:numId w:val="10"/>
        </w:numPr>
      </w:pPr>
      <w:r>
        <w:t>Income: 6.</w:t>
      </w:r>
      <w:r w:rsidR="00E91FF1">
        <w:t>15</w:t>
      </w:r>
      <w:r>
        <w:t>% missing</w:t>
      </w:r>
    </w:p>
    <w:p w14:paraId="1CC89234" w14:textId="6828DC58" w:rsidR="00D60A9B" w:rsidRPr="00C471BD" w:rsidRDefault="00D60A9B" w:rsidP="00D60A9B">
      <w:pPr>
        <w:pStyle w:val="font-claude-response-body"/>
      </w:pPr>
      <w:r>
        <w:rPr>
          <w:rStyle w:val="Strong"/>
          <w:rFonts w:eastAsiaTheme="majorEastAsia"/>
        </w:rPr>
        <w:t>Business Insight:</w:t>
      </w:r>
      <w:r>
        <w:br/>
        <w:t xml:space="preserve">Missing interest rate data aligns with default rate (both ~25%), suggesting data collection gaps for defaulted loans. This required intelligent imputation strategies during data cleaning to </w:t>
      </w:r>
      <w:r w:rsidRPr="00C471BD">
        <w:t>preserve analytical integrity.</w:t>
      </w:r>
    </w:p>
    <w:p w14:paraId="6BBC26BA" w14:textId="77777777" w:rsidR="00E91FF1" w:rsidRPr="00C471BD" w:rsidRDefault="00E91FF1" w:rsidP="00C471BD">
      <w:pPr>
        <w:pStyle w:val="Heading2"/>
        <w:numPr>
          <w:ilvl w:val="0"/>
          <w:numId w:val="38"/>
        </w:numPr>
        <w:rPr>
          <w:rFonts w:ascii="Times New Roman" w:hAnsi="Times New Roman" w:cs="Times New Roman"/>
          <w:sz w:val="36"/>
          <w:szCs w:val="36"/>
        </w:rPr>
      </w:pPr>
      <w:r w:rsidRPr="00C471BD">
        <w:rPr>
          <w:rStyle w:val="Strong"/>
          <w:rFonts w:ascii="Times New Roman" w:hAnsi="Times New Roman" w:cs="Times New Roman"/>
          <w:sz w:val="36"/>
          <w:szCs w:val="36"/>
        </w:rPr>
        <w:t>BIVARIATE ANALYSIS</w:t>
      </w:r>
    </w:p>
    <w:p w14:paraId="2C268DDB" w14:textId="77777777" w:rsidR="00E91FF1" w:rsidRDefault="00E91FF1" w:rsidP="00E91FF1">
      <w:pPr>
        <w:pStyle w:val="Heading3"/>
      </w:pPr>
      <w:r>
        <w:rPr>
          <w:rStyle w:val="Strong"/>
          <w:b w:val="0"/>
          <w:bCs w:val="0"/>
        </w:rPr>
        <w:t>Business Question 3: Do Borrowers with Lower Credit Scores Default More?</w:t>
      </w:r>
    </w:p>
    <w:p w14:paraId="5E1CE4B2" w14:textId="77777777" w:rsidR="00E91FF1" w:rsidRDefault="00E91FF1" w:rsidP="00E91FF1">
      <w:pPr>
        <w:pStyle w:val="font-claude-response-body"/>
      </w:pPr>
      <w:r>
        <w:rPr>
          <w:rStyle w:val="Strong"/>
          <w:rFonts w:eastAsiaTheme="majorEastAsia"/>
        </w:rPr>
        <w:t>Analysis Performed:</w:t>
      </w:r>
      <w:r>
        <w:t xml:space="preserve"> Compared default rates across credit score ranges.</w:t>
      </w:r>
    </w:p>
    <w:p w14:paraId="157E6E36" w14:textId="77777777" w:rsidR="00E91FF1" w:rsidRDefault="00E91FF1" w:rsidP="00E91FF1">
      <w:pPr>
        <w:pStyle w:val="font-claude-response-body"/>
        <w:rPr>
          <w:rStyle w:val="Strong"/>
          <w:rFonts w:eastAsiaTheme="majorEastAsia"/>
        </w:rPr>
      </w:pPr>
      <w:r>
        <w:rPr>
          <w:rStyle w:val="Strong"/>
          <w:rFonts w:ascii="Segoe UI Emoji" w:eastAsiaTheme="majorEastAsia" w:hAnsi="Segoe UI Emoji" w:cs="Segoe UI Emoji"/>
        </w:rPr>
        <w:t>📊</w:t>
      </w:r>
      <w:r>
        <w:rPr>
          <w:rStyle w:val="Strong"/>
          <w:rFonts w:eastAsiaTheme="majorEastAsia"/>
        </w:rPr>
        <w:t xml:space="preserve"> Chart 3: Default Rate by Credit Score Category</w:t>
      </w:r>
    </w:p>
    <w:p w14:paraId="2E56D686" w14:textId="77777777" w:rsidR="00E91FF1" w:rsidRDefault="00E91FF1" w:rsidP="00E91FF1">
      <w:pPr>
        <w:pStyle w:val="font-claude-response-body"/>
      </w:pPr>
      <w:r w:rsidRPr="00E91FF1">
        <w:rPr>
          <w:noProof/>
        </w:rPr>
        <w:lastRenderedPageBreak/>
        <w:drawing>
          <wp:inline distT="0" distB="0" distL="0" distR="0" wp14:anchorId="37F54068" wp14:editId="56B4A761">
            <wp:extent cx="5943600" cy="20999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99945"/>
                    </a:xfrm>
                    <a:prstGeom prst="rect">
                      <a:avLst/>
                    </a:prstGeom>
                  </pic:spPr>
                </pic:pic>
              </a:graphicData>
            </a:graphic>
          </wp:inline>
        </w:drawing>
      </w:r>
    </w:p>
    <w:p w14:paraId="5470A267" w14:textId="77777777" w:rsidR="00E91FF1" w:rsidRDefault="00E91FF1" w:rsidP="00E91FF1">
      <w:pPr>
        <w:pStyle w:val="font-claude-response-body"/>
      </w:pPr>
      <w:r>
        <w:rPr>
          <w:rStyle w:val="Strong"/>
          <w:rFonts w:eastAsiaTheme="majorEastAsia"/>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221"/>
      </w:tblGrid>
      <w:tr w:rsidR="00E91FF1" w14:paraId="338936D4" w14:textId="77777777" w:rsidTr="006C7B66">
        <w:trPr>
          <w:tblHeader/>
          <w:tblCellSpacing w:w="15" w:type="dxa"/>
        </w:trPr>
        <w:tc>
          <w:tcPr>
            <w:tcW w:w="0" w:type="auto"/>
            <w:vAlign w:val="center"/>
            <w:hideMark/>
          </w:tcPr>
          <w:p w14:paraId="00132D74" w14:textId="77777777" w:rsidR="00E91FF1" w:rsidRDefault="00E91FF1" w:rsidP="006C7B66">
            <w:pPr>
              <w:jc w:val="center"/>
              <w:rPr>
                <w:b/>
                <w:bCs/>
              </w:rPr>
            </w:pPr>
            <w:r>
              <w:rPr>
                <w:b/>
                <w:bCs/>
              </w:rPr>
              <w:t>Credit Score</w:t>
            </w:r>
          </w:p>
        </w:tc>
        <w:tc>
          <w:tcPr>
            <w:tcW w:w="0" w:type="auto"/>
            <w:vAlign w:val="center"/>
            <w:hideMark/>
          </w:tcPr>
          <w:p w14:paraId="7AC35B0F" w14:textId="77777777" w:rsidR="00E91FF1" w:rsidRDefault="00E91FF1" w:rsidP="006C7B66">
            <w:pPr>
              <w:jc w:val="center"/>
              <w:rPr>
                <w:b/>
                <w:bCs/>
              </w:rPr>
            </w:pPr>
            <w:r>
              <w:rPr>
                <w:b/>
                <w:bCs/>
              </w:rPr>
              <w:t>Default Rate</w:t>
            </w:r>
          </w:p>
        </w:tc>
      </w:tr>
      <w:tr w:rsidR="00E91FF1" w14:paraId="007D4E61" w14:textId="77777777" w:rsidTr="006C7B66">
        <w:trPr>
          <w:tblCellSpacing w:w="15" w:type="dxa"/>
        </w:trPr>
        <w:tc>
          <w:tcPr>
            <w:tcW w:w="0" w:type="auto"/>
            <w:vAlign w:val="center"/>
            <w:hideMark/>
          </w:tcPr>
          <w:p w14:paraId="3209252E" w14:textId="77777777" w:rsidR="00E91FF1" w:rsidRDefault="00E91FF1" w:rsidP="006C7B66">
            <w:r>
              <w:t>Poor (&lt;600)</w:t>
            </w:r>
          </w:p>
        </w:tc>
        <w:tc>
          <w:tcPr>
            <w:tcW w:w="0" w:type="auto"/>
            <w:vAlign w:val="center"/>
            <w:hideMark/>
          </w:tcPr>
          <w:p w14:paraId="23E41819" w14:textId="77777777" w:rsidR="00E91FF1" w:rsidRDefault="00E91FF1" w:rsidP="006C7B66">
            <w:r>
              <w:t>28-30%</w:t>
            </w:r>
          </w:p>
        </w:tc>
      </w:tr>
      <w:tr w:rsidR="00E91FF1" w14:paraId="123994C8" w14:textId="77777777" w:rsidTr="006C7B66">
        <w:trPr>
          <w:tblCellSpacing w:w="15" w:type="dxa"/>
        </w:trPr>
        <w:tc>
          <w:tcPr>
            <w:tcW w:w="0" w:type="auto"/>
            <w:vAlign w:val="center"/>
            <w:hideMark/>
          </w:tcPr>
          <w:p w14:paraId="623483CD" w14:textId="77777777" w:rsidR="00E91FF1" w:rsidRDefault="00E91FF1" w:rsidP="006C7B66">
            <w:r>
              <w:t>Fair (600-700)</w:t>
            </w:r>
          </w:p>
        </w:tc>
        <w:tc>
          <w:tcPr>
            <w:tcW w:w="0" w:type="auto"/>
            <w:vAlign w:val="center"/>
            <w:hideMark/>
          </w:tcPr>
          <w:p w14:paraId="13B141E4" w14:textId="77777777" w:rsidR="00E91FF1" w:rsidRDefault="00E91FF1" w:rsidP="006C7B66">
            <w:r>
              <w:t>24-26%</w:t>
            </w:r>
          </w:p>
        </w:tc>
      </w:tr>
      <w:tr w:rsidR="00E91FF1" w14:paraId="44461910" w14:textId="77777777" w:rsidTr="006C7B66">
        <w:trPr>
          <w:tblCellSpacing w:w="15" w:type="dxa"/>
        </w:trPr>
        <w:tc>
          <w:tcPr>
            <w:tcW w:w="0" w:type="auto"/>
            <w:vAlign w:val="center"/>
            <w:hideMark/>
          </w:tcPr>
          <w:p w14:paraId="460D8509" w14:textId="77777777" w:rsidR="00E91FF1" w:rsidRDefault="00E91FF1" w:rsidP="006C7B66">
            <w:r>
              <w:t>Good (&gt;700)</w:t>
            </w:r>
          </w:p>
        </w:tc>
        <w:tc>
          <w:tcPr>
            <w:tcW w:w="0" w:type="auto"/>
            <w:vAlign w:val="center"/>
            <w:hideMark/>
          </w:tcPr>
          <w:p w14:paraId="0FB595F2" w14:textId="77777777" w:rsidR="00E91FF1" w:rsidRDefault="00E91FF1" w:rsidP="006C7B66">
            <w:r>
              <w:t>20-22%</w:t>
            </w:r>
          </w:p>
        </w:tc>
      </w:tr>
    </w:tbl>
    <w:p w14:paraId="503C64D6" w14:textId="77777777" w:rsidR="00E91FF1" w:rsidRDefault="00E91FF1" w:rsidP="00E91FF1">
      <w:pPr>
        <w:pStyle w:val="font-claude-response-body"/>
      </w:pPr>
      <w:r>
        <w:rPr>
          <w:rStyle w:val="Strong"/>
          <w:rFonts w:eastAsiaTheme="majorEastAsia"/>
        </w:rPr>
        <w:t>Business Insight:</w:t>
      </w:r>
      <w:r>
        <w:br/>
        <w:t xml:space="preserve">Credit score shows expected inverse relationship with defaults—lower scores = higher risk. However, the spread is only </w:t>
      </w:r>
      <w:r>
        <w:rPr>
          <w:rStyle w:val="Strong"/>
          <w:rFonts w:eastAsiaTheme="majorEastAsia"/>
        </w:rPr>
        <w:t>8-10 percentage points</w:t>
      </w:r>
      <w:r>
        <w:t xml:space="preserve"> between poor and good credit, indicating credit score alone is </w:t>
      </w:r>
      <w:r>
        <w:rPr>
          <w:rStyle w:val="Strong"/>
          <w:rFonts w:eastAsiaTheme="majorEastAsia"/>
        </w:rPr>
        <w:t>not sufficient</w:t>
      </w:r>
      <w:r>
        <w:t xml:space="preserve"> for risk assessment. Other factors like income and loan type have stronger predictive power.</w:t>
      </w:r>
    </w:p>
    <w:p w14:paraId="7410135C" w14:textId="77777777" w:rsidR="00E91FF1" w:rsidRDefault="00E91FF1" w:rsidP="00E91FF1">
      <w:pPr>
        <w:pStyle w:val="Heading3"/>
      </w:pPr>
      <w:r>
        <w:rPr>
          <w:rStyle w:val="Strong"/>
          <w:b w:val="0"/>
          <w:bCs w:val="0"/>
        </w:rPr>
        <w:t>Business Question 4: Do Loans with Higher LTV Ratios Default More?</w:t>
      </w:r>
    </w:p>
    <w:p w14:paraId="27C39F3E" w14:textId="77777777" w:rsidR="00E91FF1" w:rsidRDefault="00E91FF1" w:rsidP="00E91FF1">
      <w:pPr>
        <w:pStyle w:val="font-claude-response-body"/>
      </w:pPr>
      <w:r>
        <w:rPr>
          <w:rStyle w:val="Strong"/>
          <w:rFonts w:eastAsiaTheme="majorEastAsia"/>
        </w:rPr>
        <w:t>Analysis Performed:</w:t>
      </w:r>
      <w:r>
        <w:t xml:space="preserve"> Analyzed default rates across LTV (Loan-to-Value) ratio brackets.</w:t>
      </w:r>
    </w:p>
    <w:p w14:paraId="16C0D9E1" w14:textId="77777777" w:rsidR="00E91FF1" w:rsidRDefault="00E91FF1" w:rsidP="00E91FF1">
      <w:pPr>
        <w:pStyle w:val="font-claude-response-body"/>
      </w:pPr>
      <w:r>
        <w:rPr>
          <w:rStyle w:val="Strong"/>
          <w:rFonts w:ascii="Segoe UI Emoji" w:eastAsiaTheme="majorEastAsia" w:hAnsi="Segoe UI Emoji" w:cs="Segoe UI Emoji"/>
        </w:rPr>
        <w:t>📊</w:t>
      </w:r>
      <w:r>
        <w:rPr>
          <w:rStyle w:val="Strong"/>
          <w:rFonts w:eastAsiaTheme="majorEastAsia"/>
        </w:rPr>
        <w:t xml:space="preserve"> Chart 4: Default Rate by LTV Category</w:t>
      </w:r>
    </w:p>
    <w:p w14:paraId="03FA6994" w14:textId="6A742A31" w:rsidR="00E91FF1" w:rsidRDefault="00C9347B" w:rsidP="00E91FF1">
      <w:pPr>
        <w:pStyle w:val="font-claude-response-body"/>
      </w:pPr>
      <w:r w:rsidRPr="00C9347B">
        <w:rPr>
          <w:rStyle w:val="Strong"/>
          <w:rFonts w:eastAsiaTheme="majorEastAsia"/>
          <w:noProof/>
        </w:rPr>
        <w:lastRenderedPageBreak/>
        <w:drawing>
          <wp:inline distT="0" distB="0" distL="0" distR="0" wp14:anchorId="058398CF" wp14:editId="024DFA9D">
            <wp:extent cx="5943600" cy="2542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42540"/>
                    </a:xfrm>
                    <a:prstGeom prst="rect">
                      <a:avLst/>
                    </a:prstGeom>
                  </pic:spPr>
                </pic:pic>
              </a:graphicData>
            </a:graphic>
          </wp:inline>
        </w:drawing>
      </w:r>
      <w:r w:rsidR="00E91FF1">
        <w:rPr>
          <w:rStyle w:val="Strong"/>
          <w:rFonts w:eastAsiaTheme="majorEastAsia"/>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1221"/>
      </w:tblGrid>
      <w:tr w:rsidR="00E91FF1" w14:paraId="7C6FD0D5" w14:textId="77777777" w:rsidTr="00E91FF1">
        <w:trPr>
          <w:tblHeader/>
          <w:tblCellSpacing w:w="15" w:type="dxa"/>
        </w:trPr>
        <w:tc>
          <w:tcPr>
            <w:tcW w:w="0" w:type="auto"/>
            <w:vAlign w:val="center"/>
            <w:hideMark/>
          </w:tcPr>
          <w:p w14:paraId="38B103FF" w14:textId="77777777" w:rsidR="00E91FF1" w:rsidRDefault="00E91FF1">
            <w:pPr>
              <w:jc w:val="center"/>
              <w:rPr>
                <w:b/>
                <w:bCs/>
              </w:rPr>
            </w:pPr>
            <w:r>
              <w:rPr>
                <w:b/>
                <w:bCs/>
              </w:rPr>
              <w:t>LTV Range</w:t>
            </w:r>
          </w:p>
        </w:tc>
        <w:tc>
          <w:tcPr>
            <w:tcW w:w="0" w:type="auto"/>
            <w:vAlign w:val="center"/>
            <w:hideMark/>
          </w:tcPr>
          <w:p w14:paraId="79F30E12" w14:textId="77777777" w:rsidR="00E91FF1" w:rsidRDefault="00E91FF1">
            <w:pPr>
              <w:jc w:val="center"/>
              <w:rPr>
                <w:b/>
                <w:bCs/>
              </w:rPr>
            </w:pPr>
            <w:r>
              <w:rPr>
                <w:b/>
                <w:bCs/>
              </w:rPr>
              <w:t>Default Rate</w:t>
            </w:r>
          </w:p>
        </w:tc>
      </w:tr>
      <w:tr w:rsidR="00E91FF1" w14:paraId="4845B6F9" w14:textId="77777777" w:rsidTr="00E91FF1">
        <w:trPr>
          <w:tblCellSpacing w:w="15" w:type="dxa"/>
        </w:trPr>
        <w:tc>
          <w:tcPr>
            <w:tcW w:w="0" w:type="auto"/>
            <w:vAlign w:val="center"/>
            <w:hideMark/>
          </w:tcPr>
          <w:p w14:paraId="68AB64CD" w14:textId="77777777" w:rsidR="00E91FF1" w:rsidRDefault="00E91FF1">
            <w:r>
              <w:t>&lt;60%</w:t>
            </w:r>
          </w:p>
        </w:tc>
        <w:tc>
          <w:tcPr>
            <w:tcW w:w="0" w:type="auto"/>
            <w:vAlign w:val="center"/>
            <w:hideMark/>
          </w:tcPr>
          <w:p w14:paraId="1246FC32" w14:textId="77777777" w:rsidR="00E91FF1" w:rsidRDefault="00E91FF1">
            <w:r>
              <w:t>18-20%</w:t>
            </w:r>
          </w:p>
        </w:tc>
      </w:tr>
      <w:tr w:rsidR="00E91FF1" w14:paraId="14562DC3" w14:textId="77777777" w:rsidTr="00E91FF1">
        <w:trPr>
          <w:tblCellSpacing w:w="15" w:type="dxa"/>
        </w:trPr>
        <w:tc>
          <w:tcPr>
            <w:tcW w:w="0" w:type="auto"/>
            <w:vAlign w:val="center"/>
            <w:hideMark/>
          </w:tcPr>
          <w:p w14:paraId="358939C3" w14:textId="77777777" w:rsidR="00E91FF1" w:rsidRDefault="00E91FF1">
            <w:r>
              <w:t>60-80%</w:t>
            </w:r>
          </w:p>
        </w:tc>
        <w:tc>
          <w:tcPr>
            <w:tcW w:w="0" w:type="auto"/>
            <w:vAlign w:val="center"/>
            <w:hideMark/>
          </w:tcPr>
          <w:p w14:paraId="6C79B65E" w14:textId="77777777" w:rsidR="00E91FF1" w:rsidRDefault="00E91FF1">
            <w:r>
              <w:t>22-24%</w:t>
            </w:r>
          </w:p>
        </w:tc>
      </w:tr>
      <w:tr w:rsidR="00E91FF1" w14:paraId="3EFB6968" w14:textId="77777777" w:rsidTr="00E91FF1">
        <w:trPr>
          <w:tblCellSpacing w:w="15" w:type="dxa"/>
        </w:trPr>
        <w:tc>
          <w:tcPr>
            <w:tcW w:w="0" w:type="auto"/>
            <w:vAlign w:val="center"/>
            <w:hideMark/>
          </w:tcPr>
          <w:p w14:paraId="49263DD3" w14:textId="77777777" w:rsidR="00E91FF1" w:rsidRDefault="00E91FF1">
            <w:r>
              <w:t>80-100%</w:t>
            </w:r>
          </w:p>
        </w:tc>
        <w:tc>
          <w:tcPr>
            <w:tcW w:w="0" w:type="auto"/>
            <w:vAlign w:val="center"/>
            <w:hideMark/>
          </w:tcPr>
          <w:p w14:paraId="5B1E9307" w14:textId="77777777" w:rsidR="00E91FF1" w:rsidRDefault="00E91FF1">
            <w:r>
              <w:t>26-28%</w:t>
            </w:r>
          </w:p>
        </w:tc>
      </w:tr>
      <w:tr w:rsidR="00E91FF1" w14:paraId="16CD7A5A" w14:textId="77777777" w:rsidTr="00E91FF1">
        <w:trPr>
          <w:tblCellSpacing w:w="15" w:type="dxa"/>
        </w:trPr>
        <w:tc>
          <w:tcPr>
            <w:tcW w:w="0" w:type="auto"/>
            <w:vAlign w:val="center"/>
            <w:hideMark/>
          </w:tcPr>
          <w:p w14:paraId="4E0789E8" w14:textId="77777777" w:rsidR="00E91FF1" w:rsidRDefault="00E91FF1">
            <w:r>
              <w:t>&gt;100%</w:t>
            </w:r>
          </w:p>
        </w:tc>
        <w:tc>
          <w:tcPr>
            <w:tcW w:w="0" w:type="auto"/>
            <w:vAlign w:val="center"/>
            <w:hideMark/>
          </w:tcPr>
          <w:p w14:paraId="12425BEE" w14:textId="77777777" w:rsidR="00E91FF1" w:rsidRDefault="00E91FF1">
            <w:r>
              <w:t>30-35%</w:t>
            </w:r>
          </w:p>
        </w:tc>
      </w:tr>
    </w:tbl>
    <w:p w14:paraId="63DB8DB5" w14:textId="1AF14E47" w:rsidR="00E91FF1" w:rsidRDefault="00E91FF1" w:rsidP="00E91FF1">
      <w:pPr>
        <w:pStyle w:val="font-claude-response-body"/>
      </w:pPr>
      <w:r>
        <w:rPr>
          <w:rStyle w:val="Strong"/>
          <w:rFonts w:eastAsiaTheme="majorEastAsia"/>
        </w:rPr>
        <w:t>Business Insight:</w:t>
      </w:r>
      <w:r>
        <w:br/>
        <w:t xml:space="preserve">LTV shows moderate correlation with defaults. Loans above </w:t>
      </w:r>
      <w:r>
        <w:rPr>
          <w:rStyle w:val="Strong"/>
          <w:rFonts w:eastAsiaTheme="majorEastAsia"/>
        </w:rPr>
        <w:t>90% LTV</w:t>
      </w:r>
      <w:r>
        <w:t xml:space="preserve"> enter high-risk territory (28%+ default). However, surprisingly, LTV impact is </w:t>
      </w:r>
      <w:r>
        <w:rPr>
          <w:rStyle w:val="Strong"/>
          <w:rFonts w:eastAsiaTheme="majorEastAsia"/>
        </w:rPr>
        <w:t>weaker than income</w:t>
      </w:r>
      <w:r>
        <w:t xml:space="preserve"> as a predictor. Borrowers with low equity still repay if they have strong income, suggesting </w:t>
      </w:r>
      <w:r>
        <w:rPr>
          <w:rStyle w:val="Strong"/>
          <w:rFonts w:eastAsiaTheme="majorEastAsia"/>
        </w:rPr>
        <w:t>ability to pay &gt; collateral value</w:t>
      </w:r>
      <w:r>
        <w:t xml:space="preserve"> in determining default.</w:t>
      </w:r>
    </w:p>
    <w:p w14:paraId="3654BF41" w14:textId="6C39E2B3" w:rsidR="00C9347B" w:rsidRDefault="00C9347B" w:rsidP="00E91FF1">
      <w:pPr>
        <w:pStyle w:val="font-claude-response-body"/>
      </w:pPr>
    </w:p>
    <w:p w14:paraId="03BACED0" w14:textId="309CB6B0" w:rsidR="00C9347B" w:rsidRDefault="00C9347B" w:rsidP="00E91FF1">
      <w:pPr>
        <w:pStyle w:val="font-claude-response-body"/>
      </w:pPr>
    </w:p>
    <w:p w14:paraId="07194F77" w14:textId="710A2D51" w:rsidR="00C9347B" w:rsidRDefault="00C9347B" w:rsidP="00E91FF1">
      <w:pPr>
        <w:pStyle w:val="font-claude-response-body"/>
      </w:pPr>
    </w:p>
    <w:p w14:paraId="4B9A99F1" w14:textId="77777777" w:rsidR="00C9347B" w:rsidRDefault="00C9347B" w:rsidP="00E91FF1">
      <w:pPr>
        <w:pStyle w:val="font-claude-response-body"/>
      </w:pPr>
    </w:p>
    <w:p w14:paraId="446FF2A7" w14:textId="77777777" w:rsidR="00E91FF1" w:rsidRDefault="00E91FF1" w:rsidP="00E91FF1">
      <w:pPr>
        <w:pStyle w:val="Heading3"/>
      </w:pPr>
      <w:r>
        <w:rPr>
          <w:rStyle w:val="Strong"/>
          <w:b w:val="0"/>
          <w:bCs w:val="0"/>
        </w:rPr>
        <w:t>Business Question 5: Does Loan Type/Purpose Influence Default?</w:t>
      </w:r>
    </w:p>
    <w:p w14:paraId="15BCC929" w14:textId="77777777" w:rsidR="00E91FF1" w:rsidRDefault="00E91FF1" w:rsidP="00E91FF1">
      <w:pPr>
        <w:pStyle w:val="font-claude-response-body"/>
      </w:pPr>
      <w:r>
        <w:rPr>
          <w:rStyle w:val="Strong"/>
          <w:rFonts w:eastAsiaTheme="majorEastAsia"/>
        </w:rPr>
        <w:t>Analysis Performed:</w:t>
      </w:r>
      <w:r>
        <w:t xml:space="preserve"> Compared default rates across three loan product types.</w:t>
      </w:r>
    </w:p>
    <w:p w14:paraId="067DF13B" w14:textId="62C766B6" w:rsidR="00E91FF1" w:rsidRDefault="00E91FF1" w:rsidP="00E91FF1">
      <w:pPr>
        <w:pStyle w:val="font-claude-response-body"/>
        <w:rPr>
          <w:rStyle w:val="Strong"/>
          <w:rFonts w:eastAsiaTheme="majorEastAsia"/>
        </w:rPr>
      </w:pPr>
      <w:r>
        <w:rPr>
          <w:rStyle w:val="Strong"/>
          <w:rFonts w:ascii="Segoe UI Emoji" w:eastAsiaTheme="majorEastAsia" w:hAnsi="Segoe UI Emoji" w:cs="Segoe UI Emoji"/>
        </w:rPr>
        <w:t>📊</w:t>
      </w:r>
      <w:r>
        <w:rPr>
          <w:rStyle w:val="Strong"/>
          <w:rFonts w:eastAsiaTheme="majorEastAsia"/>
        </w:rPr>
        <w:t xml:space="preserve"> Chart 5: Default Rate by Loan Type</w:t>
      </w:r>
    </w:p>
    <w:p w14:paraId="16BC3693" w14:textId="18129E42" w:rsidR="00C9347B" w:rsidRDefault="00C9347B" w:rsidP="00E91FF1">
      <w:pPr>
        <w:pStyle w:val="font-claude-response-body"/>
        <w:rPr>
          <w:rStyle w:val="Strong"/>
          <w:rFonts w:eastAsiaTheme="majorEastAsia"/>
        </w:rPr>
      </w:pPr>
      <w:r w:rsidRPr="00C9347B">
        <w:rPr>
          <w:rStyle w:val="Strong"/>
          <w:rFonts w:eastAsiaTheme="majorEastAsia"/>
          <w:noProof/>
        </w:rPr>
        <w:lastRenderedPageBreak/>
        <w:drawing>
          <wp:inline distT="0" distB="0" distL="0" distR="0" wp14:anchorId="1D4E17FB" wp14:editId="60E3B706">
            <wp:extent cx="5943600" cy="4194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94175"/>
                    </a:xfrm>
                    <a:prstGeom prst="rect">
                      <a:avLst/>
                    </a:prstGeom>
                  </pic:spPr>
                </pic:pic>
              </a:graphicData>
            </a:graphic>
          </wp:inline>
        </w:drawing>
      </w:r>
    </w:p>
    <w:p w14:paraId="4006DFE0" w14:textId="77777777" w:rsidR="00C9347B" w:rsidRDefault="00C9347B" w:rsidP="00E91FF1">
      <w:pPr>
        <w:pStyle w:val="font-claude-response-body"/>
      </w:pPr>
    </w:p>
    <w:p w14:paraId="06DB1C7E" w14:textId="77777777" w:rsidR="00E91FF1" w:rsidRDefault="00E91FF1" w:rsidP="00E91FF1">
      <w:pPr>
        <w:pStyle w:val="font-claude-response-body"/>
      </w:pPr>
      <w:r>
        <w:rPr>
          <w:rStyle w:val="Strong"/>
          <w:rFonts w:eastAsiaTheme="majorEastAsia"/>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48"/>
        <w:gridCol w:w="1221"/>
      </w:tblGrid>
      <w:tr w:rsidR="00E91FF1" w14:paraId="30D0BF75" w14:textId="77777777" w:rsidTr="00E91FF1">
        <w:trPr>
          <w:tblHeader/>
          <w:tblCellSpacing w:w="15" w:type="dxa"/>
        </w:trPr>
        <w:tc>
          <w:tcPr>
            <w:tcW w:w="0" w:type="auto"/>
            <w:vAlign w:val="center"/>
            <w:hideMark/>
          </w:tcPr>
          <w:p w14:paraId="1EE0CC31" w14:textId="77777777" w:rsidR="00E91FF1" w:rsidRDefault="00E91FF1">
            <w:pPr>
              <w:jc w:val="center"/>
              <w:rPr>
                <w:b/>
                <w:bCs/>
              </w:rPr>
            </w:pPr>
            <w:r>
              <w:rPr>
                <w:b/>
                <w:bCs/>
              </w:rPr>
              <w:t>Loan Type</w:t>
            </w:r>
          </w:p>
        </w:tc>
        <w:tc>
          <w:tcPr>
            <w:tcW w:w="0" w:type="auto"/>
            <w:vAlign w:val="center"/>
            <w:hideMark/>
          </w:tcPr>
          <w:p w14:paraId="3106330B" w14:textId="77777777" w:rsidR="00E91FF1" w:rsidRDefault="00E91FF1">
            <w:pPr>
              <w:jc w:val="center"/>
              <w:rPr>
                <w:b/>
                <w:bCs/>
              </w:rPr>
            </w:pPr>
            <w:r>
              <w:rPr>
                <w:b/>
                <w:bCs/>
              </w:rPr>
              <w:t>Volume</w:t>
            </w:r>
          </w:p>
        </w:tc>
        <w:tc>
          <w:tcPr>
            <w:tcW w:w="0" w:type="auto"/>
            <w:vAlign w:val="center"/>
            <w:hideMark/>
          </w:tcPr>
          <w:p w14:paraId="55E0EC29" w14:textId="77777777" w:rsidR="00E91FF1" w:rsidRDefault="00E91FF1">
            <w:pPr>
              <w:jc w:val="center"/>
              <w:rPr>
                <w:b/>
                <w:bCs/>
              </w:rPr>
            </w:pPr>
            <w:r>
              <w:rPr>
                <w:b/>
                <w:bCs/>
              </w:rPr>
              <w:t>Default Rate</w:t>
            </w:r>
          </w:p>
        </w:tc>
      </w:tr>
      <w:tr w:rsidR="00E91FF1" w14:paraId="6CF3666D" w14:textId="77777777" w:rsidTr="00E91FF1">
        <w:trPr>
          <w:tblCellSpacing w:w="15" w:type="dxa"/>
        </w:trPr>
        <w:tc>
          <w:tcPr>
            <w:tcW w:w="0" w:type="auto"/>
            <w:vAlign w:val="center"/>
            <w:hideMark/>
          </w:tcPr>
          <w:p w14:paraId="534DA7D2" w14:textId="77777777" w:rsidR="00E91FF1" w:rsidRDefault="00E91FF1">
            <w:r>
              <w:rPr>
                <w:rStyle w:val="Strong"/>
              </w:rPr>
              <w:t>Type1</w:t>
            </w:r>
            <w:r>
              <w:t xml:space="preserve"> (Retail)</w:t>
            </w:r>
          </w:p>
        </w:tc>
        <w:tc>
          <w:tcPr>
            <w:tcW w:w="0" w:type="auto"/>
            <w:vAlign w:val="center"/>
            <w:hideMark/>
          </w:tcPr>
          <w:p w14:paraId="652C0598" w14:textId="77777777" w:rsidR="00E91FF1" w:rsidRDefault="00E91FF1">
            <w:r>
              <w:t>113,173 (76%)</w:t>
            </w:r>
          </w:p>
        </w:tc>
        <w:tc>
          <w:tcPr>
            <w:tcW w:w="0" w:type="auto"/>
            <w:vAlign w:val="center"/>
            <w:hideMark/>
          </w:tcPr>
          <w:p w14:paraId="64DF7E0B" w14:textId="77777777" w:rsidR="00E91FF1" w:rsidRDefault="00E91FF1">
            <w:r>
              <w:rPr>
                <w:rStyle w:val="Strong"/>
              </w:rPr>
              <w:t>22.77%</w:t>
            </w:r>
          </w:p>
        </w:tc>
      </w:tr>
      <w:tr w:rsidR="00E91FF1" w14:paraId="5B5DCBD0" w14:textId="77777777" w:rsidTr="00E91FF1">
        <w:trPr>
          <w:tblCellSpacing w:w="15" w:type="dxa"/>
        </w:trPr>
        <w:tc>
          <w:tcPr>
            <w:tcW w:w="0" w:type="auto"/>
            <w:vAlign w:val="center"/>
            <w:hideMark/>
          </w:tcPr>
          <w:p w14:paraId="50AD5C28" w14:textId="77777777" w:rsidR="00E91FF1" w:rsidRDefault="00E91FF1">
            <w:r>
              <w:rPr>
                <w:rStyle w:val="Strong"/>
              </w:rPr>
              <w:t>Type2</w:t>
            </w:r>
            <w:r>
              <w:t xml:space="preserve"> (Commercial)</w:t>
            </w:r>
          </w:p>
        </w:tc>
        <w:tc>
          <w:tcPr>
            <w:tcW w:w="0" w:type="auto"/>
            <w:vAlign w:val="center"/>
            <w:hideMark/>
          </w:tcPr>
          <w:p w14:paraId="25B54E6A" w14:textId="77777777" w:rsidR="00E91FF1" w:rsidRDefault="00E91FF1">
            <w:r>
              <w:t>20,762 (14%)</w:t>
            </w:r>
          </w:p>
        </w:tc>
        <w:tc>
          <w:tcPr>
            <w:tcW w:w="0" w:type="auto"/>
            <w:vAlign w:val="center"/>
            <w:hideMark/>
          </w:tcPr>
          <w:p w14:paraId="378DF0DB" w14:textId="77777777" w:rsidR="00E91FF1" w:rsidRDefault="00E91FF1">
            <w:r>
              <w:rPr>
                <w:rStyle w:val="Strong"/>
              </w:rPr>
              <w:t>34.54%</w:t>
            </w:r>
            <w:r>
              <w:t xml:space="preserve"> </w:t>
            </w:r>
            <w:r>
              <w:rPr>
                <w:rFonts w:ascii="Segoe UI Emoji" w:hAnsi="Segoe UI Emoji" w:cs="Segoe UI Emoji"/>
              </w:rPr>
              <w:t>🔴</w:t>
            </w:r>
          </w:p>
        </w:tc>
      </w:tr>
      <w:tr w:rsidR="00E91FF1" w14:paraId="484B7A38" w14:textId="77777777" w:rsidTr="00E91FF1">
        <w:trPr>
          <w:tblCellSpacing w:w="15" w:type="dxa"/>
        </w:trPr>
        <w:tc>
          <w:tcPr>
            <w:tcW w:w="0" w:type="auto"/>
            <w:vAlign w:val="center"/>
            <w:hideMark/>
          </w:tcPr>
          <w:p w14:paraId="3860C4A1" w14:textId="77777777" w:rsidR="00E91FF1" w:rsidRDefault="00E91FF1">
            <w:r>
              <w:rPr>
                <w:rStyle w:val="Strong"/>
              </w:rPr>
              <w:t>Type3</w:t>
            </w:r>
            <w:r>
              <w:t xml:space="preserve"> (Other)</w:t>
            </w:r>
          </w:p>
        </w:tc>
        <w:tc>
          <w:tcPr>
            <w:tcW w:w="0" w:type="auto"/>
            <w:vAlign w:val="center"/>
            <w:hideMark/>
          </w:tcPr>
          <w:p w14:paraId="736414B3" w14:textId="77777777" w:rsidR="00E91FF1" w:rsidRDefault="00E91FF1">
            <w:r>
              <w:t>14,735 (10%)</w:t>
            </w:r>
          </w:p>
        </w:tc>
        <w:tc>
          <w:tcPr>
            <w:tcW w:w="0" w:type="auto"/>
            <w:vAlign w:val="center"/>
            <w:hideMark/>
          </w:tcPr>
          <w:p w14:paraId="617B0A6A" w14:textId="77777777" w:rsidR="00E91FF1" w:rsidRDefault="00E91FF1">
            <w:r>
              <w:t>25.06%</w:t>
            </w:r>
          </w:p>
        </w:tc>
      </w:tr>
    </w:tbl>
    <w:p w14:paraId="129C9DE6" w14:textId="0C5934DB" w:rsidR="00E91FF1" w:rsidRDefault="00E91FF1" w:rsidP="00E91FF1">
      <w:pPr>
        <w:pStyle w:val="font-claude-response-body"/>
      </w:pPr>
      <w:r>
        <w:rPr>
          <w:rStyle w:val="Strong"/>
          <w:rFonts w:eastAsiaTheme="majorEastAsia"/>
        </w:rPr>
        <w:t>Business Insight:</w:t>
      </w:r>
      <w:r>
        <w:br/>
      </w:r>
      <w:r>
        <w:rPr>
          <w:rStyle w:val="Strong"/>
          <w:rFonts w:eastAsiaTheme="majorEastAsia"/>
        </w:rPr>
        <w:t>Type2 loans are a major problem</w:t>
      </w:r>
      <w:r>
        <w:t xml:space="preserve">—defaulting at </w:t>
      </w:r>
      <w:r>
        <w:rPr>
          <w:rStyle w:val="Strong"/>
          <w:rFonts w:eastAsiaTheme="majorEastAsia"/>
        </w:rPr>
        <w:t>34.5</w:t>
      </w:r>
      <w:r w:rsidR="008A0AF6">
        <w:rPr>
          <w:rStyle w:val="Strong"/>
          <w:rFonts w:eastAsiaTheme="majorEastAsia"/>
        </w:rPr>
        <w:t>4</w:t>
      </w:r>
      <w:r>
        <w:rPr>
          <w:rStyle w:val="Strong"/>
          <w:rFonts w:eastAsiaTheme="majorEastAsia"/>
        </w:rPr>
        <w:t>%</w:t>
      </w:r>
      <w:r>
        <w:t xml:space="preserve">, which is </w:t>
      </w:r>
      <w:r>
        <w:rPr>
          <w:rStyle w:val="Strong"/>
          <w:rFonts w:eastAsiaTheme="majorEastAsia"/>
        </w:rPr>
        <w:t>52% higher than Type1</w:t>
      </w:r>
      <w:r>
        <w:t xml:space="preserve"> (22.8%). This represents:</w:t>
      </w:r>
    </w:p>
    <w:p w14:paraId="1D623515" w14:textId="77777777" w:rsidR="00E91FF1" w:rsidRDefault="00E91FF1" w:rsidP="00AD3D49">
      <w:pPr>
        <w:pStyle w:val="whitespace-normal"/>
        <w:numPr>
          <w:ilvl w:val="0"/>
          <w:numId w:val="11"/>
        </w:numPr>
      </w:pPr>
      <w:r>
        <w:t>7,172 expected defaults in Type2 segment</w:t>
      </w:r>
    </w:p>
    <w:p w14:paraId="5B9B26C4" w14:textId="77777777" w:rsidR="00E91FF1" w:rsidRDefault="00E91FF1" w:rsidP="00AD3D49">
      <w:pPr>
        <w:pStyle w:val="whitespace-normal"/>
        <w:numPr>
          <w:ilvl w:val="0"/>
          <w:numId w:val="11"/>
        </w:numPr>
      </w:pPr>
      <w:r>
        <w:rPr>
          <w:rStyle w:val="Strong"/>
          <w:rFonts w:eastAsiaTheme="majorEastAsia"/>
        </w:rPr>
        <w:t>$2.3 billion in default exposure</w:t>
      </w:r>
      <w:r>
        <w:t xml:space="preserve"> at average loan size</w:t>
      </w:r>
    </w:p>
    <w:p w14:paraId="6A2B199F" w14:textId="77777777" w:rsidR="00E91FF1" w:rsidRDefault="00E91FF1" w:rsidP="00AD3D49">
      <w:pPr>
        <w:pStyle w:val="whitespace-normal"/>
        <w:numPr>
          <w:ilvl w:val="0"/>
          <w:numId w:val="11"/>
        </w:numPr>
      </w:pPr>
      <w:r>
        <w:t>Type2 products are likely commercial/business loans with higher inherent risk</w:t>
      </w:r>
    </w:p>
    <w:p w14:paraId="1282E299" w14:textId="77777777" w:rsidR="00E91FF1" w:rsidRDefault="00E91FF1" w:rsidP="00E91FF1">
      <w:pPr>
        <w:pStyle w:val="font-claude-response-body"/>
      </w:pPr>
      <w:r>
        <w:rPr>
          <w:rStyle w:val="Strong"/>
          <w:rFonts w:eastAsiaTheme="majorEastAsia"/>
        </w:rPr>
        <w:lastRenderedPageBreak/>
        <w:t>Recommendation:</w:t>
      </w:r>
      <w:r>
        <w:t xml:space="preserve"> Either </w:t>
      </w:r>
      <w:r>
        <w:rPr>
          <w:rStyle w:val="Strong"/>
          <w:rFonts w:eastAsiaTheme="majorEastAsia"/>
        </w:rPr>
        <w:t>discontinue Type2</w:t>
      </w:r>
      <w:r>
        <w:t xml:space="preserve"> or </w:t>
      </w:r>
      <w:r>
        <w:rPr>
          <w:rStyle w:val="Strong"/>
          <w:rFonts w:eastAsiaTheme="majorEastAsia"/>
        </w:rPr>
        <w:t>increase rates by 3-5%</w:t>
      </w:r>
      <w:r>
        <w:t xml:space="preserve"> to compensate for elevated risk.</w:t>
      </w:r>
    </w:p>
    <w:p w14:paraId="731D8F3B" w14:textId="77777777" w:rsidR="00E91FF1" w:rsidRDefault="00E91FF1" w:rsidP="00E91FF1">
      <w:pPr>
        <w:pStyle w:val="Heading3"/>
      </w:pPr>
      <w:r>
        <w:rPr>
          <w:rStyle w:val="Strong"/>
          <w:b w:val="0"/>
          <w:bCs w:val="0"/>
        </w:rPr>
        <w:t>Business Question 6: Does Borrower Income Affect Default Risk?</w:t>
      </w:r>
    </w:p>
    <w:p w14:paraId="500CAF83" w14:textId="77777777" w:rsidR="00E91FF1" w:rsidRDefault="00E91FF1" w:rsidP="00E91FF1">
      <w:pPr>
        <w:pStyle w:val="font-claude-response-body"/>
      </w:pPr>
      <w:r>
        <w:rPr>
          <w:rStyle w:val="Strong"/>
          <w:rFonts w:eastAsiaTheme="majorEastAsia"/>
        </w:rPr>
        <w:t>Analysis Performed:</w:t>
      </w:r>
      <w:r>
        <w:t xml:space="preserve"> Segmented borrowers into income brackets and measured default rates.</w:t>
      </w:r>
    </w:p>
    <w:p w14:paraId="11B60FC8" w14:textId="05107E02" w:rsidR="00E91FF1" w:rsidRDefault="00E91FF1" w:rsidP="00E91FF1">
      <w:pPr>
        <w:pStyle w:val="font-claude-response-body"/>
        <w:rPr>
          <w:rStyle w:val="Strong"/>
          <w:rFonts w:eastAsiaTheme="majorEastAsia"/>
        </w:rPr>
      </w:pPr>
      <w:r>
        <w:rPr>
          <w:rStyle w:val="Strong"/>
          <w:rFonts w:ascii="Segoe UI Emoji" w:eastAsiaTheme="majorEastAsia" w:hAnsi="Segoe UI Emoji" w:cs="Segoe UI Emoji"/>
        </w:rPr>
        <w:t>📊</w:t>
      </w:r>
      <w:r>
        <w:rPr>
          <w:rStyle w:val="Strong"/>
          <w:rFonts w:eastAsiaTheme="majorEastAsia"/>
        </w:rPr>
        <w:t xml:space="preserve"> Chart 6: Default Rate by Income Level</w:t>
      </w:r>
    </w:p>
    <w:p w14:paraId="64BEC2D4" w14:textId="168D0AAD" w:rsidR="00C9347B" w:rsidRDefault="00C9347B" w:rsidP="00E91FF1">
      <w:pPr>
        <w:pStyle w:val="font-claude-response-body"/>
      </w:pPr>
      <w:r w:rsidRPr="00C9347B">
        <w:rPr>
          <w:noProof/>
        </w:rPr>
        <w:drawing>
          <wp:inline distT="0" distB="0" distL="0" distR="0" wp14:anchorId="3BDF4CE4" wp14:editId="37BF83FC">
            <wp:extent cx="5943600" cy="42265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26560"/>
                    </a:xfrm>
                    <a:prstGeom prst="rect">
                      <a:avLst/>
                    </a:prstGeom>
                  </pic:spPr>
                </pic:pic>
              </a:graphicData>
            </a:graphic>
          </wp:inline>
        </w:drawing>
      </w:r>
    </w:p>
    <w:p w14:paraId="5A8636E4" w14:textId="77777777" w:rsidR="00333B77" w:rsidRPr="00333B77" w:rsidRDefault="00333B77" w:rsidP="00333B77">
      <w:pPr>
        <w:spacing w:before="100" w:beforeAutospacing="1" w:after="100" w:afterAutospacing="1"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b/>
          <w:bCs/>
          <w:sz w:val="24"/>
          <w:szCs w:val="24"/>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1360"/>
        <w:gridCol w:w="1544"/>
      </w:tblGrid>
      <w:tr w:rsidR="00333B77" w:rsidRPr="00333B77" w14:paraId="30CE38EC" w14:textId="77777777" w:rsidTr="00333B77">
        <w:trPr>
          <w:tblHeader/>
          <w:tblCellSpacing w:w="15" w:type="dxa"/>
        </w:trPr>
        <w:tc>
          <w:tcPr>
            <w:tcW w:w="0" w:type="auto"/>
            <w:vAlign w:val="center"/>
            <w:hideMark/>
          </w:tcPr>
          <w:p w14:paraId="69F4BD44" w14:textId="77777777" w:rsidR="00333B77" w:rsidRPr="00333B77" w:rsidRDefault="00333B77" w:rsidP="00333B77">
            <w:pPr>
              <w:spacing w:after="0" w:line="240" w:lineRule="auto"/>
              <w:jc w:val="center"/>
              <w:rPr>
                <w:rFonts w:ascii="Times New Roman" w:eastAsia="Times New Roman" w:hAnsi="Times New Roman" w:cs="Times New Roman"/>
                <w:b/>
                <w:bCs/>
                <w:sz w:val="24"/>
                <w:szCs w:val="24"/>
              </w:rPr>
            </w:pPr>
            <w:r w:rsidRPr="00333B77">
              <w:rPr>
                <w:rFonts w:ascii="Times New Roman" w:eastAsia="Times New Roman" w:hAnsi="Times New Roman" w:cs="Times New Roman"/>
                <w:b/>
                <w:bCs/>
                <w:sz w:val="24"/>
                <w:szCs w:val="24"/>
              </w:rPr>
              <w:t>Income Bracket</w:t>
            </w:r>
          </w:p>
        </w:tc>
        <w:tc>
          <w:tcPr>
            <w:tcW w:w="0" w:type="auto"/>
            <w:vAlign w:val="center"/>
            <w:hideMark/>
          </w:tcPr>
          <w:p w14:paraId="6D0DBDE1" w14:textId="77777777" w:rsidR="00333B77" w:rsidRPr="00333B77" w:rsidRDefault="00333B77" w:rsidP="00333B77">
            <w:pPr>
              <w:spacing w:after="0" w:line="240" w:lineRule="auto"/>
              <w:jc w:val="center"/>
              <w:rPr>
                <w:rFonts w:ascii="Times New Roman" w:eastAsia="Times New Roman" w:hAnsi="Times New Roman" w:cs="Times New Roman"/>
                <w:b/>
                <w:bCs/>
                <w:sz w:val="24"/>
                <w:szCs w:val="24"/>
              </w:rPr>
            </w:pPr>
            <w:r w:rsidRPr="00333B77">
              <w:rPr>
                <w:rFonts w:ascii="Times New Roman" w:eastAsia="Times New Roman" w:hAnsi="Times New Roman" w:cs="Times New Roman"/>
                <w:b/>
                <w:bCs/>
                <w:sz w:val="24"/>
                <w:szCs w:val="24"/>
              </w:rPr>
              <w:t>Default Rate</w:t>
            </w:r>
          </w:p>
        </w:tc>
        <w:tc>
          <w:tcPr>
            <w:tcW w:w="0" w:type="auto"/>
            <w:vAlign w:val="center"/>
            <w:hideMark/>
          </w:tcPr>
          <w:p w14:paraId="433A5B52" w14:textId="77777777" w:rsidR="00333B77" w:rsidRPr="00333B77" w:rsidRDefault="00333B77" w:rsidP="00333B77">
            <w:pPr>
              <w:spacing w:after="0" w:line="240" w:lineRule="auto"/>
              <w:jc w:val="center"/>
              <w:rPr>
                <w:rFonts w:ascii="Times New Roman" w:eastAsia="Times New Roman" w:hAnsi="Times New Roman" w:cs="Times New Roman"/>
                <w:b/>
                <w:bCs/>
                <w:sz w:val="24"/>
                <w:szCs w:val="24"/>
              </w:rPr>
            </w:pPr>
            <w:r w:rsidRPr="00333B77">
              <w:rPr>
                <w:rFonts w:ascii="Times New Roman" w:eastAsia="Times New Roman" w:hAnsi="Times New Roman" w:cs="Times New Roman"/>
                <w:b/>
                <w:bCs/>
                <w:sz w:val="24"/>
                <w:szCs w:val="24"/>
              </w:rPr>
              <w:t>Risk Level</w:t>
            </w:r>
          </w:p>
        </w:tc>
      </w:tr>
      <w:tr w:rsidR="00333B77" w:rsidRPr="00333B77" w14:paraId="5873F614" w14:textId="77777777" w:rsidTr="00333B77">
        <w:trPr>
          <w:tblCellSpacing w:w="15" w:type="dxa"/>
        </w:trPr>
        <w:tc>
          <w:tcPr>
            <w:tcW w:w="0" w:type="auto"/>
            <w:vAlign w:val="center"/>
            <w:hideMark/>
          </w:tcPr>
          <w:p w14:paraId="726A914B"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b/>
                <w:bCs/>
                <w:sz w:val="24"/>
                <w:szCs w:val="24"/>
              </w:rPr>
              <w:t>Low (&lt;$3K)</w:t>
            </w:r>
          </w:p>
        </w:tc>
        <w:tc>
          <w:tcPr>
            <w:tcW w:w="0" w:type="auto"/>
            <w:vAlign w:val="center"/>
            <w:hideMark/>
          </w:tcPr>
          <w:p w14:paraId="7D54E919"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b/>
                <w:bCs/>
                <w:sz w:val="24"/>
                <w:szCs w:val="24"/>
              </w:rPr>
              <w:t>36.00%</w:t>
            </w:r>
          </w:p>
        </w:tc>
        <w:tc>
          <w:tcPr>
            <w:tcW w:w="0" w:type="auto"/>
            <w:vAlign w:val="center"/>
            <w:hideMark/>
          </w:tcPr>
          <w:p w14:paraId="3D7F51DA"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Segoe UI Emoji" w:eastAsia="Times New Roman" w:hAnsi="Segoe UI Emoji" w:cs="Segoe UI Emoji"/>
                <w:sz w:val="24"/>
                <w:szCs w:val="24"/>
              </w:rPr>
              <w:t>🔴</w:t>
            </w:r>
            <w:r w:rsidRPr="00333B77">
              <w:rPr>
                <w:rFonts w:ascii="Times New Roman" w:eastAsia="Times New Roman" w:hAnsi="Times New Roman" w:cs="Times New Roman"/>
                <w:sz w:val="24"/>
                <w:szCs w:val="24"/>
              </w:rPr>
              <w:t xml:space="preserve"> Critical</w:t>
            </w:r>
          </w:p>
        </w:tc>
      </w:tr>
      <w:tr w:rsidR="00333B77" w:rsidRPr="00333B77" w14:paraId="00EED4D9" w14:textId="77777777" w:rsidTr="00333B77">
        <w:trPr>
          <w:tblCellSpacing w:w="15" w:type="dxa"/>
        </w:trPr>
        <w:tc>
          <w:tcPr>
            <w:tcW w:w="0" w:type="auto"/>
            <w:vAlign w:val="center"/>
            <w:hideMark/>
          </w:tcPr>
          <w:p w14:paraId="73B44DF4"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sz w:val="24"/>
                <w:szCs w:val="24"/>
              </w:rPr>
              <w:t>Lower-Mid ($3-5K)</w:t>
            </w:r>
          </w:p>
        </w:tc>
        <w:tc>
          <w:tcPr>
            <w:tcW w:w="0" w:type="auto"/>
            <w:vAlign w:val="center"/>
            <w:hideMark/>
          </w:tcPr>
          <w:p w14:paraId="671F9109"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sz w:val="24"/>
                <w:szCs w:val="24"/>
              </w:rPr>
              <w:t>27.00%</w:t>
            </w:r>
          </w:p>
        </w:tc>
        <w:tc>
          <w:tcPr>
            <w:tcW w:w="0" w:type="auto"/>
            <w:vAlign w:val="center"/>
            <w:hideMark/>
          </w:tcPr>
          <w:p w14:paraId="410BE8CD"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Segoe UI Emoji" w:eastAsia="Times New Roman" w:hAnsi="Segoe UI Emoji" w:cs="Segoe UI Emoji"/>
                <w:sz w:val="24"/>
                <w:szCs w:val="24"/>
              </w:rPr>
              <w:t>🟠</w:t>
            </w:r>
            <w:r w:rsidRPr="00333B77">
              <w:rPr>
                <w:rFonts w:ascii="Times New Roman" w:eastAsia="Times New Roman" w:hAnsi="Times New Roman" w:cs="Times New Roman"/>
                <w:sz w:val="24"/>
                <w:szCs w:val="24"/>
              </w:rPr>
              <w:t xml:space="preserve"> High</w:t>
            </w:r>
          </w:p>
        </w:tc>
      </w:tr>
      <w:tr w:rsidR="00333B77" w:rsidRPr="00333B77" w14:paraId="0D051C4A" w14:textId="77777777" w:rsidTr="00333B77">
        <w:trPr>
          <w:tblCellSpacing w:w="15" w:type="dxa"/>
        </w:trPr>
        <w:tc>
          <w:tcPr>
            <w:tcW w:w="0" w:type="auto"/>
            <w:vAlign w:val="center"/>
            <w:hideMark/>
          </w:tcPr>
          <w:p w14:paraId="65682A2C"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sz w:val="24"/>
                <w:szCs w:val="24"/>
              </w:rPr>
              <w:t>Middle ($5-7K)</w:t>
            </w:r>
          </w:p>
        </w:tc>
        <w:tc>
          <w:tcPr>
            <w:tcW w:w="0" w:type="auto"/>
            <w:vAlign w:val="center"/>
            <w:hideMark/>
          </w:tcPr>
          <w:p w14:paraId="6826D3AB"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sz w:val="24"/>
                <w:szCs w:val="24"/>
              </w:rPr>
              <w:t>22.00%</w:t>
            </w:r>
          </w:p>
        </w:tc>
        <w:tc>
          <w:tcPr>
            <w:tcW w:w="0" w:type="auto"/>
            <w:vAlign w:val="center"/>
            <w:hideMark/>
          </w:tcPr>
          <w:p w14:paraId="34932BD3"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Segoe UI Emoji" w:eastAsia="Times New Roman" w:hAnsi="Segoe UI Emoji" w:cs="Segoe UI Emoji"/>
                <w:sz w:val="24"/>
                <w:szCs w:val="24"/>
              </w:rPr>
              <w:t>🟡</w:t>
            </w:r>
            <w:r w:rsidRPr="00333B77">
              <w:rPr>
                <w:rFonts w:ascii="Times New Roman" w:eastAsia="Times New Roman" w:hAnsi="Times New Roman" w:cs="Times New Roman"/>
                <w:sz w:val="24"/>
                <w:szCs w:val="24"/>
              </w:rPr>
              <w:t xml:space="preserve"> Moderate</w:t>
            </w:r>
          </w:p>
        </w:tc>
      </w:tr>
      <w:tr w:rsidR="00333B77" w:rsidRPr="00333B77" w14:paraId="74E6062E" w14:textId="77777777" w:rsidTr="00333B77">
        <w:trPr>
          <w:tblCellSpacing w:w="15" w:type="dxa"/>
        </w:trPr>
        <w:tc>
          <w:tcPr>
            <w:tcW w:w="0" w:type="auto"/>
            <w:vAlign w:val="center"/>
            <w:hideMark/>
          </w:tcPr>
          <w:p w14:paraId="181B062C"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sz w:val="24"/>
                <w:szCs w:val="24"/>
              </w:rPr>
              <w:t>Upper-Mid ($7-10K)</w:t>
            </w:r>
          </w:p>
        </w:tc>
        <w:tc>
          <w:tcPr>
            <w:tcW w:w="0" w:type="auto"/>
            <w:vAlign w:val="center"/>
            <w:hideMark/>
          </w:tcPr>
          <w:p w14:paraId="5FC87DCE"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sz w:val="24"/>
                <w:szCs w:val="24"/>
              </w:rPr>
              <w:t>20.00%</w:t>
            </w:r>
          </w:p>
        </w:tc>
        <w:tc>
          <w:tcPr>
            <w:tcW w:w="0" w:type="auto"/>
            <w:vAlign w:val="center"/>
            <w:hideMark/>
          </w:tcPr>
          <w:p w14:paraId="298F2E0A"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Segoe UI Emoji" w:eastAsia="Times New Roman" w:hAnsi="Segoe UI Emoji" w:cs="Segoe UI Emoji"/>
                <w:sz w:val="24"/>
                <w:szCs w:val="24"/>
              </w:rPr>
              <w:t>🟢</w:t>
            </w:r>
            <w:r w:rsidRPr="00333B77">
              <w:rPr>
                <w:rFonts w:ascii="Times New Roman" w:eastAsia="Times New Roman" w:hAnsi="Times New Roman" w:cs="Times New Roman"/>
                <w:sz w:val="24"/>
                <w:szCs w:val="24"/>
              </w:rPr>
              <w:t xml:space="preserve"> Acceptable</w:t>
            </w:r>
          </w:p>
        </w:tc>
      </w:tr>
      <w:tr w:rsidR="00333B77" w:rsidRPr="00333B77" w14:paraId="4AA521A9" w14:textId="77777777" w:rsidTr="00333B77">
        <w:trPr>
          <w:tblCellSpacing w:w="15" w:type="dxa"/>
        </w:trPr>
        <w:tc>
          <w:tcPr>
            <w:tcW w:w="0" w:type="auto"/>
            <w:vAlign w:val="center"/>
            <w:hideMark/>
          </w:tcPr>
          <w:p w14:paraId="3787F6AB"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sz w:val="24"/>
                <w:szCs w:val="24"/>
              </w:rPr>
              <w:t>High (&gt;$10K)</w:t>
            </w:r>
          </w:p>
        </w:tc>
        <w:tc>
          <w:tcPr>
            <w:tcW w:w="0" w:type="auto"/>
            <w:vAlign w:val="center"/>
            <w:hideMark/>
          </w:tcPr>
          <w:p w14:paraId="760EBD95"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sz w:val="24"/>
                <w:szCs w:val="24"/>
              </w:rPr>
              <w:t>20.00%</w:t>
            </w:r>
          </w:p>
        </w:tc>
        <w:tc>
          <w:tcPr>
            <w:tcW w:w="0" w:type="auto"/>
            <w:vAlign w:val="center"/>
            <w:hideMark/>
          </w:tcPr>
          <w:p w14:paraId="2E8BF790" w14:textId="77777777" w:rsidR="00333B77" w:rsidRPr="00333B77" w:rsidRDefault="00333B77" w:rsidP="00333B77">
            <w:pPr>
              <w:spacing w:after="0" w:line="240" w:lineRule="auto"/>
              <w:rPr>
                <w:rFonts w:ascii="Times New Roman" w:eastAsia="Times New Roman" w:hAnsi="Times New Roman" w:cs="Times New Roman"/>
                <w:sz w:val="24"/>
                <w:szCs w:val="24"/>
              </w:rPr>
            </w:pPr>
            <w:r w:rsidRPr="00333B77">
              <w:rPr>
                <w:rFonts w:ascii="Segoe UI Emoji" w:eastAsia="Times New Roman" w:hAnsi="Segoe UI Emoji" w:cs="Segoe UI Emoji"/>
                <w:sz w:val="24"/>
                <w:szCs w:val="24"/>
              </w:rPr>
              <w:t>🟢</w:t>
            </w:r>
            <w:r w:rsidRPr="00333B77">
              <w:rPr>
                <w:rFonts w:ascii="Times New Roman" w:eastAsia="Times New Roman" w:hAnsi="Times New Roman" w:cs="Times New Roman"/>
                <w:sz w:val="24"/>
                <w:szCs w:val="24"/>
              </w:rPr>
              <w:t xml:space="preserve"> Acceptable</w:t>
            </w:r>
          </w:p>
        </w:tc>
      </w:tr>
    </w:tbl>
    <w:p w14:paraId="5A0B8F77" w14:textId="77777777" w:rsidR="00333B77" w:rsidRPr="00333B77" w:rsidRDefault="00333B77" w:rsidP="00333B77">
      <w:pPr>
        <w:spacing w:before="100" w:beforeAutospacing="1" w:after="100" w:afterAutospacing="1"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b/>
          <w:bCs/>
          <w:sz w:val="24"/>
          <w:szCs w:val="24"/>
        </w:rPr>
        <w:lastRenderedPageBreak/>
        <w:t>Business Insight:</w:t>
      </w:r>
      <w:r w:rsidRPr="00333B77">
        <w:rPr>
          <w:rFonts w:ascii="Times New Roman" w:eastAsia="Times New Roman" w:hAnsi="Times New Roman" w:cs="Times New Roman"/>
          <w:sz w:val="24"/>
          <w:szCs w:val="24"/>
        </w:rPr>
        <w:br/>
      </w:r>
      <w:r w:rsidRPr="00333B77">
        <w:rPr>
          <w:rFonts w:ascii="Times New Roman" w:eastAsia="Times New Roman" w:hAnsi="Times New Roman" w:cs="Times New Roman"/>
          <w:b/>
          <w:bCs/>
          <w:sz w:val="24"/>
          <w:szCs w:val="24"/>
        </w:rPr>
        <w:t>Income is the strongest default predictor</w:t>
      </w:r>
      <w:r w:rsidRPr="00333B77">
        <w:rPr>
          <w:rFonts w:ascii="Times New Roman" w:eastAsia="Times New Roman" w:hAnsi="Times New Roman" w:cs="Times New Roman"/>
          <w:sz w:val="24"/>
          <w:szCs w:val="24"/>
        </w:rPr>
        <w:t xml:space="preserve">. Low-income borrowers (&lt;$3K) default at </w:t>
      </w:r>
      <w:r w:rsidRPr="00333B77">
        <w:rPr>
          <w:rFonts w:ascii="Times New Roman" w:eastAsia="Times New Roman" w:hAnsi="Times New Roman" w:cs="Times New Roman"/>
          <w:b/>
          <w:bCs/>
          <w:sz w:val="24"/>
          <w:szCs w:val="24"/>
        </w:rPr>
        <w:t>36%</w:t>
      </w:r>
      <w:r w:rsidRPr="00333B77">
        <w:rPr>
          <w:rFonts w:ascii="Times New Roman" w:eastAsia="Times New Roman" w:hAnsi="Times New Roman" w:cs="Times New Roman"/>
          <w:sz w:val="24"/>
          <w:szCs w:val="24"/>
        </w:rPr>
        <w:t xml:space="preserve">—nearly </w:t>
      </w:r>
      <w:r w:rsidRPr="00333B77">
        <w:rPr>
          <w:rFonts w:ascii="Times New Roman" w:eastAsia="Times New Roman" w:hAnsi="Times New Roman" w:cs="Times New Roman"/>
          <w:b/>
          <w:bCs/>
          <w:sz w:val="24"/>
          <w:szCs w:val="24"/>
        </w:rPr>
        <w:t>twice the portfolio average</w:t>
      </w:r>
      <w:r w:rsidRPr="00333B77">
        <w:rPr>
          <w:rFonts w:ascii="Times New Roman" w:eastAsia="Times New Roman" w:hAnsi="Times New Roman" w:cs="Times New Roman"/>
          <w:sz w:val="24"/>
          <w:szCs w:val="24"/>
        </w:rPr>
        <w:t>. Key observations:</w:t>
      </w:r>
    </w:p>
    <w:p w14:paraId="088BAD9D" w14:textId="77777777" w:rsidR="00333B77" w:rsidRPr="00333B77" w:rsidRDefault="00333B77" w:rsidP="00AD3D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b/>
          <w:bCs/>
          <w:sz w:val="24"/>
          <w:szCs w:val="24"/>
        </w:rPr>
        <w:t>Sharp drop</w:t>
      </w:r>
      <w:r w:rsidRPr="00333B77">
        <w:rPr>
          <w:rFonts w:ascii="Times New Roman" w:eastAsia="Times New Roman" w:hAnsi="Times New Roman" w:cs="Times New Roman"/>
          <w:sz w:val="24"/>
          <w:szCs w:val="24"/>
        </w:rPr>
        <w:t xml:space="preserve"> from Low to Lower-Mid income (36% → 27% = 9pp improvement)</w:t>
      </w:r>
    </w:p>
    <w:p w14:paraId="71900A4B" w14:textId="77777777" w:rsidR="00333B77" w:rsidRPr="00333B77" w:rsidRDefault="00333B77" w:rsidP="00AD3D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b/>
          <w:bCs/>
          <w:sz w:val="24"/>
          <w:szCs w:val="24"/>
        </w:rPr>
        <w:t>Plateau effect</w:t>
      </w:r>
      <w:r w:rsidRPr="00333B77">
        <w:rPr>
          <w:rFonts w:ascii="Times New Roman" w:eastAsia="Times New Roman" w:hAnsi="Times New Roman" w:cs="Times New Roman"/>
          <w:sz w:val="24"/>
          <w:szCs w:val="24"/>
        </w:rPr>
        <w:t xml:space="preserve"> after $7K—additional income doesn't further reduce risk</w:t>
      </w:r>
    </w:p>
    <w:p w14:paraId="3DE7CA2B" w14:textId="77777777" w:rsidR="00333B77" w:rsidRPr="00333B77" w:rsidRDefault="00333B77" w:rsidP="00AD3D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b/>
          <w:bCs/>
          <w:sz w:val="24"/>
          <w:szCs w:val="24"/>
        </w:rPr>
        <w:t>Critical threshold</w:t>
      </w:r>
      <w:r w:rsidRPr="00333B77">
        <w:rPr>
          <w:rFonts w:ascii="Times New Roman" w:eastAsia="Times New Roman" w:hAnsi="Times New Roman" w:cs="Times New Roman"/>
          <w:sz w:val="24"/>
          <w:szCs w:val="24"/>
        </w:rPr>
        <w:t>: $5,000/month income represents the safety line</w:t>
      </w:r>
    </w:p>
    <w:p w14:paraId="0043B542" w14:textId="77777777" w:rsidR="00333B77" w:rsidRPr="00333B77" w:rsidRDefault="00333B77" w:rsidP="00AD3D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b/>
          <w:bCs/>
          <w:sz w:val="24"/>
          <w:szCs w:val="24"/>
        </w:rPr>
        <w:t>Volume concern</w:t>
      </w:r>
      <w:r w:rsidRPr="00333B77">
        <w:rPr>
          <w:rFonts w:ascii="Times New Roman" w:eastAsia="Times New Roman" w:hAnsi="Times New Roman" w:cs="Times New Roman"/>
          <w:sz w:val="24"/>
          <w:szCs w:val="24"/>
        </w:rPr>
        <w:t>: 21,000 loans to low-income borrowers = 7,560 expected defaults</w:t>
      </w:r>
    </w:p>
    <w:p w14:paraId="408D4C17" w14:textId="77777777" w:rsidR="00333B77" w:rsidRPr="00333B77" w:rsidRDefault="00333B77" w:rsidP="00333B77">
      <w:pPr>
        <w:spacing w:before="100" w:beforeAutospacing="1" w:after="100" w:afterAutospacing="1"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b/>
          <w:bCs/>
          <w:sz w:val="24"/>
          <w:szCs w:val="24"/>
        </w:rPr>
        <w:t>Why This Matters:</w:t>
      </w:r>
      <w:r w:rsidRPr="00333B77">
        <w:rPr>
          <w:rFonts w:ascii="Times New Roman" w:eastAsia="Times New Roman" w:hAnsi="Times New Roman" w:cs="Times New Roman"/>
          <w:sz w:val="24"/>
          <w:szCs w:val="24"/>
        </w:rPr>
        <w:t xml:space="preserve"> Income directly measures </w:t>
      </w:r>
      <w:r w:rsidRPr="00333B77">
        <w:rPr>
          <w:rFonts w:ascii="Times New Roman" w:eastAsia="Times New Roman" w:hAnsi="Times New Roman" w:cs="Times New Roman"/>
          <w:b/>
          <w:bCs/>
          <w:sz w:val="24"/>
          <w:szCs w:val="24"/>
        </w:rPr>
        <w:t>repayment capacity</w:t>
      </w:r>
      <w:r w:rsidRPr="00333B77">
        <w:rPr>
          <w:rFonts w:ascii="Times New Roman" w:eastAsia="Times New Roman" w:hAnsi="Times New Roman" w:cs="Times New Roman"/>
          <w:sz w:val="24"/>
          <w:szCs w:val="24"/>
        </w:rPr>
        <w:t>. Even with appropriate loan sizing (low-income = smaller loans), default risk remains elevated because these borrowers have no financial buffer for job loss or unexpected expenses.</w:t>
      </w:r>
    </w:p>
    <w:p w14:paraId="07ACE128" w14:textId="38FF4B0F" w:rsidR="00333B77" w:rsidRDefault="00333B77" w:rsidP="00333B77">
      <w:pPr>
        <w:spacing w:before="100" w:beforeAutospacing="1" w:after="100" w:afterAutospacing="1" w:line="240" w:lineRule="auto"/>
        <w:rPr>
          <w:rFonts w:ascii="Times New Roman" w:eastAsia="Times New Roman" w:hAnsi="Times New Roman" w:cs="Times New Roman"/>
          <w:sz w:val="24"/>
          <w:szCs w:val="24"/>
        </w:rPr>
      </w:pPr>
      <w:r w:rsidRPr="00333B77">
        <w:rPr>
          <w:rFonts w:ascii="Times New Roman" w:eastAsia="Times New Roman" w:hAnsi="Times New Roman" w:cs="Times New Roman"/>
          <w:b/>
          <w:bCs/>
          <w:sz w:val="24"/>
          <w:szCs w:val="24"/>
        </w:rPr>
        <w:t>Recommendation:</w:t>
      </w:r>
      <w:r w:rsidRPr="00333B77">
        <w:rPr>
          <w:rFonts w:ascii="Times New Roman" w:eastAsia="Times New Roman" w:hAnsi="Times New Roman" w:cs="Times New Roman"/>
          <w:sz w:val="24"/>
          <w:szCs w:val="24"/>
        </w:rPr>
        <w:t xml:space="preserve"> Set </w:t>
      </w:r>
      <w:r w:rsidRPr="00333B77">
        <w:rPr>
          <w:rFonts w:ascii="Times New Roman" w:eastAsia="Times New Roman" w:hAnsi="Times New Roman" w:cs="Times New Roman"/>
          <w:b/>
          <w:bCs/>
          <w:sz w:val="24"/>
          <w:szCs w:val="24"/>
        </w:rPr>
        <w:t>minimum monthly income requirement at $5,000</w:t>
      </w:r>
      <w:r w:rsidRPr="00333B77">
        <w:rPr>
          <w:rFonts w:ascii="Times New Roman" w:eastAsia="Times New Roman" w:hAnsi="Times New Roman" w:cs="Times New Roman"/>
          <w:sz w:val="24"/>
          <w:szCs w:val="24"/>
        </w:rPr>
        <w:t xml:space="preserve"> for new loan approvals.</w:t>
      </w:r>
    </w:p>
    <w:p w14:paraId="37B20011" w14:textId="77777777" w:rsidR="00333B77" w:rsidRDefault="00333B77" w:rsidP="00333B77">
      <w:pPr>
        <w:pStyle w:val="Heading3"/>
      </w:pPr>
      <w:r>
        <w:rPr>
          <w:rStyle w:val="Strong"/>
          <w:b w:val="0"/>
          <w:bCs w:val="0"/>
        </w:rPr>
        <w:t>Business Question 7: Does Pre-Approval Reduce Defaults?</w:t>
      </w:r>
    </w:p>
    <w:p w14:paraId="42B96950" w14:textId="77777777" w:rsidR="00333B77" w:rsidRDefault="00333B77" w:rsidP="00333B77">
      <w:pPr>
        <w:pStyle w:val="font-claude-response-body"/>
      </w:pPr>
      <w:r>
        <w:rPr>
          <w:rStyle w:val="Strong"/>
          <w:rFonts w:eastAsiaTheme="majorEastAsia"/>
        </w:rPr>
        <w:t>Analysis Performed:</w:t>
      </w:r>
      <w:r>
        <w:t xml:space="preserve"> Compared default rates between pre-approved and standard processing paths.</w:t>
      </w:r>
    </w:p>
    <w:p w14:paraId="5E09F36F" w14:textId="184A418D" w:rsidR="00333B77" w:rsidRDefault="00333B77" w:rsidP="00333B77">
      <w:pPr>
        <w:pStyle w:val="font-claude-response-body"/>
        <w:rPr>
          <w:rStyle w:val="Strong"/>
          <w:rFonts w:eastAsiaTheme="majorEastAsia"/>
        </w:rPr>
      </w:pPr>
      <w:r>
        <w:rPr>
          <w:rStyle w:val="Strong"/>
          <w:rFonts w:ascii="Segoe UI Emoji" w:eastAsiaTheme="majorEastAsia" w:hAnsi="Segoe UI Emoji" w:cs="Segoe UI Emoji"/>
        </w:rPr>
        <w:t>📊</w:t>
      </w:r>
      <w:r>
        <w:rPr>
          <w:rStyle w:val="Strong"/>
          <w:rFonts w:eastAsiaTheme="majorEastAsia"/>
        </w:rPr>
        <w:t xml:space="preserve"> Chart 9: Pre-Approval Effectiveness</w:t>
      </w:r>
    </w:p>
    <w:p w14:paraId="51E92299" w14:textId="5607F755" w:rsidR="00333B77" w:rsidRDefault="00333B77" w:rsidP="00333B77">
      <w:pPr>
        <w:pStyle w:val="font-claude-response-body"/>
      </w:pPr>
      <w:r w:rsidRPr="00333B77">
        <w:rPr>
          <w:noProof/>
        </w:rPr>
        <w:drawing>
          <wp:inline distT="0" distB="0" distL="0" distR="0" wp14:anchorId="7C2FCEAD" wp14:editId="79A8E6C5">
            <wp:extent cx="5943600" cy="1913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13890"/>
                    </a:xfrm>
                    <a:prstGeom prst="rect">
                      <a:avLst/>
                    </a:prstGeom>
                  </pic:spPr>
                </pic:pic>
              </a:graphicData>
            </a:graphic>
          </wp:inline>
        </w:drawing>
      </w:r>
      <w:r>
        <w:rPr>
          <w:rStyle w:val="Strong"/>
          <w:rFonts w:eastAsiaTheme="majorEastAsia"/>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784"/>
        <w:gridCol w:w="824"/>
        <w:gridCol w:w="1206"/>
        <w:gridCol w:w="1574"/>
      </w:tblGrid>
      <w:tr w:rsidR="00333B77" w14:paraId="50C349F4" w14:textId="77777777" w:rsidTr="00333B77">
        <w:trPr>
          <w:tblHeader/>
          <w:tblCellSpacing w:w="15" w:type="dxa"/>
        </w:trPr>
        <w:tc>
          <w:tcPr>
            <w:tcW w:w="0" w:type="auto"/>
            <w:vAlign w:val="center"/>
            <w:hideMark/>
          </w:tcPr>
          <w:p w14:paraId="77E13832" w14:textId="77777777" w:rsidR="00333B77" w:rsidRDefault="00333B77" w:rsidP="00C56FE4">
            <w:pPr>
              <w:rPr>
                <w:b/>
                <w:bCs/>
              </w:rPr>
            </w:pPr>
            <w:r>
              <w:rPr>
                <w:b/>
                <w:bCs/>
              </w:rPr>
              <w:t>Approval Type</w:t>
            </w:r>
          </w:p>
        </w:tc>
        <w:tc>
          <w:tcPr>
            <w:tcW w:w="0" w:type="auto"/>
            <w:vAlign w:val="center"/>
            <w:hideMark/>
          </w:tcPr>
          <w:p w14:paraId="1635D698" w14:textId="77777777" w:rsidR="00333B77" w:rsidRDefault="00333B77">
            <w:pPr>
              <w:jc w:val="center"/>
              <w:rPr>
                <w:b/>
                <w:bCs/>
              </w:rPr>
            </w:pPr>
            <w:r>
              <w:rPr>
                <w:b/>
                <w:bCs/>
              </w:rPr>
              <w:t>Loans</w:t>
            </w:r>
          </w:p>
        </w:tc>
        <w:tc>
          <w:tcPr>
            <w:tcW w:w="0" w:type="auto"/>
            <w:vAlign w:val="center"/>
            <w:hideMark/>
          </w:tcPr>
          <w:p w14:paraId="2A764595" w14:textId="77777777" w:rsidR="00333B77" w:rsidRDefault="00333B77">
            <w:pPr>
              <w:jc w:val="center"/>
              <w:rPr>
                <w:b/>
                <w:bCs/>
              </w:rPr>
            </w:pPr>
            <w:r>
              <w:rPr>
                <w:b/>
                <w:bCs/>
              </w:rPr>
              <w:t>Defaults</w:t>
            </w:r>
          </w:p>
        </w:tc>
        <w:tc>
          <w:tcPr>
            <w:tcW w:w="0" w:type="auto"/>
            <w:vAlign w:val="center"/>
            <w:hideMark/>
          </w:tcPr>
          <w:p w14:paraId="16584018" w14:textId="77777777" w:rsidR="00333B77" w:rsidRDefault="00333B77">
            <w:pPr>
              <w:jc w:val="center"/>
              <w:rPr>
                <w:b/>
                <w:bCs/>
              </w:rPr>
            </w:pPr>
            <w:r>
              <w:rPr>
                <w:b/>
                <w:bCs/>
              </w:rPr>
              <w:t>Default Rate</w:t>
            </w:r>
          </w:p>
        </w:tc>
        <w:tc>
          <w:tcPr>
            <w:tcW w:w="0" w:type="auto"/>
            <w:vAlign w:val="center"/>
            <w:hideMark/>
          </w:tcPr>
          <w:p w14:paraId="529F9FD3" w14:textId="77777777" w:rsidR="00333B77" w:rsidRDefault="00333B77">
            <w:pPr>
              <w:jc w:val="center"/>
              <w:rPr>
                <w:b/>
                <w:bCs/>
              </w:rPr>
            </w:pPr>
            <w:r>
              <w:rPr>
                <w:b/>
                <w:bCs/>
              </w:rPr>
              <w:t>Avg Credit Score</w:t>
            </w:r>
          </w:p>
        </w:tc>
      </w:tr>
      <w:tr w:rsidR="00333B77" w14:paraId="50EDB5C4" w14:textId="77777777" w:rsidTr="00333B77">
        <w:trPr>
          <w:tblCellSpacing w:w="15" w:type="dxa"/>
        </w:trPr>
        <w:tc>
          <w:tcPr>
            <w:tcW w:w="0" w:type="auto"/>
            <w:vAlign w:val="center"/>
            <w:hideMark/>
          </w:tcPr>
          <w:p w14:paraId="6EF8E97C" w14:textId="77777777" w:rsidR="00333B77" w:rsidRDefault="00333B77">
            <w:r>
              <w:rPr>
                <w:rStyle w:val="Strong"/>
              </w:rPr>
              <w:t>No Pre-Approval</w:t>
            </w:r>
          </w:p>
        </w:tc>
        <w:tc>
          <w:tcPr>
            <w:tcW w:w="0" w:type="auto"/>
            <w:vAlign w:val="center"/>
            <w:hideMark/>
          </w:tcPr>
          <w:p w14:paraId="5E221DB3" w14:textId="77777777" w:rsidR="00333B77" w:rsidRDefault="00333B77">
            <w:r>
              <w:t>124,621</w:t>
            </w:r>
          </w:p>
        </w:tc>
        <w:tc>
          <w:tcPr>
            <w:tcW w:w="0" w:type="auto"/>
            <w:vAlign w:val="center"/>
            <w:hideMark/>
          </w:tcPr>
          <w:p w14:paraId="5DDA4C58" w14:textId="77777777" w:rsidR="00333B77" w:rsidRDefault="00333B77">
            <w:r>
              <w:t>31,563</w:t>
            </w:r>
          </w:p>
        </w:tc>
        <w:tc>
          <w:tcPr>
            <w:tcW w:w="0" w:type="auto"/>
            <w:vAlign w:val="center"/>
            <w:hideMark/>
          </w:tcPr>
          <w:p w14:paraId="1AAFB086" w14:textId="77777777" w:rsidR="00333B77" w:rsidRDefault="00333B77">
            <w:r>
              <w:rPr>
                <w:rStyle w:val="Strong"/>
              </w:rPr>
              <w:t>25.0%</w:t>
            </w:r>
          </w:p>
        </w:tc>
        <w:tc>
          <w:tcPr>
            <w:tcW w:w="0" w:type="auto"/>
            <w:vAlign w:val="center"/>
            <w:hideMark/>
          </w:tcPr>
          <w:p w14:paraId="6113D560" w14:textId="77777777" w:rsidR="00333B77" w:rsidRDefault="00333B77">
            <w:r>
              <w:t>699.84</w:t>
            </w:r>
          </w:p>
        </w:tc>
      </w:tr>
      <w:tr w:rsidR="00333B77" w14:paraId="3C4410B3" w14:textId="77777777" w:rsidTr="00333B77">
        <w:trPr>
          <w:tblCellSpacing w:w="15" w:type="dxa"/>
        </w:trPr>
        <w:tc>
          <w:tcPr>
            <w:tcW w:w="0" w:type="auto"/>
            <w:vAlign w:val="center"/>
            <w:hideMark/>
          </w:tcPr>
          <w:p w14:paraId="4A62FDA3" w14:textId="77777777" w:rsidR="00333B77" w:rsidRDefault="00333B77">
            <w:r>
              <w:rPr>
                <w:rStyle w:val="Strong"/>
              </w:rPr>
              <w:t>Pre-Approval</w:t>
            </w:r>
          </w:p>
        </w:tc>
        <w:tc>
          <w:tcPr>
            <w:tcW w:w="0" w:type="auto"/>
            <w:vAlign w:val="center"/>
            <w:hideMark/>
          </w:tcPr>
          <w:p w14:paraId="52A94376" w14:textId="77777777" w:rsidR="00333B77" w:rsidRDefault="00333B77">
            <w:r>
              <w:t>23,141</w:t>
            </w:r>
          </w:p>
        </w:tc>
        <w:tc>
          <w:tcPr>
            <w:tcW w:w="0" w:type="auto"/>
            <w:vAlign w:val="center"/>
            <w:hideMark/>
          </w:tcPr>
          <w:p w14:paraId="428DD943" w14:textId="77777777" w:rsidR="00333B77" w:rsidRDefault="00333B77">
            <w:r>
              <w:t>4,835</w:t>
            </w:r>
          </w:p>
        </w:tc>
        <w:tc>
          <w:tcPr>
            <w:tcW w:w="0" w:type="auto"/>
            <w:vAlign w:val="center"/>
            <w:hideMark/>
          </w:tcPr>
          <w:p w14:paraId="56D4BF8C" w14:textId="77777777" w:rsidR="00333B77" w:rsidRDefault="00333B77">
            <w:r>
              <w:rPr>
                <w:rStyle w:val="Strong"/>
              </w:rPr>
              <w:t>21.0%</w:t>
            </w:r>
          </w:p>
        </w:tc>
        <w:tc>
          <w:tcPr>
            <w:tcW w:w="0" w:type="auto"/>
            <w:vAlign w:val="center"/>
            <w:hideMark/>
          </w:tcPr>
          <w:p w14:paraId="3AC54064" w14:textId="77777777" w:rsidR="00333B77" w:rsidRDefault="00333B77">
            <w:r>
              <w:t>699.46</w:t>
            </w:r>
          </w:p>
        </w:tc>
      </w:tr>
      <w:tr w:rsidR="00333B77" w14:paraId="0FE8572C" w14:textId="77777777" w:rsidTr="00333B77">
        <w:trPr>
          <w:tblCellSpacing w:w="15" w:type="dxa"/>
        </w:trPr>
        <w:tc>
          <w:tcPr>
            <w:tcW w:w="0" w:type="auto"/>
            <w:vAlign w:val="center"/>
            <w:hideMark/>
          </w:tcPr>
          <w:p w14:paraId="1A416ABD" w14:textId="77777777" w:rsidR="00333B77" w:rsidRDefault="00333B77">
            <w:r>
              <w:rPr>
                <w:rStyle w:val="Strong"/>
              </w:rPr>
              <w:t>Impact</w:t>
            </w:r>
          </w:p>
        </w:tc>
        <w:tc>
          <w:tcPr>
            <w:tcW w:w="0" w:type="auto"/>
            <w:vAlign w:val="center"/>
            <w:hideMark/>
          </w:tcPr>
          <w:p w14:paraId="5AA8819E" w14:textId="77777777" w:rsidR="00333B77" w:rsidRDefault="00333B77">
            <w:r>
              <w:t>-</w:t>
            </w:r>
          </w:p>
        </w:tc>
        <w:tc>
          <w:tcPr>
            <w:tcW w:w="0" w:type="auto"/>
            <w:vAlign w:val="center"/>
            <w:hideMark/>
          </w:tcPr>
          <w:p w14:paraId="0D8163A4" w14:textId="77777777" w:rsidR="00333B77" w:rsidRDefault="00333B77">
            <w:r>
              <w:t>-</w:t>
            </w:r>
          </w:p>
        </w:tc>
        <w:tc>
          <w:tcPr>
            <w:tcW w:w="0" w:type="auto"/>
            <w:vAlign w:val="center"/>
            <w:hideMark/>
          </w:tcPr>
          <w:p w14:paraId="37D84ADE" w14:textId="77777777" w:rsidR="00333B77" w:rsidRDefault="00333B77">
            <w:r>
              <w:rPr>
                <w:rStyle w:val="Strong"/>
              </w:rPr>
              <w:t>-4.0pp</w:t>
            </w:r>
          </w:p>
        </w:tc>
        <w:tc>
          <w:tcPr>
            <w:tcW w:w="0" w:type="auto"/>
            <w:vAlign w:val="center"/>
            <w:hideMark/>
          </w:tcPr>
          <w:p w14:paraId="7FBCFAA4" w14:textId="77777777" w:rsidR="00333B77" w:rsidRDefault="00333B77">
            <w:r>
              <w:t>-0.38 (same)</w:t>
            </w:r>
          </w:p>
        </w:tc>
      </w:tr>
    </w:tbl>
    <w:p w14:paraId="124C1868" w14:textId="77777777" w:rsidR="00333B77" w:rsidRDefault="00333B77" w:rsidP="00333B77">
      <w:pPr>
        <w:pStyle w:val="font-claude-response-body"/>
      </w:pPr>
      <w:r>
        <w:rPr>
          <w:rStyle w:val="Strong"/>
          <w:rFonts w:eastAsiaTheme="majorEastAsia"/>
        </w:rPr>
        <w:t>Business Insight:</w:t>
      </w:r>
      <w:r>
        <w:br/>
        <w:t xml:space="preserve">Pre-approval delivers </w:t>
      </w:r>
      <w:r>
        <w:rPr>
          <w:rStyle w:val="Strong"/>
          <w:rFonts w:eastAsiaTheme="majorEastAsia"/>
        </w:rPr>
        <w:t>4 percentage point default reduction</w:t>
      </w:r>
      <w:r>
        <w:t xml:space="preserve"> (25% → 21%) despite serving </w:t>
      </w:r>
      <w:r>
        <w:lastRenderedPageBreak/>
        <w:t xml:space="preserve">borrowers with </w:t>
      </w:r>
      <w:r>
        <w:rPr>
          <w:rStyle w:val="Strong"/>
          <w:rFonts w:eastAsiaTheme="majorEastAsia"/>
        </w:rPr>
        <w:t>identical credit scores</w:t>
      </w:r>
      <w:r>
        <w:t xml:space="preserve"> (~700). This proves the benefit is </w:t>
      </w:r>
      <w:r>
        <w:rPr>
          <w:rStyle w:val="Strong"/>
          <w:rFonts w:eastAsiaTheme="majorEastAsia"/>
        </w:rPr>
        <w:t>process-driven, not selection bias</w:t>
      </w:r>
      <w:r>
        <w:t>.</w:t>
      </w:r>
    </w:p>
    <w:p w14:paraId="0C511ABC" w14:textId="77777777" w:rsidR="00333B77" w:rsidRDefault="00333B77" w:rsidP="00333B77">
      <w:pPr>
        <w:pStyle w:val="font-claude-response-body"/>
      </w:pPr>
      <w:r>
        <w:rPr>
          <w:rStyle w:val="Strong"/>
          <w:rFonts w:eastAsiaTheme="majorEastAsia"/>
        </w:rPr>
        <w:t>Why Pre-Approval Works:</w:t>
      </w:r>
    </w:p>
    <w:p w14:paraId="1E7B66AE" w14:textId="77777777" w:rsidR="00333B77" w:rsidRDefault="00333B77" w:rsidP="00AD3D49">
      <w:pPr>
        <w:pStyle w:val="whitespace-normal"/>
        <w:numPr>
          <w:ilvl w:val="0"/>
          <w:numId w:val="13"/>
        </w:numPr>
      </w:pPr>
      <w:r>
        <w:rPr>
          <w:rStyle w:val="Strong"/>
          <w:rFonts w:eastAsiaTheme="majorEastAsia"/>
        </w:rPr>
        <w:t>Enhanced screening</w:t>
      </w:r>
      <w:r>
        <w:t>: Upfront documentation review catches red flags</w:t>
      </w:r>
    </w:p>
    <w:p w14:paraId="7F1EE684" w14:textId="77777777" w:rsidR="00333B77" w:rsidRDefault="00333B77" w:rsidP="00AD3D49">
      <w:pPr>
        <w:pStyle w:val="whitespace-normal"/>
        <w:numPr>
          <w:ilvl w:val="0"/>
          <w:numId w:val="13"/>
        </w:numPr>
      </w:pPr>
      <w:r>
        <w:rPr>
          <w:rStyle w:val="Strong"/>
          <w:rFonts w:eastAsiaTheme="majorEastAsia"/>
        </w:rPr>
        <w:t>Borrower commitment</w:t>
      </w:r>
      <w:r>
        <w:t>: Pre-approved buyers are more serious/prepared</w:t>
      </w:r>
    </w:p>
    <w:p w14:paraId="5F7E56D4" w14:textId="77777777" w:rsidR="00333B77" w:rsidRDefault="00333B77" w:rsidP="00AD3D49">
      <w:pPr>
        <w:pStyle w:val="whitespace-normal"/>
        <w:numPr>
          <w:ilvl w:val="0"/>
          <w:numId w:val="13"/>
        </w:numPr>
      </w:pPr>
      <w:r>
        <w:rPr>
          <w:rStyle w:val="Strong"/>
          <w:rFonts w:eastAsiaTheme="majorEastAsia"/>
        </w:rPr>
        <w:t>Income verification</w:t>
      </w:r>
      <w:r>
        <w:t>: Deeper validation of repayment capacity</w:t>
      </w:r>
    </w:p>
    <w:p w14:paraId="0CD5ED0B" w14:textId="77777777" w:rsidR="00333B77" w:rsidRDefault="00333B77" w:rsidP="00AD3D49">
      <w:pPr>
        <w:pStyle w:val="whitespace-normal"/>
        <w:numPr>
          <w:ilvl w:val="0"/>
          <w:numId w:val="13"/>
        </w:numPr>
      </w:pPr>
      <w:r>
        <w:rPr>
          <w:rStyle w:val="Strong"/>
          <w:rFonts w:eastAsiaTheme="majorEastAsia"/>
        </w:rPr>
        <w:t>Self-selection</w:t>
      </w:r>
      <w:r>
        <w:t>: Riskiest applicants avoid rigorous pre-approval process</w:t>
      </w:r>
    </w:p>
    <w:p w14:paraId="05F3734D" w14:textId="77777777" w:rsidR="00333B77" w:rsidRDefault="00333B77" w:rsidP="00333B77">
      <w:pPr>
        <w:pStyle w:val="font-claude-response-body"/>
      </w:pPr>
      <w:r>
        <w:rPr>
          <w:rStyle w:val="Strong"/>
          <w:rFonts w:eastAsiaTheme="majorEastAsia"/>
        </w:rPr>
        <w:t>Major Opportunity Identified:</w:t>
      </w:r>
    </w:p>
    <w:p w14:paraId="679AFC34" w14:textId="77777777" w:rsidR="00333B77" w:rsidRDefault="00333B77" w:rsidP="00AD3D49">
      <w:pPr>
        <w:pStyle w:val="whitespace-normal"/>
        <w:numPr>
          <w:ilvl w:val="0"/>
          <w:numId w:val="14"/>
        </w:numPr>
      </w:pPr>
      <w:r>
        <w:t xml:space="preserve">Current pre-approval usage: </w:t>
      </w:r>
      <w:r>
        <w:rPr>
          <w:rStyle w:val="Strong"/>
          <w:rFonts w:eastAsiaTheme="majorEastAsia"/>
        </w:rPr>
        <w:t>Only 15.6%</w:t>
      </w:r>
      <w:r>
        <w:t xml:space="preserve"> of portfolio</w:t>
      </w:r>
    </w:p>
    <w:p w14:paraId="3FCA4FAD" w14:textId="77777777" w:rsidR="00333B77" w:rsidRDefault="00333B77" w:rsidP="00AD3D49">
      <w:pPr>
        <w:pStyle w:val="whitespace-normal"/>
        <w:numPr>
          <w:ilvl w:val="0"/>
          <w:numId w:val="14"/>
        </w:numPr>
      </w:pPr>
      <w:r>
        <w:t>Industry best practice: 50-70%</w:t>
      </w:r>
    </w:p>
    <w:p w14:paraId="4F5F7231" w14:textId="77777777" w:rsidR="00333B77" w:rsidRDefault="00333B77" w:rsidP="00AD3D49">
      <w:pPr>
        <w:pStyle w:val="whitespace-normal"/>
        <w:numPr>
          <w:ilvl w:val="0"/>
          <w:numId w:val="14"/>
        </w:numPr>
      </w:pPr>
      <w:r>
        <w:t>Gap: 34-54 percentage points below optimal</w:t>
      </w:r>
    </w:p>
    <w:p w14:paraId="1BACB38B" w14:textId="77777777" w:rsidR="00333B77" w:rsidRDefault="00333B77" w:rsidP="00333B77">
      <w:pPr>
        <w:pStyle w:val="font-claude-response-body"/>
      </w:pPr>
      <w:r>
        <w:rPr>
          <w:rStyle w:val="Strong"/>
          <w:rFonts w:eastAsiaTheme="majorEastAsia"/>
        </w:rPr>
        <w:t>Financial Impact:</w:t>
      </w:r>
    </w:p>
    <w:p w14:paraId="4B70AAFF" w14:textId="77777777" w:rsidR="00333B77" w:rsidRPr="00333B77" w:rsidRDefault="00333B77" w:rsidP="00333B77">
      <w:pPr>
        <w:pStyle w:val="HTMLPreformatted"/>
        <w:rPr>
          <w:rStyle w:val="HTMLCode"/>
          <w:rFonts w:ascii="var(--font-mono)" w:hAnsi="var(--font-mono)"/>
          <w:color w:val="2F5496" w:themeColor="accent1" w:themeShade="BF"/>
        </w:rPr>
      </w:pPr>
      <w:r w:rsidRPr="00333B77">
        <w:rPr>
          <w:rStyle w:val="HTMLCode"/>
          <w:rFonts w:ascii="var(--font-mono)" w:hAnsi="var(--font-mono)"/>
          <w:color w:val="2F5496" w:themeColor="accent1" w:themeShade="BF"/>
        </w:rPr>
        <w:t>If pre-approval expanded from 15.6% to 50%:</w:t>
      </w:r>
    </w:p>
    <w:p w14:paraId="3C5CC7C3" w14:textId="77777777" w:rsidR="00333B77" w:rsidRPr="00333B77" w:rsidRDefault="00333B77" w:rsidP="00333B77">
      <w:pPr>
        <w:pStyle w:val="HTMLPreformatted"/>
        <w:rPr>
          <w:rStyle w:val="HTMLCode"/>
          <w:rFonts w:ascii="var(--font-mono)" w:hAnsi="var(--font-mono)"/>
          <w:color w:val="2F5496" w:themeColor="accent1" w:themeShade="BF"/>
        </w:rPr>
      </w:pPr>
      <w:r w:rsidRPr="00333B77">
        <w:rPr>
          <w:rStyle w:val="HTMLCode"/>
          <w:rFonts w:ascii="var(--font-mono)" w:hAnsi="var(--font-mono)"/>
          <w:color w:val="2F5496" w:themeColor="accent1" w:themeShade="BF"/>
        </w:rPr>
        <w:t>→ Additional 44,150 pre-approved loans</w:t>
      </w:r>
    </w:p>
    <w:p w14:paraId="4E68567C" w14:textId="77777777" w:rsidR="00333B77" w:rsidRPr="00333B77" w:rsidRDefault="00333B77" w:rsidP="00333B77">
      <w:pPr>
        <w:pStyle w:val="HTMLPreformatted"/>
        <w:rPr>
          <w:rStyle w:val="HTMLCode"/>
          <w:rFonts w:ascii="var(--font-mono)" w:hAnsi="var(--font-mono)"/>
          <w:color w:val="2F5496" w:themeColor="accent1" w:themeShade="BF"/>
        </w:rPr>
      </w:pPr>
      <w:r w:rsidRPr="00333B77">
        <w:rPr>
          <w:rStyle w:val="HTMLCode"/>
          <w:rFonts w:ascii="var(--font-mono)" w:hAnsi="var(--font-mono)"/>
          <w:color w:val="2F5496" w:themeColor="accent1" w:themeShade="BF"/>
        </w:rPr>
        <w:t>→ 4.0pp default reduction per loan</w:t>
      </w:r>
    </w:p>
    <w:p w14:paraId="13CABA4D" w14:textId="77777777" w:rsidR="00333B77" w:rsidRPr="00333B77" w:rsidRDefault="00333B77" w:rsidP="00333B77">
      <w:pPr>
        <w:pStyle w:val="HTMLPreformatted"/>
        <w:rPr>
          <w:rStyle w:val="HTMLCode"/>
          <w:rFonts w:ascii="var(--font-mono)" w:hAnsi="var(--font-mono)"/>
          <w:color w:val="2F5496" w:themeColor="accent1" w:themeShade="BF"/>
        </w:rPr>
      </w:pPr>
      <w:r w:rsidRPr="00333B77">
        <w:rPr>
          <w:rStyle w:val="HTMLCode"/>
          <w:rFonts w:ascii="var(--font-mono)" w:hAnsi="var(--font-mono)"/>
          <w:color w:val="2F5496" w:themeColor="accent1" w:themeShade="BF"/>
        </w:rPr>
        <w:t>→ 1,766 defaults avoided annually</w:t>
      </w:r>
    </w:p>
    <w:p w14:paraId="6359DAFC" w14:textId="77777777" w:rsidR="00333B77" w:rsidRPr="00333B77" w:rsidRDefault="00333B77" w:rsidP="00333B77">
      <w:pPr>
        <w:pStyle w:val="HTMLPreformatted"/>
        <w:rPr>
          <w:rFonts w:ascii="var(--font-mono)" w:hAnsi="var(--font-mono)"/>
          <w:color w:val="2F5496" w:themeColor="accent1" w:themeShade="BF"/>
        </w:rPr>
      </w:pPr>
      <w:r w:rsidRPr="00333B77">
        <w:rPr>
          <w:rStyle w:val="HTMLCode"/>
          <w:rFonts w:ascii="var(--font-mono)" w:hAnsi="var(--font-mono)"/>
          <w:color w:val="2F5496" w:themeColor="accent1" w:themeShade="BF"/>
        </w:rPr>
        <w:t>→ Savings: $575 million at $326K avg loan</w:t>
      </w:r>
    </w:p>
    <w:p w14:paraId="0932EC89" w14:textId="77777777" w:rsidR="00333B77" w:rsidRDefault="00333B77" w:rsidP="00333B77">
      <w:pPr>
        <w:pStyle w:val="font-claude-response-body"/>
      </w:pPr>
      <w:r>
        <w:rPr>
          <w:rStyle w:val="Strong"/>
          <w:rFonts w:eastAsiaTheme="majorEastAsia"/>
        </w:rPr>
        <w:t>Recommendation:</w:t>
      </w:r>
      <w:r>
        <w:t xml:space="preserve"> Make pre-approval </w:t>
      </w:r>
      <w:r>
        <w:rPr>
          <w:rStyle w:val="Strong"/>
          <w:rFonts w:eastAsiaTheme="majorEastAsia"/>
        </w:rPr>
        <w:t>mandatory</w:t>
      </w:r>
      <w:r>
        <w:t xml:space="preserve"> for:</w:t>
      </w:r>
    </w:p>
    <w:p w14:paraId="01A90855" w14:textId="77777777" w:rsidR="00333B77" w:rsidRDefault="00333B77" w:rsidP="00AD3D49">
      <w:pPr>
        <w:pStyle w:val="whitespace-normal"/>
        <w:numPr>
          <w:ilvl w:val="0"/>
          <w:numId w:val="15"/>
        </w:numPr>
      </w:pPr>
      <w:r>
        <w:t>All loans above $250,000</w:t>
      </w:r>
    </w:p>
    <w:p w14:paraId="4CB16012" w14:textId="77777777" w:rsidR="00333B77" w:rsidRDefault="00333B77" w:rsidP="00AD3D49">
      <w:pPr>
        <w:pStyle w:val="whitespace-normal"/>
        <w:numPr>
          <w:ilvl w:val="0"/>
          <w:numId w:val="15"/>
        </w:numPr>
      </w:pPr>
      <w:r>
        <w:t>Borrowers with credit scores below 700</w:t>
      </w:r>
    </w:p>
    <w:p w14:paraId="4BBF7F69" w14:textId="77777777" w:rsidR="00333B77" w:rsidRDefault="00333B77" w:rsidP="00AD3D49">
      <w:pPr>
        <w:pStyle w:val="whitespace-normal"/>
        <w:numPr>
          <w:ilvl w:val="0"/>
          <w:numId w:val="15"/>
        </w:numPr>
      </w:pPr>
      <w:r>
        <w:t>All Type2 and Type3 loans</w:t>
      </w:r>
    </w:p>
    <w:p w14:paraId="3AA5BC75" w14:textId="77777777" w:rsidR="00333B77" w:rsidRDefault="00333B77" w:rsidP="00333B77">
      <w:pPr>
        <w:pStyle w:val="Heading3"/>
      </w:pPr>
      <w:r>
        <w:rPr>
          <w:rStyle w:val="Strong"/>
          <w:b w:val="0"/>
          <w:bCs w:val="0"/>
        </w:rPr>
        <w:t>Business Question 8: Do Defaults Vary by Region?</w:t>
      </w:r>
    </w:p>
    <w:p w14:paraId="033B9F96" w14:textId="77777777" w:rsidR="00333B77" w:rsidRDefault="00333B77" w:rsidP="00333B77">
      <w:pPr>
        <w:pStyle w:val="font-claude-response-body"/>
      </w:pPr>
      <w:r>
        <w:rPr>
          <w:rStyle w:val="Strong"/>
          <w:rFonts w:eastAsiaTheme="majorEastAsia"/>
        </w:rPr>
        <w:t>Analysis Performed:</w:t>
      </w:r>
      <w:r>
        <w:t xml:space="preserve"> Examined default rates and portfolio distribution across four geographic regions.</w:t>
      </w:r>
    </w:p>
    <w:p w14:paraId="2165F11F" w14:textId="5FAA018F" w:rsidR="00333B77" w:rsidRDefault="00333B77" w:rsidP="00333B77">
      <w:pPr>
        <w:pStyle w:val="font-claude-response-body"/>
        <w:rPr>
          <w:rStyle w:val="Strong"/>
          <w:rFonts w:eastAsiaTheme="majorEastAsia"/>
        </w:rPr>
      </w:pPr>
      <w:r>
        <w:rPr>
          <w:rStyle w:val="Strong"/>
          <w:rFonts w:ascii="Segoe UI Emoji" w:eastAsiaTheme="majorEastAsia" w:hAnsi="Segoe UI Emoji" w:cs="Segoe UI Emoji"/>
        </w:rPr>
        <w:t>📊</w:t>
      </w:r>
      <w:r>
        <w:rPr>
          <w:rStyle w:val="Strong"/>
          <w:rFonts w:eastAsiaTheme="majorEastAsia"/>
        </w:rPr>
        <w:t xml:space="preserve"> Chart 12: Default Rate by Region</w:t>
      </w:r>
    </w:p>
    <w:p w14:paraId="180ABDAB" w14:textId="27DEEC35" w:rsidR="00333B77" w:rsidRDefault="00333B77" w:rsidP="00333B77">
      <w:pPr>
        <w:pStyle w:val="font-claude-response-body"/>
      </w:pPr>
      <w:r w:rsidRPr="00333B77">
        <w:rPr>
          <w:noProof/>
        </w:rPr>
        <w:lastRenderedPageBreak/>
        <w:drawing>
          <wp:inline distT="0" distB="0" distL="0" distR="0" wp14:anchorId="2E187ACE" wp14:editId="10AE28A6">
            <wp:extent cx="5943600" cy="42398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39895"/>
                    </a:xfrm>
                    <a:prstGeom prst="rect">
                      <a:avLst/>
                    </a:prstGeom>
                  </pic:spPr>
                </pic:pic>
              </a:graphicData>
            </a:graphic>
          </wp:inline>
        </w:drawing>
      </w:r>
    </w:p>
    <w:p w14:paraId="4F5AC260" w14:textId="77777777" w:rsidR="00333B77" w:rsidRDefault="00333B77" w:rsidP="00333B77">
      <w:pPr>
        <w:pStyle w:val="font-claude-response-body"/>
      </w:pPr>
      <w:r>
        <w:rPr>
          <w:rStyle w:val="Strong"/>
          <w:rFonts w:eastAsiaTheme="majorEastAsia"/>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1206"/>
        <w:gridCol w:w="1559"/>
        <w:gridCol w:w="1418"/>
      </w:tblGrid>
      <w:tr w:rsidR="00333B77" w14:paraId="296B1006" w14:textId="77777777" w:rsidTr="00333B77">
        <w:trPr>
          <w:tblHeader/>
          <w:tblCellSpacing w:w="15" w:type="dxa"/>
        </w:trPr>
        <w:tc>
          <w:tcPr>
            <w:tcW w:w="0" w:type="auto"/>
            <w:vAlign w:val="center"/>
            <w:hideMark/>
          </w:tcPr>
          <w:p w14:paraId="67DFC925" w14:textId="77777777" w:rsidR="00333B77" w:rsidRDefault="00333B77">
            <w:pPr>
              <w:jc w:val="center"/>
              <w:rPr>
                <w:b/>
                <w:bCs/>
              </w:rPr>
            </w:pPr>
            <w:r>
              <w:rPr>
                <w:b/>
                <w:bCs/>
              </w:rPr>
              <w:t>Region</w:t>
            </w:r>
          </w:p>
        </w:tc>
        <w:tc>
          <w:tcPr>
            <w:tcW w:w="0" w:type="auto"/>
            <w:vAlign w:val="center"/>
            <w:hideMark/>
          </w:tcPr>
          <w:p w14:paraId="0F347C57" w14:textId="77777777" w:rsidR="00333B77" w:rsidRDefault="00333B77">
            <w:pPr>
              <w:jc w:val="center"/>
              <w:rPr>
                <w:b/>
                <w:bCs/>
              </w:rPr>
            </w:pPr>
            <w:r>
              <w:rPr>
                <w:b/>
                <w:bCs/>
              </w:rPr>
              <w:t>Default Rate</w:t>
            </w:r>
          </w:p>
        </w:tc>
        <w:tc>
          <w:tcPr>
            <w:tcW w:w="0" w:type="auto"/>
            <w:vAlign w:val="center"/>
            <w:hideMark/>
          </w:tcPr>
          <w:p w14:paraId="6B92DEA9" w14:textId="77777777" w:rsidR="00333B77" w:rsidRDefault="00333B77">
            <w:pPr>
              <w:jc w:val="center"/>
              <w:rPr>
                <w:b/>
                <w:bCs/>
              </w:rPr>
            </w:pPr>
            <w:r>
              <w:rPr>
                <w:b/>
                <w:bCs/>
              </w:rPr>
              <w:t>Avg Credit Score</w:t>
            </w:r>
          </w:p>
        </w:tc>
        <w:tc>
          <w:tcPr>
            <w:tcW w:w="0" w:type="auto"/>
            <w:vAlign w:val="center"/>
            <w:hideMark/>
          </w:tcPr>
          <w:p w14:paraId="7C74D70D" w14:textId="77777777" w:rsidR="00333B77" w:rsidRDefault="00333B77">
            <w:pPr>
              <w:jc w:val="center"/>
              <w:rPr>
                <w:b/>
                <w:bCs/>
              </w:rPr>
            </w:pPr>
            <w:r>
              <w:rPr>
                <w:b/>
                <w:bCs/>
              </w:rPr>
              <w:t>Volume</w:t>
            </w:r>
          </w:p>
        </w:tc>
      </w:tr>
      <w:tr w:rsidR="00333B77" w14:paraId="699AEE08" w14:textId="77777777" w:rsidTr="00333B77">
        <w:trPr>
          <w:tblCellSpacing w:w="15" w:type="dxa"/>
        </w:trPr>
        <w:tc>
          <w:tcPr>
            <w:tcW w:w="0" w:type="auto"/>
            <w:vAlign w:val="center"/>
            <w:hideMark/>
          </w:tcPr>
          <w:p w14:paraId="0B528B3A" w14:textId="77777777" w:rsidR="00333B77" w:rsidRDefault="00333B77">
            <w:r>
              <w:rPr>
                <w:rStyle w:val="Strong"/>
              </w:rPr>
              <w:t>North-East</w:t>
            </w:r>
          </w:p>
        </w:tc>
        <w:tc>
          <w:tcPr>
            <w:tcW w:w="0" w:type="auto"/>
            <w:vAlign w:val="center"/>
            <w:hideMark/>
          </w:tcPr>
          <w:p w14:paraId="78B3E9C3" w14:textId="77777777" w:rsidR="00333B77" w:rsidRDefault="00333B77">
            <w:r>
              <w:rPr>
                <w:rStyle w:val="Strong"/>
              </w:rPr>
              <w:t>30.00%</w:t>
            </w:r>
            <w:r>
              <w:t xml:space="preserve"> </w:t>
            </w:r>
            <w:r>
              <w:rPr>
                <w:rFonts w:ascii="Segoe UI Emoji" w:hAnsi="Segoe UI Emoji" w:cs="Segoe UI Emoji"/>
              </w:rPr>
              <w:t>🔴</w:t>
            </w:r>
          </w:p>
        </w:tc>
        <w:tc>
          <w:tcPr>
            <w:tcW w:w="0" w:type="auto"/>
            <w:vAlign w:val="center"/>
            <w:hideMark/>
          </w:tcPr>
          <w:p w14:paraId="291BD8CD" w14:textId="77777777" w:rsidR="00333B77" w:rsidRDefault="00333B77">
            <w:r>
              <w:t>696</w:t>
            </w:r>
          </w:p>
        </w:tc>
        <w:tc>
          <w:tcPr>
            <w:tcW w:w="0" w:type="auto"/>
            <w:vAlign w:val="center"/>
            <w:hideMark/>
          </w:tcPr>
          <w:p w14:paraId="2C58E6CC" w14:textId="77777777" w:rsidR="00333B77" w:rsidRDefault="00333B77">
            <w:r>
              <w:t>1,235 (0.8%)</w:t>
            </w:r>
          </w:p>
        </w:tc>
      </w:tr>
      <w:tr w:rsidR="00333B77" w14:paraId="6C9714A0" w14:textId="77777777" w:rsidTr="00333B77">
        <w:trPr>
          <w:tblCellSpacing w:w="15" w:type="dxa"/>
        </w:trPr>
        <w:tc>
          <w:tcPr>
            <w:tcW w:w="0" w:type="auto"/>
            <w:vAlign w:val="center"/>
            <w:hideMark/>
          </w:tcPr>
          <w:p w14:paraId="77AAA582" w14:textId="77777777" w:rsidR="00333B77" w:rsidRDefault="00333B77">
            <w:r>
              <w:rPr>
                <w:rStyle w:val="Strong"/>
              </w:rPr>
              <w:t>Central</w:t>
            </w:r>
          </w:p>
        </w:tc>
        <w:tc>
          <w:tcPr>
            <w:tcW w:w="0" w:type="auto"/>
            <w:vAlign w:val="center"/>
            <w:hideMark/>
          </w:tcPr>
          <w:p w14:paraId="689C6F0D" w14:textId="77777777" w:rsidR="00333B77" w:rsidRDefault="00333B77">
            <w:r>
              <w:t>28.00%</w:t>
            </w:r>
          </w:p>
        </w:tc>
        <w:tc>
          <w:tcPr>
            <w:tcW w:w="0" w:type="auto"/>
            <w:vAlign w:val="center"/>
            <w:hideMark/>
          </w:tcPr>
          <w:p w14:paraId="545D2541" w14:textId="77777777" w:rsidR="00333B77" w:rsidRDefault="00333B77">
            <w:r>
              <w:t>699</w:t>
            </w:r>
          </w:p>
        </w:tc>
        <w:tc>
          <w:tcPr>
            <w:tcW w:w="0" w:type="auto"/>
            <w:vAlign w:val="center"/>
            <w:hideMark/>
          </w:tcPr>
          <w:p w14:paraId="146B1F29" w14:textId="77777777" w:rsidR="00333B77" w:rsidRDefault="00333B77">
            <w:r>
              <w:t>8,697 (5.8%)</w:t>
            </w:r>
          </w:p>
        </w:tc>
      </w:tr>
      <w:tr w:rsidR="00333B77" w14:paraId="113EF445" w14:textId="77777777" w:rsidTr="00333B77">
        <w:trPr>
          <w:tblCellSpacing w:w="15" w:type="dxa"/>
        </w:trPr>
        <w:tc>
          <w:tcPr>
            <w:tcW w:w="0" w:type="auto"/>
            <w:vAlign w:val="center"/>
            <w:hideMark/>
          </w:tcPr>
          <w:p w14:paraId="7AFF28D2" w14:textId="77777777" w:rsidR="00333B77" w:rsidRDefault="00333B77">
            <w:r>
              <w:rPr>
                <w:rStyle w:val="Strong"/>
              </w:rPr>
              <w:t>South</w:t>
            </w:r>
          </w:p>
        </w:tc>
        <w:tc>
          <w:tcPr>
            <w:tcW w:w="0" w:type="auto"/>
            <w:vAlign w:val="center"/>
            <w:hideMark/>
          </w:tcPr>
          <w:p w14:paraId="29CDF34E" w14:textId="77777777" w:rsidR="00333B77" w:rsidRDefault="00333B77">
            <w:r>
              <w:t>27.00%</w:t>
            </w:r>
          </w:p>
        </w:tc>
        <w:tc>
          <w:tcPr>
            <w:tcW w:w="0" w:type="auto"/>
            <w:vAlign w:val="center"/>
            <w:hideMark/>
          </w:tcPr>
          <w:p w14:paraId="5CFBCA48" w14:textId="77777777" w:rsidR="00333B77" w:rsidRDefault="00333B77">
            <w:r>
              <w:t>700</w:t>
            </w:r>
          </w:p>
        </w:tc>
        <w:tc>
          <w:tcPr>
            <w:tcW w:w="0" w:type="auto"/>
            <w:vAlign w:val="center"/>
            <w:hideMark/>
          </w:tcPr>
          <w:p w14:paraId="428C08EB" w14:textId="77777777" w:rsidR="00333B77" w:rsidRDefault="00333B77">
            <w:r>
              <w:t>64,016 (43.1%)</w:t>
            </w:r>
          </w:p>
        </w:tc>
      </w:tr>
      <w:tr w:rsidR="00333B77" w14:paraId="0208D3FE" w14:textId="77777777" w:rsidTr="00333B77">
        <w:trPr>
          <w:tblCellSpacing w:w="15" w:type="dxa"/>
        </w:trPr>
        <w:tc>
          <w:tcPr>
            <w:tcW w:w="0" w:type="auto"/>
            <w:vAlign w:val="center"/>
            <w:hideMark/>
          </w:tcPr>
          <w:p w14:paraId="372DA6D3" w14:textId="77777777" w:rsidR="00333B77" w:rsidRDefault="00333B77">
            <w:r>
              <w:rPr>
                <w:rStyle w:val="Strong"/>
              </w:rPr>
              <w:t>North</w:t>
            </w:r>
          </w:p>
        </w:tc>
        <w:tc>
          <w:tcPr>
            <w:tcW w:w="0" w:type="auto"/>
            <w:vAlign w:val="center"/>
            <w:hideMark/>
          </w:tcPr>
          <w:p w14:paraId="6D65C97C" w14:textId="77777777" w:rsidR="00333B77" w:rsidRDefault="00333B77">
            <w:r>
              <w:rPr>
                <w:rStyle w:val="Strong"/>
              </w:rPr>
              <w:t>23.00%</w:t>
            </w:r>
            <w:r>
              <w:t xml:space="preserve"> </w:t>
            </w:r>
            <w:r>
              <w:rPr>
                <w:rFonts w:ascii="Segoe UI Emoji" w:hAnsi="Segoe UI Emoji" w:cs="Segoe UI Emoji"/>
              </w:rPr>
              <w:t>🟢</w:t>
            </w:r>
          </w:p>
        </w:tc>
        <w:tc>
          <w:tcPr>
            <w:tcW w:w="0" w:type="auto"/>
            <w:vAlign w:val="center"/>
            <w:hideMark/>
          </w:tcPr>
          <w:p w14:paraId="74EF9C45" w14:textId="77777777" w:rsidR="00333B77" w:rsidRDefault="00333B77">
            <w:r>
              <w:t>700</w:t>
            </w:r>
          </w:p>
        </w:tc>
        <w:tc>
          <w:tcPr>
            <w:tcW w:w="0" w:type="auto"/>
            <w:vAlign w:val="center"/>
            <w:hideMark/>
          </w:tcPr>
          <w:p w14:paraId="274AF795" w14:textId="77777777" w:rsidR="00333B77" w:rsidRDefault="00333B77">
            <w:r>
              <w:t>74,722 (50.3%)</w:t>
            </w:r>
          </w:p>
        </w:tc>
      </w:tr>
    </w:tbl>
    <w:p w14:paraId="524FD56F" w14:textId="77777777" w:rsidR="00333B77" w:rsidRDefault="00333B77" w:rsidP="00333B77">
      <w:pPr>
        <w:pStyle w:val="font-claude-response-body"/>
      </w:pPr>
      <w:r>
        <w:rPr>
          <w:rStyle w:val="Strong"/>
          <w:rFonts w:eastAsiaTheme="majorEastAsia"/>
        </w:rPr>
        <w:t>Business Insight:</w:t>
      </w:r>
      <w:r>
        <w:br/>
      </w:r>
      <w:r>
        <w:rPr>
          <w:rStyle w:val="Strong"/>
          <w:rFonts w:eastAsiaTheme="majorEastAsia"/>
        </w:rPr>
        <w:t>7 percentage point spread</w:t>
      </w:r>
      <w:r>
        <w:t xml:space="preserve"> between best (North: 23%) and worst (North-East: 30%) regions despite </w:t>
      </w:r>
      <w:r>
        <w:rPr>
          <w:rStyle w:val="Strong"/>
          <w:rFonts w:eastAsiaTheme="majorEastAsia"/>
        </w:rPr>
        <w:t>identical credit scores</w:t>
      </w:r>
      <w:r>
        <w:t xml:space="preserve"> (~696-700). This proves regional economic conditions significantly impact defaults independent of borrower quality.</w:t>
      </w:r>
    </w:p>
    <w:p w14:paraId="5BBBD72B" w14:textId="77777777" w:rsidR="00333B77" w:rsidRDefault="00333B77" w:rsidP="00333B77">
      <w:pPr>
        <w:pStyle w:val="font-claude-response-body"/>
      </w:pPr>
      <w:r>
        <w:rPr>
          <w:rStyle w:val="Strong"/>
          <w:rFonts w:eastAsiaTheme="majorEastAsia"/>
        </w:rPr>
        <w:t>Key Observations:</w:t>
      </w:r>
    </w:p>
    <w:p w14:paraId="503A7046" w14:textId="77777777" w:rsidR="00333B77" w:rsidRDefault="00333B77" w:rsidP="00AD3D49">
      <w:pPr>
        <w:pStyle w:val="whitespace-normal"/>
        <w:numPr>
          <w:ilvl w:val="0"/>
          <w:numId w:val="16"/>
        </w:numPr>
      </w:pPr>
      <w:r>
        <w:rPr>
          <w:rStyle w:val="Strong"/>
          <w:rFonts w:eastAsiaTheme="majorEastAsia"/>
        </w:rPr>
        <w:t>North-East worst performance</w:t>
      </w:r>
      <w:r>
        <w:t xml:space="preserve"> (30% default) but </w:t>
      </w:r>
      <w:r>
        <w:rPr>
          <w:rStyle w:val="Strong"/>
          <w:rFonts w:eastAsiaTheme="majorEastAsia"/>
        </w:rPr>
        <w:t>smallest exposure</w:t>
      </w:r>
      <w:r>
        <w:t xml:space="preserve"> (only 0.8% of portfolio = 1,235 loans), so limited portfolio-wide impact</w:t>
      </w:r>
    </w:p>
    <w:p w14:paraId="6CF21D98" w14:textId="77777777" w:rsidR="00333B77" w:rsidRDefault="00333B77" w:rsidP="00AD3D49">
      <w:pPr>
        <w:pStyle w:val="whitespace-normal"/>
        <w:numPr>
          <w:ilvl w:val="0"/>
          <w:numId w:val="16"/>
        </w:numPr>
      </w:pPr>
      <w:r>
        <w:rPr>
          <w:rStyle w:val="Strong"/>
          <w:rFonts w:eastAsiaTheme="majorEastAsia"/>
        </w:rPr>
        <w:lastRenderedPageBreak/>
        <w:t>North region is the star</w:t>
      </w:r>
      <w:r>
        <w:t xml:space="preserve">: </w:t>
      </w:r>
    </w:p>
    <w:p w14:paraId="1F664D34" w14:textId="77777777" w:rsidR="00333B77" w:rsidRDefault="00333B77" w:rsidP="00AD3D49">
      <w:pPr>
        <w:pStyle w:val="whitespace-normal"/>
        <w:numPr>
          <w:ilvl w:val="1"/>
          <w:numId w:val="16"/>
        </w:numPr>
      </w:pPr>
      <w:r>
        <w:t>Best default rate (23%)</w:t>
      </w:r>
    </w:p>
    <w:p w14:paraId="32AC7678" w14:textId="77777777" w:rsidR="00333B77" w:rsidRDefault="00333B77" w:rsidP="00AD3D49">
      <w:pPr>
        <w:pStyle w:val="whitespace-normal"/>
        <w:numPr>
          <w:ilvl w:val="1"/>
          <w:numId w:val="16"/>
        </w:numPr>
      </w:pPr>
      <w:r>
        <w:t>Largest market (50% of portfolio)</w:t>
      </w:r>
    </w:p>
    <w:p w14:paraId="1D49A460" w14:textId="77777777" w:rsidR="00333B77" w:rsidRDefault="00333B77" w:rsidP="00AD3D49">
      <w:pPr>
        <w:pStyle w:val="whitespace-normal"/>
        <w:numPr>
          <w:ilvl w:val="1"/>
          <w:numId w:val="16"/>
        </w:numPr>
      </w:pPr>
      <w:r>
        <w:t>Should be growth focus area</w:t>
      </w:r>
    </w:p>
    <w:p w14:paraId="2D33B4FE" w14:textId="77777777" w:rsidR="00333B77" w:rsidRDefault="00333B77" w:rsidP="00AD3D49">
      <w:pPr>
        <w:pStyle w:val="whitespace-normal"/>
        <w:numPr>
          <w:ilvl w:val="0"/>
          <w:numId w:val="16"/>
        </w:numPr>
      </w:pPr>
      <w:r>
        <w:rPr>
          <w:rStyle w:val="Strong"/>
          <w:rFonts w:eastAsiaTheme="majorEastAsia"/>
        </w:rPr>
        <w:t>Portfolio concentration risk</w:t>
      </w:r>
      <w:r>
        <w:t>: 93% of loans in just 2 regions (North + South) creates geographic systemic risk if regional recession occurs</w:t>
      </w:r>
    </w:p>
    <w:p w14:paraId="33B33E01" w14:textId="77777777" w:rsidR="00333B77" w:rsidRDefault="00333B77" w:rsidP="00333B77">
      <w:pPr>
        <w:pStyle w:val="font-claude-response-body"/>
      </w:pPr>
      <w:r>
        <w:rPr>
          <w:rStyle w:val="Strong"/>
          <w:rFonts w:eastAsiaTheme="majorEastAsia"/>
        </w:rPr>
        <w:t>Why Regional Variation Exists:</w:t>
      </w:r>
    </w:p>
    <w:p w14:paraId="7E5E7C02" w14:textId="77777777" w:rsidR="00333B77" w:rsidRDefault="00333B77" w:rsidP="00AD3D49">
      <w:pPr>
        <w:pStyle w:val="whitespace-normal"/>
        <w:numPr>
          <w:ilvl w:val="0"/>
          <w:numId w:val="17"/>
        </w:numPr>
      </w:pPr>
      <w:r>
        <w:t>Local economic conditions (unemployment rates, wage growth)</w:t>
      </w:r>
    </w:p>
    <w:p w14:paraId="09C85C28" w14:textId="77777777" w:rsidR="00333B77" w:rsidRDefault="00333B77" w:rsidP="00AD3D49">
      <w:pPr>
        <w:pStyle w:val="whitespace-normal"/>
        <w:numPr>
          <w:ilvl w:val="0"/>
          <w:numId w:val="17"/>
        </w:numPr>
      </w:pPr>
      <w:r>
        <w:t>Property market dynamics (appreciation vs. stagnation)</w:t>
      </w:r>
    </w:p>
    <w:p w14:paraId="66840EB8" w14:textId="77777777" w:rsidR="00333B77" w:rsidRDefault="00333B77" w:rsidP="00AD3D49">
      <w:pPr>
        <w:pStyle w:val="whitespace-normal"/>
        <w:numPr>
          <w:ilvl w:val="0"/>
          <w:numId w:val="17"/>
        </w:numPr>
      </w:pPr>
      <w:r>
        <w:t>Cultural factors (payment norms, financial literacy)</w:t>
      </w:r>
    </w:p>
    <w:p w14:paraId="73359EC7" w14:textId="77777777" w:rsidR="00333B77" w:rsidRDefault="00333B77" w:rsidP="00AD3D49">
      <w:pPr>
        <w:pStyle w:val="whitespace-normal"/>
        <w:numPr>
          <w:ilvl w:val="0"/>
          <w:numId w:val="17"/>
        </w:numPr>
      </w:pPr>
      <w:r>
        <w:t>Branch-level underwriting quality differences</w:t>
      </w:r>
    </w:p>
    <w:p w14:paraId="6B1934BF" w14:textId="77777777" w:rsidR="00333B77" w:rsidRDefault="00333B77" w:rsidP="00333B77">
      <w:pPr>
        <w:pStyle w:val="font-claude-response-body"/>
      </w:pPr>
      <w:r>
        <w:rPr>
          <w:rStyle w:val="Strong"/>
          <w:rFonts w:eastAsiaTheme="majorEastAsia"/>
        </w:rPr>
        <w:t>Recommendation:</w:t>
      </w:r>
    </w:p>
    <w:p w14:paraId="4109785A" w14:textId="77777777" w:rsidR="00333B77" w:rsidRDefault="00333B77" w:rsidP="00AD3D49">
      <w:pPr>
        <w:pStyle w:val="whitespace-normal"/>
        <w:numPr>
          <w:ilvl w:val="0"/>
          <w:numId w:val="18"/>
        </w:numPr>
      </w:pPr>
      <w:r>
        <w:rPr>
          <w:rStyle w:val="Strong"/>
          <w:rFonts w:eastAsiaTheme="majorEastAsia"/>
        </w:rPr>
        <w:t>Regional pricing</w:t>
      </w:r>
      <w:r>
        <w:t>: Charge +1.5% higher rates in North-East to compensate for risk</w:t>
      </w:r>
    </w:p>
    <w:p w14:paraId="235ADD01" w14:textId="77777777" w:rsidR="00333B77" w:rsidRDefault="00333B77" w:rsidP="00AD3D49">
      <w:pPr>
        <w:pStyle w:val="whitespace-normal"/>
        <w:numPr>
          <w:ilvl w:val="0"/>
          <w:numId w:val="18"/>
        </w:numPr>
      </w:pPr>
      <w:r>
        <w:rPr>
          <w:rStyle w:val="Strong"/>
          <w:rFonts w:eastAsiaTheme="majorEastAsia"/>
        </w:rPr>
        <w:t>Growth strategy</w:t>
      </w:r>
      <w:r>
        <w:t>: Concentrate expansion efforts in North region (proven performance)</w:t>
      </w:r>
    </w:p>
    <w:p w14:paraId="6FDD2DB3" w14:textId="77777777" w:rsidR="00333B77" w:rsidRDefault="00333B77" w:rsidP="00AD3D49">
      <w:pPr>
        <w:pStyle w:val="whitespace-normal"/>
        <w:numPr>
          <w:ilvl w:val="0"/>
          <w:numId w:val="18"/>
        </w:numPr>
      </w:pPr>
      <w:r>
        <w:rPr>
          <w:rStyle w:val="Strong"/>
          <w:rFonts w:eastAsiaTheme="majorEastAsia"/>
        </w:rPr>
        <w:t>Monitoring</w:t>
      </w:r>
      <w:r>
        <w:t>: If North-East or Central economic indicators worsen, temporarily pause lending there</w:t>
      </w:r>
    </w:p>
    <w:p w14:paraId="7A2E7792" w14:textId="77777777" w:rsidR="00333B77" w:rsidRPr="00C471BD" w:rsidRDefault="00333B77" w:rsidP="00C471BD">
      <w:pPr>
        <w:pStyle w:val="Heading2"/>
        <w:numPr>
          <w:ilvl w:val="0"/>
          <w:numId w:val="40"/>
        </w:numPr>
        <w:rPr>
          <w:rFonts w:ascii="Times New Roman" w:hAnsi="Times New Roman" w:cs="Times New Roman"/>
          <w:sz w:val="36"/>
          <w:szCs w:val="36"/>
        </w:rPr>
      </w:pPr>
      <w:r w:rsidRPr="00C471BD">
        <w:rPr>
          <w:rStyle w:val="Strong"/>
          <w:rFonts w:ascii="Times New Roman" w:hAnsi="Times New Roman" w:cs="Times New Roman"/>
          <w:sz w:val="36"/>
          <w:szCs w:val="36"/>
        </w:rPr>
        <w:t>MULTIVARIATE ANALYSIS</w:t>
      </w:r>
    </w:p>
    <w:p w14:paraId="63AE1D1A" w14:textId="77777777" w:rsidR="00333B77" w:rsidRDefault="00333B77" w:rsidP="00333B77">
      <w:pPr>
        <w:pStyle w:val="Heading3"/>
      </w:pPr>
      <w:r>
        <w:rPr>
          <w:rStyle w:val="Strong"/>
          <w:b w:val="0"/>
          <w:bCs w:val="0"/>
        </w:rPr>
        <w:t>Business Question 9: What Combinations of Factors Create the Highest Risk?</w:t>
      </w:r>
    </w:p>
    <w:p w14:paraId="299F56D2" w14:textId="77777777" w:rsidR="00333B77" w:rsidRDefault="00333B77" w:rsidP="00333B77">
      <w:pPr>
        <w:pStyle w:val="font-claude-response-body"/>
      </w:pPr>
      <w:r>
        <w:rPr>
          <w:rStyle w:val="Strong"/>
          <w:rFonts w:eastAsiaTheme="majorEastAsia"/>
        </w:rPr>
        <w:t>Analysis Performed:</w:t>
      </w:r>
      <w:r>
        <w:t xml:space="preserve"> Analyzed intersections of multiple risk factors to identify compound risk scenarios.</w:t>
      </w:r>
    </w:p>
    <w:p w14:paraId="60D2911A" w14:textId="77777777" w:rsidR="00333B77" w:rsidRDefault="00D22DE2" w:rsidP="00333B77">
      <w:r>
        <w:pict w14:anchorId="5AAB8108">
          <v:rect id="_x0000_i1025" style="width:0;height:1.5pt" o:hralign="center" o:hrstd="t" o:hr="t" fillcolor="#a0a0a0" stroked="f"/>
        </w:pict>
      </w:r>
    </w:p>
    <w:p w14:paraId="091571FC" w14:textId="6F425DC0" w:rsidR="00333B77" w:rsidRDefault="00333B77" w:rsidP="00333B77">
      <w:pPr>
        <w:pStyle w:val="font-claude-response-body"/>
        <w:rPr>
          <w:rStyle w:val="Strong"/>
          <w:rFonts w:eastAsiaTheme="majorEastAsia"/>
        </w:rPr>
      </w:pPr>
      <w:r>
        <w:rPr>
          <w:rStyle w:val="Strong"/>
          <w:rFonts w:ascii="Segoe UI Emoji" w:eastAsiaTheme="majorEastAsia" w:hAnsi="Segoe UI Emoji" w:cs="Segoe UI Emoji"/>
        </w:rPr>
        <w:t>📊</w:t>
      </w:r>
      <w:r>
        <w:rPr>
          <w:rStyle w:val="Strong"/>
          <w:rFonts w:eastAsiaTheme="majorEastAsia"/>
        </w:rPr>
        <w:t xml:space="preserve"> Chart 16: Default Rate Heatmap - Loan Type × Business/Commercial</w:t>
      </w:r>
    </w:p>
    <w:p w14:paraId="601386A2" w14:textId="6820E6AA" w:rsidR="00C471BD" w:rsidRDefault="00C471BD" w:rsidP="00333B77">
      <w:pPr>
        <w:pStyle w:val="font-claude-response-body"/>
        <w:rPr>
          <w:rStyle w:val="Strong"/>
          <w:rFonts w:eastAsiaTheme="majorEastAsia"/>
        </w:rPr>
      </w:pPr>
    </w:p>
    <w:p w14:paraId="513E0496" w14:textId="5342DFDC" w:rsidR="00C471BD" w:rsidRDefault="00C471BD" w:rsidP="00333B77">
      <w:pPr>
        <w:pStyle w:val="font-claude-response-body"/>
        <w:rPr>
          <w:rStyle w:val="Strong"/>
          <w:rFonts w:eastAsiaTheme="majorEastAsia"/>
        </w:rPr>
      </w:pPr>
    </w:p>
    <w:p w14:paraId="4792CDF1" w14:textId="77777777" w:rsidR="00C471BD" w:rsidRDefault="00C471BD" w:rsidP="00333B77">
      <w:pPr>
        <w:pStyle w:val="font-claude-response-body"/>
        <w:rPr>
          <w:rStyle w:val="Strong"/>
          <w:rFonts w:eastAsiaTheme="majorEastAsia"/>
        </w:rPr>
      </w:pPr>
    </w:p>
    <w:p w14:paraId="19592399" w14:textId="73858235" w:rsidR="003929AE" w:rsidRDefault="003929AE" w:rsidP="00333B77">
      <w:pPr>
        <w:pStyle w:val="font-claude-response-body"/>
      </w:pPr>
      <w:r w:rsidRPr="003929AE">
        <w:rPr>
          <w:noProof/>
        </w:rPr>
        <w:lastRenderedPageBreak/>
        <w:drawing>
          <wp:inline distT="0" distB="0" distL="0" distR="0" wp14:anchorId="63E1217D" wp14:editId="4ECEAA86">
            <wp:extent cx="5296639" cy="36390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6639" cy="3639058"/>
                    </a:xfrm>
                    <a:prstGeom prst="rect">
                      <a:avLst/>
                    </a:prstGeom>
                  </pic:spPr>
                </pic:pic>
              </a:graphicData>
            </a:graphic>
          </wp:inline>
        </w:drawing>
      </w:r>
    </w:p>
    <w:p w14:paraId="16C2745E" w14:textId="71643F32" w:rsidR="00333B77" w:rsidRDefault="00333B77" w:rsidP="00333B77">
      <w:pPr>
        <w:pStyle w:val="font-claude-response-body"/>
      </w:pPr>
    </w:p>
    <w:p w14:paraId="3CF6E6E2" w14:textId="77777777" w:rsidR="00333B77" w:rsidRDefault="00333B77" w:rsidP="00333B77">
      <w:pPr>
        <w:pStyle w:val="font-claude-response-body"/>
      </w:pPr>
      <w:r>
        <w:rPr>
          <w:rStyle w:val="Strong"/>
          <w:rFonts w:eastAsiaTheme="majorEastAsia"/>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2271"/>
      </w:tblGrid>
      <w:tr w:rsidR="00333B77" w14:paraId="22B0AD7A" w14:textId="77777777" w:rsidTr="00333B77">
        <w:trPr>
          <w:tblHeader/>
          <w:tblCellSpacing w:w="15" w:type="dxa"/>
        </w:trPr>
        <w:tc>
          <w:tcPr>
            <w:tcW w:w="0" w:type="auto"/>
            <w:vAlign w:val="center"/>
            <w:hideMark/>
          </w:tcPr>
          <w:p w14:paraId="6704306F" w14:textId="77777777" w:rsidR="00333B77" w:rsidRDefault="00333B77">
            <w:pPr>
              <w:jc w:val="center"/>
              <w:rPr>
                <w:b/>
                <w:bCs/>
              </w:rPr>
            </w:pPr>
            <w:r>
              <w:rPr>
                <w:b/>
                <w:bCs/>
              </w:rPr>
              <w:t>Combination</w:t>
            </w:r>
          </w:p>
        </w:tc>
        <w:tc>
          <w:tcPr>
            <w:tcW w:w="0" w:type="auto"/>
            <w:vAlign w:val="center"/>
            <w:hideMark/>
          </w:tcPr>
          <w:p w14:paraId="26C30557" w14:textId="77777777" w:rsidR="00333B77" w:rsidRDefault="00333B77">
            <w:pPr>
              <w:jc w:val="center"/>
              <w:rPr>
                <w:b/>
                <w:bCs/>
              </w:rPr>
            </w:pPr>
            <w:r>
              <w:rPr>
                <w:b/>
                <w:bCs/>
              </w:rPr>
              <w:t>Default Rate</w:t>
            </w:r>
          </w:p>
        </w:tc>
      </w:tr>
      <w:tr w:rsidR="00333B77" w14:paraId="6FD6AEF8" w14:textId="77777777" w:rsidTr="00333B77">
        <w:trPr>
          <w:tblCellSpacing w:w="15" w:type="dxa"/>
        </w:trPr>
        <w:tc>
          <w:tcPr>
            <w:tcW w:w="0" w:type="auto"/>
            <w:vAlign w:val="center"/>
            <w:hideMark/>
          </w:tcPr>
          <w:p w14:paraId="6EFBF71C" w14:textId="77777777" w:rsidR="00333B77" w:rsidRDefault="00333B77">
            <w:r>
              <w:rPr>
                <w:rStyle w:val="Strong"/>
              </w:rPr>
              <w:t>Type2 × Commercial (b/c)</w:t>
            </w:r>
          </w:p>
        </w:tc>
        <w:tc>
          <w:tcPr>
            <w:tcW w:w="0" w:type="auto"/>
            <w:vAlign w:val="center"/>
            <w:hideMark/>
          </w:tcPr>
          <w:p w14:paraId="5343EC8D" w14:textId="77777777" w:rsidR="00333B77" w:rsidRDefault="00333B77">
            <w:r>
              <w:rPr>
                <w:rStyle w:val="Strong"/>
              </w:rPr>
              <w:t>34.54%</w:t>
            </w:r>
            <w:r>
              <w:t xml:space="preserve"> </w:t>
            </w:r>
            <w:r>
              <w:rPr>
                <w:rFonts w:ascii="Segoe UI Emoji" w:hAnsi="Segoe UI Emoji" w:cs="Segoe UI Emoji"/>
              </w:rPr>
              <w:t>🔴</w:t>
            </w:r>
            <w:r>
              <w:t xml:space="preserve"> Catastrophic</w:t>
            </w:r>
          </w:p>
        </w:tc>
      </w:tr>
      <w:tr w:rsidR="00333B77" w14:paraId="026738C2" w14:textId="77777777" w:rsidTr="00333B77">
        <w:trPr>
          <w:tblCellSpacing w:w="15" w:type="dxa"/>
        </w:trPr>
        <w:tc>
          <w:tcPr>
            <w:tcW w:w="0" w:type="auto"/>
            <w:vAlign w:val="center"/>
            <w:hideMark/>
          </w:tcPr>
          <w:p w14:paraId="1A034074" w14:textId="77777777" w:rsidR="00333B77" w:rsidRDefault="00333B77">
            <w:r>
              <w:t>Type3 × Retail (nob/c)</w:t>
            </w:r>
          </w:p>
        </w:tc>
        <w:tc>
          <w:tcPr>
            <w:tcW w:w="0" w:type="auto"/>
            <w:vAlign w:val="center"/>
            <w:hideMark/>
          </w:tcPr>
          <w:p w14:paraId="09CC6C66" w14:textId="77777777" w:rsidR="00333B77" w:rsidRDefault="00333B77">
            <w:r>
              <w:t>25.06%</w:t>
            </w:r>
          </w:p>
        </w:tc>
      </w:tr>
      <w:tr w:rsidR="00333B77" w14:paraId="08589DDF" w14:textId="77777777" w:rsidTr="00333B77">
        <w:trPr>
          <w:tblCellSpacing w:w="15" w:type="dxa"/>
        </w:trPr>
        <w:tc>
          <w:tcPr>
            <w:tcW w:w="0" w:type="auto"/>
            <w:vAlign w:val="center"/>
            <w:hideMark/>
          </w:tcPr>
          <w:p w14:paraId="4CF92AB1" w14:textId="77777777" w:rsidR="00333B77" w:rsidRDefault="00333B77">
            <w:r>
              <w:t>Type1 × Retail (nob/c)</w:t>
            </w:r>
          </w:p>
        </w:tc>
        <w:tc>
          <w:tcPr>
            <w:tcW w:w="0" w:type="auto"/>
            <w:vAlign w:val="center"/>
            <w:hideMark/>
          </w:tcPr>
          <w:p w14:paraId="0DE79555" w14:textId="77777777" w:rsidR="00333B77" w:rsidRDefault="00333B77">
            <w:r>
              <w:t xml:space="preserve">22.77% </w:t>
            </w:r>
            <w:r>
              <w:rPr>
                <w:rFonts w:ascii="Segoe UI Emoji" w:hAnsi="Segoe UI Emoji" w:cs="Segoe UI Emoji"/>
              </w:rPr>
              <w:t>🟢</w:t>
            </w:r>
            <w:r>
              <w:t xml:space="preserve"> Best</w:t>
            </w:r>
          </w:p>
        </w:tc>
      </w:tr>
    </w:tbl>
    <w:p w14:paraId="4AAD2C22" w14:textId="77777777" w:rsidR="00333B77" w:rsidRDefault="00333B77" w:rsidP="00333B77">
      <w:pPr>
        <w:pStyle w:val="font-claude-response-body"/>
      </w:pPr>
      <w:r>
        <w:rPr>
          <w:rStyle w:val="Strong"/>
          <w:rFonts w:eastAsiaTheme="majorEastAsia"/>
        </w:rPr>
        <w:t>Business Insight:</w:t>
      </w:r>
      <w:r>
        <w:br/>
        <w:t xml:space="preserve">Type2 commercial loans represent the </w:t>
      </w:r>
      <w:r>
        <w:rPr>
          <w:rStyle w:val="Strong"/>
          <w:rFonts w:eastAsiaTheme="majorEastAsia"/>
        </w:rPr>
        <w:t>highest single-factor risk</w:t>
      </w:r>
      <w:r>
        <w:t xml:space="preserve"> at 34.5% default. These are likely small business loans where business failure drives loan default.</w:t>
      </w:r>
    </w:p>
    <w:p w14:paraId="7082F010" w14:textId="77777777" w:rsidR="00333B77" w:rsidRDefault="00D22DE2" w:rsidP="00333B77">
      <w:r>
        <w:pict w14:anchorId="0081F86F">
          <v:rect id="_x0000_i1026" style="width:0;height:1.5pt" o:hralign="center" o:hrstd="t" o:hr="t" fillcolor="#a0a0a0" stroked="f"/>
        </w:pict>
      </w:r>
    </w:p>
    <w:p w14:paraId="6A407C3D" w14:textId="77777777" w:rsidR="00333B77" w:rsidRDefault="00333B77" w:rsidP="00333B77">
      <w:pPr>
        <w:pStyle w:val="font-claude-response-body"/>
      </w:pPr>
      <w:r>
        <w:rPr>
          <w:rStyle w:val="Strong"/>
          <w:rFonts w:ascii="Segoe UI Emoji" w:eastAsiaTheme="majorEastAsia" w:hAnsi="Segoe UI Emoji" w:cs="Segoe UI Emoji"/>
        </w:rPr>
        <w:t>📊</w:t>
      </w:r>
      <w:r>
        <w:rPr>
          <w:rStyle w:val="Strong"/>
          <w:rFonts w:eastAsiaTheme="majorEastAsia"/>
        </w:rPr>
        <w:t xml:space="preserve"> Chart 17: Top 10 Riskiest Factor Combinations</w:t>
      </w:r>
    </w:p>
    <w:p w14:paraId="43ABDF7F" w14:textId="17C65FF7" w:rsidR="00333B77" w:rsidRDefault="003929AE" w:rsidP="00333B77">
      <w:pPr>
        <w:pStyle w:val="font-claude-response-body"/>
      </w:pPr>
      <w:r w:rsidRPr="003929AE">
        <w:rPr>
          <w:rStyle w:val="Strong"/>
          <w:rFonts w:eastAsiaTheme="majorEastAsia"/>
          <w:noProof/>
        </w:rPr>
        <w:lastRenderedPageBreak/>
        <w:drawing>
          <wp:inline distT="0" distB="0" distL="0" distR="0" wp14:anchorId="305C39C2" wp14:editId="68661AC0">
            <wp:extent cx="5943600" cy="35674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67430"/>
                    </a:xfrm>
                    <a:prstGeom prst="rect">
                      <a:avLst/>
                    </a:prstGeom>
                  </pic:spPr>
                </pic:pic>
              </a:graphicData>
            </a:graphic>
          </wp:inline>
        </w:drawing>
      </w:r>
      <w:r w:rsidR="00333B77">
        <w:rPr>
          <w:rStyle w:val="Strong"/>
          <w:rFonts w:eastAsiaTheme="majorEastAsia"/>
        </w:rPr>
        <w:t>Key Findings:</w:t>
      </w:r>
    </w:p>
    <w:p w14:paraId="33A9EDD1" w14:textId="77777777" w:rsidR="00333B77" w:rsidRDefault="00333B77" w:rsidP="00AD3D49">
      <w:pPr>
        <w:pStyle w:val="whitespace-normal"/>
        <w:numPr>
          <w:ilvl w:val="0"/>
          <w:numId w:val="19"/>
        </w:numPr>
      </w:pPr>
      <w:r>
        <w:rPr>
          <w:rStyle w:val="Strong"/>
          <w:rFonts w:eastAsiaTheme="majorEastAsia"/>
        </w:rPr>
        <w:t>Type2 + Low income + No pre-approval</w:t>
      </w:r>
      <w:r>
        <w:t xml:space="preserve"> ≈ 40-45% default (projected)</w:t>
      </w:r>
    </w:p>
    <w:p w14:paraId="19154D3C" w14:textId="77777777" w:rsidR="00333B77" w:rsidRDefault="00333B77" w:rsidP="00AD3D49">
      <w:pPr>
        <w:pStyle w:val="whitespace-normal"/>
        <w:numPr>
          <w:ilvl w:val="0"/>
          <w:numId w:val="19"/>
        </w:numPr>
      </w:pPr>
      <w:r>
        <w:rPr>
          <w:rStyle w:val="Strong"/>
          <w:rFonts w:eastAsiaTheme="majorEastAsia"/>
        </w:rPr>
        <w:t>Type2 + Central/North-East region</w:t>
      </w:r>
      <w:r>
        <w:t xml:space="preserve"> ≈ 37-41% default</w:t>
      </w:r>
    </w:p>
    <w:p w14:paraId="6140B642" w14:textId="77777777" w:rsidR="00333B77" w:rsidRDefault="00333B77" w:rsidP="00AD3D49">
      <w:pPr>
        <w:pStyle w:val="whitespace-normal"/>
        <w:numPr>
          <w:ilvl w:val="0"/>
          <w:numId w:val="19"/>
        </w:numPr>
      </w:pPr>
      <w:r>
        <w:rPr>
          <w:rStyle w:val="Strong"/>
          <w:rFonts w:eastAsiaTheme="majorEastAsia"/>
        </w:rPr>
        <w:t>Type3 + High LTV (&gt;90%)</w:t>
      </w:r>
      <w:r>
        <w:t xml:space="preserve"> ≈ 33-38% default</w:t>
      </w:r>
    </w:p>
    <w:p w14:paraId="0A9CFC6A" w14:textId="77777777" w:rsidR="00333B77" w:rsidRDefault="00333B77" w:rsidP="00333B77">
      <w:pPr>
        <w:pStyle w:val="font-claude-response-body"/>
      </w:pPr>
      <w:r>
        <w:rPr>
          <w:rStyle w:val="Strong"/>
          <w:rFonts w:eastAsiaTheme="majorEastAsia"/>
        </w:rPr>
        <w:t>Business Insight:</w:t>
      </w:r>
      <w:r>
        <w:br/>
        <w:t xml:space="preserve">Risk factors </w:t>
      </w:r>
      <w:r>
        <w:rPr>
          <w:rStyle w:val="Strong"/>
          <w:rFonts w:eastAsiaTheme="majorEastAsia"/>
        </w:rPr>
        <w:t>multiply rather than add</w:t>
      </w:r>
      <w:r>
        <w:t>. A borrower with 2-3 red flags isn't just "somewhat riskier"—they're in catastrophic failure zone (40%+ default probability).</w:t>
      </w:r>
    </w:p>
    <w:p w14:paraId="438C1A57" w14:textId="77777777" w:rsidR="00333B77" w:rsidRDefault="00D22DE2" w:rsidP="00333B77">
      <w:r>
        <w:pict w14:anchorId="15247CB7">
          <v:rect id="_x0000_i1027" style="width:0;height:1.5pt" o:hralign="center" o:hrstd="t" o:hr="t" fillcolor="#a0a0a0" stroked="f"/>
        </w:pict>
      </w:r>
    </w:p>
    <w:p w14:paraId="2AE816E3" w14:textId="33EFFC9F" w:rsidR="00333B77" w:rsidRDefault="00333B77" w:rsidP="003929AE">
      <w:pPr>
        <w:pStyle w:val="font-claude-response-body"/>
      </w:pPr>
      <w:r>
        <w:rPr>
          <w:rStyle w:val="Strong"/>
          <w:rFonts w:ascii="Segoe UI Emoji" w:eastAsiaTheme="majorEastAsia" w:hAnsi="Segoe UI Emoji" w:cs="Segoe UI Emoji"/>
        </w:rPr>
        <w:lastRenderedPageBreak/>
        <w:t>📊</w:t>
      </w:r>
      <w:r>
        <w:rPr>
          <w:rStyle w:val="Strong"/>
          <w:rFonts w:eastAsiaTheme="majorEastAsia"/>
        </w:rPr>
        <w:t xml:space="preserve"> Chart 18: Default Rate Heatmap - Region × Loan Type</w:t>
      </w:r>
      <w:r w:rsidR="003929AE" w:rsidRPr="003929AE">
        <w:rPr>
          <w:noProof/>
        </w:rPr>
        <w:t xml:space="preserve"> </w:t>
      </w:r>
      <w:r w:rsidR="003929AE" w:rsidRPr="003929AE">
        <w:rPr>
          <w:rStyle w:val="Strong"/>
          <w:rFonts w:eastAsiaTheme="majorEastAsia"/>
          <w:noProof/>
        </w:rPr>
        <w:drawing>
          <wp:inline distT="0" distB="0" distL="0" distR="0" wp14:anchorId="267D9F0C" wp14:editId="3C4B6860">
            <wp:extent cx="5449060" cy="37343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9060" cy="3734321"/>
                    </a:xfrm>
                    <a:prstGeom prst="rect">
                      <a:avLst/>
                    </a:prstGeom>
                  </pic:spPr>
                </pic:pic>
              </a:graphicData>
            </a:graphic>
          </wp:inline>
        </w:drawing>
      </w:r>
    </w:p>
    <w:p w14:paraId="24C2D0EB" w14:textId="77777777" w:rsidR="00333B77" w:rsidRDefault="00333B77" w:rsidP="00333B77">
      <w:pPr>
        <w:pStyle w:val="font-claude-response-body"/>
      </w:pPr>
      <w:r>
        <w:rPr>
          <w:rStyle w:val="Strong"/>
          <w:rFonts w:eastAsiaTheme="majorEastAsia"/>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071"/>
        <w:gridCol w:w="966"/>
        <w:gridCol w:w="734"/>
      </w:tblGrid>
      <w:tr w:rsidR="00333B77" w14:paraId="0DD77771" w14:textId="77777777" w:rsidTr="00333B77">
        <w:trPr>
          <w:tblHeader/>
          <w:tblCellSpacing w:w="15" w:type="dxa"/>
        </w:trPr>
        <w:tc>
          <w:tcPr>
            <w:tcW w:w="0" w:type="auto"/>
            <w:vAlign w:val="center"/>
            <w:hideMark/>
          </w:tcPr>
          <w:p w14:paraId="60D581AA" w14:textId="77777777" w:rsidR="00333B77" w:rsidRDefault="00333B77">
            <w:pPr>
              <w:jc w:val="center"/>
              <w:rPr>
                <w:b/>
                <w:bCs/>
              </w:rPr>
            </w:pPr>
            <w:r>
              <w:rPr>
                <w:b/>
                <w:bCs/>
              </w:rPr>
              <w:t>Region × Loan Type</w:t>
            </w:r>
          </w:p>
        </w:tc>
        <w:tc>
          <w:tcPr>
            <w:tcW w:w="0" w:type="auto"/>
            <w:vAlign w:val="center"/>
            <w:hideMark/>
          </w:tcPr>
          <w:p w14:paraId="79DC3CBB" w14:textId="77777777" w:rsidR="00333B77" w:rsidRDefault="00333B77">
            <w:pPr>
              <w:jc w:val="center"/>
              <w:rPr>
                <w:b/>
                <w:bCs/>
              </w:rPr>
            </w:pPr>
            <w:r>
              <w:rPr>
                <w:b/>
                <w:bCs/>
              </w:rPr>
              <w:t>Type1</w:t>
            </w:r>
          </w:p>
        </w:tc>
        <w:tc>
          <w:tcPr>
            <w:tcW w:w="0" w:type="auto"/>
            <w:vAlign w:val="center"/>
            <w:hideMark/>
          </w:tcPr>
          <w:p w14:paraId="1112DA4E" w14:textId="77777777" w:rsidR="00333B77" w:rsidRDefault="00333B77">
            <w:pPr>
              <w:jc w:val="center"/>
              <w:rPr>
                <w:b/>
                <w:bCs/>
              </w:rPr>
            </w:pPr>
            <w:r>
              <w:rPr>
                <w:b/>
                <w:bCs/>
              </w:rPr>
              <w:t>Type2</w:t>
            </w:r>
          </w:p>
        </w:tc>
        <w:tc>
          <w:tcPr>
            <w:tcW w:w="0" w:type="auto"/>
            <w:vAlign w:val="center"/>
            <w:hideMark/>
          </w:tcPr>
          <w:p w14:paraId="1B4DAC4B" w14:textId="77777777" w:rsidR="00333B77" w:rsidRDefault="00333B77">
            <w:pPr>
              <w:jc w:val="center"/>
              <w:rPr>
                <w:b/>
                <w:bCs/>
              </w:rPr>
            </w:pPr>
            <w:r>
              <w:rPr>
                <w:b/>
                <w:bCs/>
              </w:rPr>
              <w:t>Type3</w:t>
            </w:r>
          </w:p>
        </w:tc>
      </w:tr>
      <w:tr w:rsidR="00333B77" w14:paraId="3180D7E5" w14:textId="77777777" w:rsidTr="00333B77">
        <w:trPr>
          <w:tblCellSpacing w:w="15" w:type="dxa"/>
        </w:trPr>
        <w:tc>
          <w:tcPr>
            <w:tcW w:w="0" w:type="auto"/>
            <w:vAlign w:val="center"/>
            <w:hideMark/>
          </w:tcPr>
          <w:p w14:paraId="1E0DD463" w14:textId="77777777" w:rsidR="00333B77" w:rsidRDefault="00333B77">
            <w:r>
              <w:rPr>
                <w:rStyle w:val="Strong"/>
              </w:rPr>
              <w:t>Central</w:t>
            </w:r>
          </w:p>
        </w:tc>
        <w:tc>
          <w:tcPr>
            <w:tcW w:w="0" w:type="auto"/>
            <w:vAlign w:val="center"/>
            <w:hideMark/>
          </w:tcPr>
          <w:p w14:paraId="1399A57F" w14:textId="77777777" w:rsidR="00333B77" w:rsidRDefault="00333B77">
            <w:r>
              <w:t>23.98%</w:t>
            </w:r>
          </w:p>
        </w:tc>
        <w:tc>
          <w:tcPr>
            <w:tcW w:w="0" w:type="auto"/>
            <w:vAlign w:val="center"/>
            <w:hideMark/>
          </w:tcPr>
          <w:p w14:paraId="086EB036" w14:textId="79BA0799" w:rsidR="00333B77" w:rsidRPr="00D7610E" w:rsidRDefault="00D7610E">
            <w:pPr>
              <w:rPr>
                <w:b/>
                <w:bCs/>
              </w:rPr>
            </w:pPr>
            <w:r w:rsidRPr="00D7610E">
              <w:rPr>
                <w:rStyle w:val="Strong"/>
                <w:b w:val="0"/>
                <w:bCs w:val="0"/>
              </w:rPr>
              <w:t>37.90</w:t>
            </w:r>
            <w:r w:rsidR="00333B77" w:rsidRPr="00D7610E">
              <w:rPr>
                <w:rStyle w:val="Strong"/>
                <w:b w:val="0"/>
                <w:bCs w:val="0"/>
              </w:rPr>
              <w:t>%</w:t>
            </w:r>
          </w:p>
        </w:tc>
        <w:tc>
          <w:tcPr>
            <w:tcW w:w="0" w:type="auto"/>
            <w:vAlign w:val="center"/>
            <w:hideMark/>
          </w:tcPr>
          <w:p w14:paraId="196ACE81" w14:textId="2BD76548" w:rsidR="00333B77" w:rsidRDefault="00D7610E">
            <w:r>
              <w:t>28.16</w:t>
            </w:r>
            <w:r w:rsidR="00333B77">
              <w:t>%</w:t>
            </w:r>
          </w:p>
        </w:tc>
      </w:tr>
      <w:tr w:rsidR="00333B77" w14:paraId="38B93598" w14:textId="77777777" w:rsidTr="00333B77">
        <w:trPr>
          <w:tblCellSpacing w:w="15" w:type="dxa"/>
        </w:trPr>
        <w:tc>
          <w:tcPr>
            <w:tcW w:w="0" w:type="auto"/>
            <w:vAlign w:val="center"/>
            <w:hideMark/>
          </w:tcPr>
          <w:p w14:paraId="36E74C66" w14:textId="77777777" w:rsidR="00333B77" w:rsidRDefault="00333B77">
            <w:r>
              <w:rPr>
                <w:rStyle w:val="Strong"/>
              </w:rPr>
              <w:t>North-East</w:t>
            </w:r>
          </w:p>
        </w:tc>
        <w:tc>
          <w:tcPr>
            <w:tcW w:w="0" w:type="auto"/>
            <w:vAlign w:val="center"/>
            <w:hideMark/>
          </w:tcPr>
          <w:p w14:paraId="626AC795" w14:textId="264C7AE3" w:rsidR="00333B77" w:rsidRDefault="00D7610E">
            <w:r>
              <w:t>27.88</w:t>
            </w:r>
            <w:r w:rsidR="00333B77">
              <w:t>%</w:t>
            </w:r>
          </w:p>
        </w:tc>
        <w:tc>
          <w:tcPr>
            <w:tcW w:w="0" w:type="auto"/>
            <w:vAlign w:val="center"/>
            <w:hideMark/>
          </w:tcPr>
          <w:p w14:paraId="357799DD" w14:textId="440F02D9" w:rsidR="00333B77" w:rsidRDefault="00D7610E">
            <w:r w:rsidRPr="00D7610E">
              <w:rPr>
                <w:b/>
                <w:bCs/>
              </w:rPr>
              <w:t>41.3</w:t>
            </w:r>
            <w:r w:rsidR="00333B77" w:rsidRPr="00D7610E">
              <w:rPr>
                <w:b/>
                <w:bCs/>
              </w:rPr>
              <w:t>%</w:t>
            </w:r>
            <w:r>
              <w:t xml:space="preserve"> </w:t>
            </w:r>
            <w:r>
              <w:rPr>
                <w:rFonts w:ascii="Segoe UI Emoji" w:hAnsi="Segoe UI Emoji" w:cs="Segoe UI Emoji"/>
              </w:rPr>
              <w:t>🔴</w:t>
            </w:r>
          </w:p>
        </w:tc>
        <w:tc>
          <w:tcPr>
            <w:tcW w:w="0" w:type="auto"/>
            <w:vAlign w:val="center"/>
            <w:hideMark/>
          </w:tcPr>
          <w:p w14:paraId="48567AFE" w14:textId="19C2A48F" w:rsidR="00333B77" w:rsidRDefault="00333B77">
            <w:r>
              <w:t>28.</w:t>
            </w:r>
            <w:r w:rsidR="00D7610E">
              <w:t>48</w:t>
            </w:r>
            <w:r>
              <w:t>%</w:t>
            </w:r>
          </w:p>
        </w:tc>
      </w:tr>
      <w:tr w:rsidR="00333B77" w14:paraId="06F32AFF" w14:textId="77777777" w:rsidTr="00333B77">
        <w:trPr>
          <w:tblCellSpacing w:w="15" w:type="dxa"/>
        </w:trPr>
        <w:tc>
          <w:tcPr>
            <w:tcW w:w="0" w:type="auto"/>
            <w:vAlign w:val="center"/>
            <w:hideMark/>
          </w:tcPr>
          <w:p w14:paraId="3449E176" w14:textId="77777777" w:rsidR="00333B77" w:rsidRDefault="00333B77">
            <w:r>
              <w:rPr>
                <w:rStyle w:val="Strong"/>
              </w:rPr>
              <w:t>South</w:t>
            </w:r>
          </w:p>
        </w:tc>
        <w:tc>
          <w:tcPr>
            <w:tcW w:w="0" w:type="auto"/>
            <w:vAlign w:val="center"/>
            <w:hideMark/>
          </w:tcPr>
          <w:p w14:paraId="115B2C29" w14:textId="4FFC8C05" w:rsidR="00333B77" w:rsidRDefault="00333B77">
            <w:r>
              <w:t>24.7</w:t>
            </w:r>
            <w:r w:rsidR="00D7610E">
              <w:t>6</w:t>
            </w:r>
            <w:r>
              <w:t>%</w:t>
            </w:r>
          </w:p>
        </w:tc>
        <w:tc>
          <w:tcPr>
            <w:tcW w:w="0" w:type="auto"/>
            <w:vAlign w:val="center"/>
            <w:hideMark/>
          </w:tcPr>
          <w:p w14:paraId="71B9CE86" w14:textId="290AD8DA" w:rsidR="00333B77" w:rsidRDefault="00333B77">
            <w:r>
              <w:t>38.2</w:t>
            </w:r>
            <w:r w:rsidR="00D7610E">
              <w:t>1</w:t>
            </w:r>
            <w:r>
              <w:t>%</w:t>
            </w:r>
          </w:p>
        </w:tc>
        <w:tc>
          <w:tcPr>
            <w:tcW w:w="0" w:type="auto"/>
            <w:vAlign w:val="center"/>
            <w:hideMark/>
          </w:tcPr>
          <w:p w14:paraId="0034DC46" w14:textId="77777777" w:rsidR="00333B77" w:rsidRDefault="00333B77">
            <w:r>
              <w:t>25.86%</w:t>
            </w:r>
          </w:p>
        </w:tc>
      </w:tr>
      <w:tr w:rsidR="00333B77" w14:paraId="0DE96F66" w14:textId="77777777" w:rsidTr="00333B77">
        <w:trPr>
          <w:tblCellSpacing w:w="15" w:type="dxa"/>
        </w:trPr>
        <w:tc>
          <w:tcPr>
            <w:tcW w:w="0" w:type="auto"/>
            <w:vAlign w:val="center"/>
            <w:hideMark/>
          </w:tcPr>
          <w:p w14:paraId="39C529A4" w14:textId="77777777" w:rsidR="00333B77" w:rsidRDefault="00333B77">
            <w:r>
              <w:rPr>
                <w:rStyle w:val="Strong"/>
              </w:rPr>
              <w:t>North</w:t>
            </w:r>
          </w:p>
        </w:tc>
        <w:tc>
          <w:tcPr>
            <w:tcW w:w="0" w:type="auto"/>
            <w:vAlign w:val="center"/>
            <w:hideMark/>
          </w:tcPr>
          <w:p w14:paraId="5BDB58DA" w14:textId="77777777" w:rsidR="00333B77" w:rsidRDefault="00333B77">
            <w:r>
              <w:t xml:space="preserve">20.86% </w:t>
            </w:r>
            <w:r>
              <w:rPr>
                <w:rFonts w:ascii="Segoe UI Emoji" w:hAnsi="Segoe UI Emoji" w:cs="Segoe UI Emoji"/>
              </w:rPr>
              <w:t>🟢</w:t>
            </w:r>
          </w:p>
        </w:tc>
        <w:tc>
          <w:tcPr>
            <w:tcW w:w="0" w:type="auto"/>
            <w:vAlign w:val="center"/>
            <w:hideMark/>
          </w:tcPr>
          <w:p w14:paraId="08EC7D6A" w14:textId="77777777" w:rsidR="00333B77" w:rsidRDefault="00333B77">
            <w:r>
              <w:t>30.81%</w:t>
            </w:r>
          </w:p>
        </w:tc>
        <w:tc>
          <w:tcPr>
            <w:tcW w:w="0" w:type="auto"/>
            <w:vAlign w:val="center"/>
            <w:hideMark/>
          </w:tcPr>
          <w:p w14:paraId="7393F34B" w14:textId="77777777" w:rsidR="00333B77" w:rsidRDefault="00333B77">
            <w:r>
              <w:t>23.76%</w:t>
            </w:r>
          </w:p>
        </w:tc>
      </w:tr>
    </w:tbl>
    <w:p w14:paraId="4F6345F0" w14:textId="0B7ECDD8" w:rsidR="00333B77" w:rsidRDefault="00333B77" w:rsidP="00333B77">
      <w:pPr>
        <w:pStyle w:val="font-claude-response-body"/>
      </w:pPr>
      <w:r>
        <w:rPr>
          <w:rStyle w:val="Strong"/>
          <w:rFonts w:eastAsiaTheme="majorEastAsia"/>
        </w:rPr>
        <w:t>Critical Discovery:</w:t>
      </w:r>
      <w:r>
        <w:br/>
      </w:r>
      <w:r w:rsidR="00D7610E">
        <w:rPr>
          <w:rStyle w:val="Strong"/>
        </w:rPr>
        <w:t>North-East</w:t>
      </w:r>
      <w:r w:rsidR="00D7610E">
        <w:rPr>
          <w:rStyle w:val="Strong"/>
          <w:rFonts w:eastAsiaTheme="majorEastAsia"/>
        </w:rPr>
        <w:t xml:space="preserve"> </w:t>
      </w:r>
      <w:r>
        <w:rPr>
          <w:rStyle w:val="Strong"/>
          <w:rFonts w:eastAsiaTheme="majorEastAsia"/>
        </w:rPr>
        <w:t>+ Type2 loans = 41% default</w:t>
      </w:r>
      <w:r>
        <w:t xml:space="preserve">—the absolute worst combination in the portfolio. This is </w:t>
      </w:r>
      <w:r>
        <w:rPr>
          <w:rStyle w:val="Strong"/>
          <w:rFonts w:eastAsiaTheme="majorEastAsia"/>
        </w:rPr>
        <w:t>double the Type1-North best case</w:t>
      </w:r>
      <w:r>
        <w:t xml:space="preserve"> (20.86%).</w:t>
      </w:r>
    </w:p>
    <w:p w14:paraId="2E7EF6A2" w14:textId="701CDD19" w:rsidR="00333B77" w:rsidRDefault="00333B77" w:rsidP="00333B77">
      <w:pPr>
        <w:pStyle w:val="font-claude-response-body"/>
      </w:pPr>
      <w:r>
        <w:rPr>
          <w:rStyle w:val="Strong"/>
          <w:rFonts w:eastAsiaTheme="majorEastAsia"/>
        </w:rPr>
        <w:t>Business Insight:</w:t>
      </w:r>
      <w:r>
        <w:br/>
        <w:t xml:space="preserve">Never approve </w:t>
      </w:r>
      <w:r>
        <w:rPr>
          <w:rStyle w:val="Strong"/>
          <w:rFonts w:eastAsiaTheme="majorEastAsia"/>
        </w:rPr>
        <w:t>Type2 loans in North-East regions</w:t>
      </w:r>
      <w:r>
        <w:t>. If Type2 must continue, restrict to North region only where performance is marginally acceptable (30.8</w:t>
      </w:r>
      <w:r w:rsidR="00D7610E">
        <w:t>1</w:t>
      </w:r>
      <w:r>
        <w:t>%).</w:t>
      </w:r>
    </w:p>
    <w:p w14:paraId="57C874A6" w14:textId="77777777" w:rsidR="00333B77" w:rsidRDefault="00D22DE2" w:rsidP="00333B77">
      <w:r>
        <w:pict w14:anchorId="33D12969">
          <v:rect id="_x0000_i1028" style="width:0;height:1.5pt" o:hralign="center" o:hrstd="t" o:hr="t" fillcolor="#a0a0a0" stroked="f"/>
        </w:pict>
      </w:r>
    </w:p>
    <w:p w14:paraId="402FEF4D" w14:textId="77777777" w:rsidR="00333B77" w:rsidRDefault="00333B77" w:rsidP="00333B77">
      <w:pPr>
        <w:pStyle w:val="font-claude-response-body"/>
      </w:pPr>
      <w:r>
        <w:rPr>
          <w:rStyle w:val="Strong"/>
          <w:rFonts w:ascii="Segoe UI Emoji" w:eastAsiaTheme="majorEastAsia" w:hAnsi="Segoe UI Emoji" w:cs="Segoe UI Emoji"/>
        </w:rPr>
        <w:lastRenderedPageBreak/>
        <w:t>📊</w:t>
      </w:r>
      <w:r>
        <w:rPr>
          <w:rStyle w:val="Strong"/>
          <w:rFonts w:eastAsiaTheme="majorEastAsia"/>
        </w:rPr>
        <w:t xml:space="preserve"> Chart 19: Default Rate Heatmap - Credit Score × LTV</w:t>
      </w:r>
    </w:p>
    <w:p w14:paraId="2E0301E3" w14:textId="1C3E7F9E" w:rsidR="00333B77" w:rsidRDefault="003929AE" w:rsidP="00333B77">
      <w:pPr>
        <w:pStyle w:val="font-claude-response-body"/>
      </w:pPr>
      <w:r w:rsidRPr="003929AE">
        <w:rPr>
          <w:rStyle w:val="Strong"/>
          <w:rFonts w:eastAsiaTheme="majorEastAsia"/>
          <w:noProof/>
        </w:rPr>
        <w:drawing>
          <wp:inline distT="0" distB="0" distL="0" distR="0" wp14:anchorId="24B2818E" wp14:editId="6F20DE0E">
            <wp:extent cx="5772956" cy="384863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72956" cy="3848637"/>
                    </a:xfrm>
                    <a:prstGeom prst="rect">
                      <a:avLst/>
                    </a:prstGeom>
                  </pic:spPr>
                </pic:pic>
              </a:graphicData>
            </a:graphic>
          </wp:inline>
        </w:drawing>
      </w:r>
      <w:r w:rsidR="00333B77">
        <w:rPr>
          <w:rStyle w:val="Strong"/>
          <w:rFonts w:eastAsiaTheme="majorEastAsia"/>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1497"/>
        <w:gridCol w:w="1667"/>
        <w:gridCol w:w="1552"/>
      </w:tblGrid>
      <w:tr w:rsidR="00333B77" w14:paraId="07F080D6" w14:textId="77777777" w:rsidTr="00333B77">
        <w:trPr>
          <w:tblHeader/>
          <w:tblCellSpacing w:w="15" w:type="dxa"/>
        </w:trPr>
        <w:tc>
          <w:tcPr>
            <w:tcW w:w="0" w:type="auto"/>
            <w:vAlign w:val="center"/>
            <w:hideMark/>
          </w:tcPr>
          <w:p w14:paraId="446C38C2" w14:textId="77777777" w:rsidR="00333B77" w:rsidRDefault="00333B77">
            <w:pPr>
              <w:jc w:val="center"/>
              <w:rPr>
                <w:b/>
                <w:bCs/>
              </w:rPr>
            </w:pPr>
            <w:r>
              <w:rPr>
                <w:b/>
                <w:bCs/>
              </w:rPr>
              <w:t>Credit × LTV</w:t>
            </w:r>
          </w:p>
        </w:tc>
        <w:tc>
          <w:tcPr>
            <w:tcW w:w="0" w:type="auto"/>
            <w:vAlign w:val="center"/>
            <w:hideMark/>
          </w:tcPr>
          <w:p w14:paraId="06CA3569" w14:textId="77777777" w:rsidR="00333B77" w:rsidRDefault="00333B77">
            <w:pPr>
              <w:jc w:val="center"/>
              <w:rPr>
                <w:b/>
                <w:bCs/>
              </w:rPr>
            </w:pPr>
            <w:r>
              <w:rPr>
                <w:b/>
                <w:bCs/>
              </w:rPr>
              <w:t>Low LTV (&lt;75%)</w:t>
            </w:r>
          </w:p>
        </w:tc>
        <w:tc>
          <w:tcPr>
            <w:tcW w:w="0" w:type="auto"/>
            <w:vAlign w:val="center"/>
            <w:hideMark/>
          </w:tcPr>
          <w:p w14:paraId="166FA2D6" w14:textId="77777777" w:rsidR="00333B77" w:rsidRDefault="00333B77">
            <w:pPr>
              <w:jc w:val="center"/>
              <w:rPr>
                <w:b/>
                <w:bCs/>
              </w:rPr>
            </w:pPr>
            <w:r>
              <w:rPr>
                <w:b/>
                <w:bCs/>
              </w:rPr>
              <w:t>Mid LTV (75-90%)</w:t>
            </w:r>
          </w:p>
        </w:tc>
        <w:tc>
          <w:tcPr>
            <w:tcW w:w="0" w:type="auto"/>
            <w:vAlign w:val="center"/>
            <w:hideMark/>
          </w:tcPr>
          <w:p w14:paraId="53C6AD3B" w14:textId="77777777" w:rsidR="00333B77" w:rsidRDefault="00333B77">
            <w:pPr>
              <w:jc w:val="center"/>
              <w:rPr>
                <w:b/>
                <w:bCs/>
              </w:rPr>
            </w:pPr>
            <w:r>
              <w:rPr>
                <w:b/>
                <w:bCs/>
              </w:rPr>
              <w:t>High LTV (&gt;90%)</w:t>
            </w:r>
          </w:p>
        </w:tc>
      </w:tr>
      <w:tr w:rsidR="00333B77" w14:paraId="7BD67198" w14:textId="77777777" w:rsidTr="00333B77">
        <w:trPr>
          <w:tblCellSpacing w:w="15" w:type="dxa"/>
        </w:trPr>
        <w:tc>
          <w:tcPr>
            <w:tcW w:w="0" w:type="auto"/>
            <w:vAlign w:val="center"/>
            <w:hideMark/>
          </w:tcPr>
          <w:p w14:paraId="308B4166" w14:textId="77777777" w:rsidR="00333B77" w:rsidRDefault="00333B77">
            <w:r>
              <w:rPr>
                <w:rStyle w:val="Strong"/>
              </w:rPr>
              <w:t>Poor Credit (&lt;600)</w:t>
            </w:r>
          </w:p>
        </w:tc>
        <w:tc>
          <w:tcPr>
            <w:tcW w:w="0" w:type="auto"/>
            <w:vAlign w:val="center"/>
            <w:hideMark/>
          </w:tcPr>
          <w:p w14:paraId="6958AD9C" w14:textId="77777777" w:rsidR="00333B77" w:rsidRDefault="00333B77">
            <w:r>
              <w:t>23-25%</w:t>
            </w:r>
          </w:p>
        </w:tc>
        <w:tc>
          <w:tcPr>
            <w:tcW w:w="0" w:type="auto"/>
            <w:vAlign w:val="center"/>
            <w:hideMark/>
          </w:tcPr>
          <w:p w14:paraId="0A09256C" w14:textId="77777777" w:rsidR="00333B77" w:rsidRDefault="00333B77">
            <w:r>
              <w:t>26-28%</w:t>
            </w:r>
          </w:p>
        </w:tc>
        <w:tc>
          <w:tcPr>
            <w:tcW w:w="0" w:type="auto"/>
            <w:vAlign w:val="center"/>
            <w:hideMark/>
          </w:tcPr>
          <w:p w14:paraId="1BED5B5B" w14:textId="77777777" w:rsidR="00333B77" w:rsidRDefault="00333B77">
            <w:r>
              <w:t>30-33%</w:t>
            </w:r>
          </w:p>
        </w:tc>
      </w:tr>
      <w:tr w:rsidR="00333B77" w14:paraId="3B695F04" w14:textId="77777777" w:rsidTr="00333B77">
        <w:trPr>
          <w:tblCellSpacing w:w="15" w:type="dxa"/>
        </w:trPr>
        <w:tc>
          <w:tcPr>
            <w:tcW w:w="0" w:type="auto"/>
            <w:vAlign w:val="center"/>
            <w:hideMark/>
          </w:tcPr>
          <w:p w14:paraId="6CD0D59E" w14:textId="77777777" w:rsidR="00333B77" w:rsidRDefault="00333B77">
            <w:r>
              <w:rPr>
                <w:rStyle w:val="Strong"/>
              </w:rPr>
              <w:t>Fair Credit (600-700)</w:t>
            </w:r>
          </w:p>
        </w:tc>
        <w:tc>
          <w:tcPr>
            <w:tcW w:w="0" w:type="auto"/>
            <w:vAlign w:val="center"/>
            <w:hideMark/>
          </w:tcPr>
          <w:p w14:paraId="22A002EA" w14:textId="77777777" w:rsidR="00333B77" w:rsidRDefault="00333B77">
            <w:r>
              <w:t>18-20%</w:t>
            </w:r>
          </w:p>
        </w:tc>
        <w:tc>
          <w:tcPr>
            <w:tcW w:w="0" w:type="auto"/>
            <w:vAlign w:val="center"/>
            <w:hideMark/>
          </w:tcPr>
          <w:p w14:paraId="6F9C8FDD" w14:textId="77777777" w:rsidR="00333B77" w:rsidRDefault="00333B77">
            <w:r>
              <w:t>22-24%</w:t>
            </w:r>
          </w:p>
        </w:tc>
        <w:tc>
          <w:tcPr>
            <w:tcW w:w="0" w:type="auto"/>
            <w:vAlign w:val="center"/>
            <w:hideMark/>
          </w:tcPr>
          <w:p w14:paraId="64480EB7" w14:textId="77777777" w:rsidR="00333B77" w:rsidRDefault="00333B77">
            <w:r>
              <w:t>26-28%</w:t>
            </w:r>
          </w:p>
        </w:tc>
      </w:tr>
      <w:tr w:rsidR="00333B77" w14:paraId="7DD00D8C" w14:textId="77777777" w:rsidTr="00333B77">
        <w:trPr>
          <w:tblCellSpacing w:w="15" w:type="dxa"/>
        </w:trPr>
        <w:tc>
          <w:tcPr>
            <w:tcW w:w="0" w:type="auto"/>
            <w:vAlign w:val="center"/>
            <w:hideMark/>
          </w:tcPr>
          <w:p w14:paraId="546F02CE" w14:textId="77777777" w:rsidR="00333B77" w:rsidRDefault="00333B77">
            <w:r>
              <w:rPr>
                <w:rStyle w:val="Strong"/>
              </w:rPr>
              <w:t>Good Credit (&gt;700)</w:t>
            </w:r>
          </w:p>
        </w:tc>
        <w:tc>
          <w:tcPr>
            <w:tcW w:w="0" w:type="auto"/>
            <w:vAlign w:val="center"/>
            <w:hideMark/>
          </w:tcPr>
          <w:p w14:paraId="41CB7752" w14:textId="77777777" w:rsidR="00333B77" w:rsidRDefault="00333B77">
            <w:r>
              <w:t>13-15%</w:t>
            </w:r>
          </w:p>
        </w:tc>
        <w:tc>
          <w:tcPr>
            <w:tcW w:w="0" w:type="auto"/>
            <w:vAlign w:val="center"/>
            <w:hideMark/>
          </w:tcPr>
          <w:p w14:paraId="35AD6081" w14:textId="77777777" w:rsidR="00333B77" w:rsidRDefault="00333B77">
            <w:r>
              <w:t>17-19%</w:t>
            </w:r>
          </w:p>
        </w:tc>
        <w:tc>
          <w:tcPr>
            <w:tcW w:w="0" w:type="auto"/>
            <w:vAlign w:val="center"/>
            <w:hideMark/>
          </w:tcPr>
          <w:p w14:paraId="575BF4ED" w14:textId="77777777" w:rsidR="00333B77" w:rsidRDefault="00333B77">
            <w:r>
              <w:t>22-24%</w:t>
            </w:r>
          </w:p>
        </w:tc>
      </w:tr>
    </w:tbl>
    <w:p w14:paraId="31A4B1D1" w14:textId="77777777" w:rsidR="00333B77" w:rsidRDefault="00333B77" w:rsidP="00333B77">
      <w:pPr>
        <w:pStyle w:val="font-claude-response-body"/>
      </w:pPr>
      <w:r>
        <w:rPr>
          <w:rStyle w:val="Strong"/>
          <w:rFonts w:eastAsiaTheme="majorEastAsia"/>
        </w:rPr>
        <w:t>Surprising Finding:</w:t>
      </w:r>
      <w:r>
        <w:br/>
      </w:r>
      <w:r>
        <w:rPr>
          <w:rStyle w:val="Strong"/>
          <w:rFonts w:eastAsiaTheme="majorEastAsia"/>
        </w:rPr>
        <w:t>Credit score impact (10-15pp spread) &gt; LTV impact (5-8pp spread)</w:t>
      </w:r>
      <w:r>
        <w:t xml:space="preserve"> within same row. This challenges traditional collateral-focused lending—</w:t>
      </w:r>
      <w:r>
        <w:rPr>
          <w:rStyle w:val="Strong"/>
          <w:rFonts w:eastAsiaTheme="majorEastAsia"/>
        </w:rPr>
        <w:t>borrower behavior &gt; collateral value</w:t>
      </w:r>
      <w:r>
        <w:t xml:space="preserve"> as default predictor.</w:t>
      </w:r>
    </w:p>
    <w:p w14:paraId="16465F71" w14:textId="5AF3A523" w:rsidR="00333B77" w:rsidRDefault="00333B77" w:rsidP="00333B77">
      <w:pPr>
        <w:pStyle w:val="font-claude-response-body"/>
      </w:pPr>
      <w:r>
        <w:rPr>
          <w:rStyle w:val="Strong"/>
          <w:rFonts w:eastAsiaTheme="majorEastAsia"/>
        </w:rPr>
        <w:t>Business Insight:</w:t>
      </w:r>
      <w:r>
        <w:br/>
        <w:t xml:space="preserve">Loans default primarily due to </w:t>
      </w:r>
      <w:r>
        <w:rPr>
          <w:rStyle w:val="Strong"/>
          <w:rFonts w:eastAsiaTheme="majorEastAsia"/>
        </w:rPr>
        <w:t>inability or unwillingness to pay</w:t>
      </w:r>
      <w:r>
        <w:t xml:space="preserve"> (credit behavior), not because property value dropped below loan balance. A good-credit borrower with high LTV (90%) is </w:t>
      </w:r>
      <w:r>
        <w:rPr>
          <w:rStyle w:val="Strong"/>
          <w:rFonts w:eastAsiaTheme="majorEastAsia"/>
        </w:rPr>
        <w:t>safer than poor-credit borrower with low LTV (60%)</w:t>
      </w:r>
      <w:r>
        <w:t>.</w:t>
      </w:r>
    </w:p>
    <w:p w14:paraId="1283838C" w14:textId="77777777" w:rsidR="003929AE" w:rsidRPr="00C471BD" w:rsidRDefault="003929AE" w:rsidP="00C471BD">
      <w:pPr>
        <w:pStyle w:val="Heading2"/>
        <w:numPr>
          <w:ilvl w:val="0"/>
          <w:numId w:val="35"/>
        </w:numPr>
      </w:pPr>
      <w:r w:rsidRPr="00C471BD">
        <w:rPr>
          <w:rStyle w:val="Strong"/>
        </w:rPr>
        <w:lastRenderedPageBreak/>
        <w:t>EDA Summary: Key Risk Drivers Identified</w:t>
      </w:r>
    </w:p>
    <w:p w14:paraId="5A5A4209" w14:textId="77777777" w:rsidR="003929AE" w:rsidRDefault="003929AE" w:rsidP="003929AE">
      <w:pPr>
        <w:pStyle w:val="font-claude-response-body"/>
      </w:pPr>
      <w:r>
        <w:t xml:space="preserve">Based on comprehensive exploratory analysis, the </w:t>
      </w:r>
      <w:r>
        <w:rPr>
          <w:rStyle w:val="Strong"/>
          <w:rFonts w:eastAsiaTheme="majorEastAsia"/>
        </w:rPr>
        <w:t>Top 5 Default Risk Drivers</w:t>
      </w:r>
      <w:r>
        <w:t xml:space="preserve"> ranked by impact magnitude:</w:t>
      </w:r>
    </w:p>
    <w:p w14:paraId="53A44B9A" w14:textId="77777777" w:rsidR="003929AE" w:rsidRDefault="003929AE" w:rsidP="003929AE">
      <w:pPr>
        <w:pStyle w:val="Heading3"/>
      </w:pPr>
      <w:r>
        <w:rPr>
          <w:rStyle w:val="Strong"/>
          <w:rFonts w:ascii="Segoe UI Emoji" w:hAnsi="Segoe UI Emoji" w:cs="Segoe UI Emoji"/>
          <w:b w:val="0"/>
          <w:bCs w:val="0"/>
        </w:rPr>
        <w:t>🥇</w:t>
      </w:r>
      <w:r>
        <w:rPr>
          <w:rStyle w:val="Strong"/>
          <w:b w:val="0"/>
          <w:bCs w:val="0"/>
        </w:rPr>
        <w:t xml:space="preserve"> #1: Monthly Income (16pp spread)</w:t>
      </w:r>
    </w:p>
    <w:p w14:paraId="60F54835" w14:textId="77777777" w:rsidR="003929AE" w:rsidRDefault="003929AE" w:rsidP="00AD3D49">
      <w:pPr>
        <w:pStyle w:val="whitespace-normal"/>
        <w:numPr>
          <w:ilvl w:val="0"/>
          <w:numId w:val="20"/>
        </w:numPr>
      </w:pPr>
      <w:r>
        <w:t>Low (&lt;$3K): 36% default</w:t>
      </w:r>
    </w:p>
    <w:p w14:paraId="3CDFFD5C" w14:textId="77777777" w:rsidR="003929AE" w:rsidRDefault="003929AE" w:rsidP="00AD3D49">
      <w:pPr>
        <w:pStyle w:val="whitespace-normal"/>
        <w:numPr>
          <w:ilvl w:val="0"/>
          <w:numId w:val="20"/>
        </w:numPr>
      </w:pPr>
      <w:r>
        <w:t>High (&gt;$10K): 20% default</w:t>
      </w:r>
    </w:p>
    <w:p w14:paraId="78077FAB" w14:textId="77777777" w:rsidR="003929AE" w:rsidRDefault="003929AE" w:rsidP="00AD3D49">
      <w:pPr>
        <w:pStyle w:val="whitespace-normal"/>
        <w:numPr>
          <w:ilvl w:val="0"/>
          <w:numId w:val="20"/>
        </w:numPr>
      </w:pPr>
      <w:r>
        <w:rPr>
          <w:rStyle w:val="Strong"/>
          <w:rFonts w:eastAsiaTheme="majorEastAsia"/>
        </w:rPr>
        <w:t>Action</w:t>
      </w:r>
      <w:r>
        <w:t>: Minimum $5K income requirement</w:t>
      </w:r>
    </w:p>
    <w:p w14:paraId="52B9CDBD" w14:textId="77777777" w:rsidR="003929AE" w:rsidRDefault="003929AE" w:rsidP="003929AE">
      <w:pPr>
        <w:pStyle w:val="Heading3"/>
      </w:pPr>
      <w:r>
        <w:rPr>
          <w:rStyle w:val="Strong"/>
          <w:rFonts w:ascii="Segoe UI Emoji" w:hAnsi="Segoe UI Emoji" w:cs="Segoe UI Emoji"/>
          <w:b w:val="0"/>
          <w:bCs w:val="0"/>
        </w:rPr>
        <w:t>🥈</w:t>
      </w:r>
      <w:r>
        <w:rPr>
          <w:rStyle w:val="Strong"/>
          <w:b w:val="0"/>
          <w:bCs w:val="0"/>
        </w:rPr>
        <w:t xml:space="preserve"> #2: Loan Product Type (11.77pp spread)</w:t>
      </w:r>
    </w:p>
    <w:p w14:paraId="3D16A700" w14:textId="77777777" w:rsidR="003929AE" w:rsidRDefault="003929AE" w:rsidP="00AD3D49">
      <w:pPr>
        <w:pStyle w:val="whitespace-normal"/>
        <w:numPr>
          <w:ilvl w:val="0"/>
          <w:numId w:val="21"/>
        </w:numPr>
      </w:pPr>
      <w:r>
        <w:t>Type2: 34.54% default</w:t>
      </w:r>
    </w:p>
    <w:p w14:paraId="29116E96" w14:textId="77777777" w:rsidR="003929AE" w:rsidRDefault="003929AE" w:rsidP="00AD3D49">
      <w:pPr>
        <w:pStyle w:val="whitespace-normal"/>
        <w:numPr>
          <w:ilvl w:val="0"/>
          <w:numId w:val="21"/>
        </w:numPr>
      </w:pPr>
      <w:r>
        <w:t>Type1: 22.77% default</w:t>
      </w:r>
    </w:p>
    <w:p w14:paraId="1CCC4431" w14:textId="77777777" w:rsidR="003929AE" w:rsidRDefault="003929AE" w:rsidP="00AD3D49">
      <w:pPr>
        <w:pStyle w:val="whitespace-normal"/>
        <w:numPr>
          <w:ilvl w:val="0"/>
          <w:numId w:val="21"/>
        </w:numPr>
      </w:pPr>
      <w:r>
        <w:rPr>
          <w:rStyle w:val="Strong"/>
          <w:rFonts w:eastAsiaTheme="majorEastAsia"/>
        </w:rPr>
        <w:t>Action</w:t>
      </w:r>
      <w:r>
        <w:t>: Discontinue or reprice Type2</w:t>
      </w:r>
    </w:p>
    <w:p w14:paraId="6360BB27" w14:textId="77777777" w:rsidR="003929AE" w:rsidRDefault="003929AE" w:rsidP="003929AE">
      <w:pPr>
        <w:pStyle w:val="Heading3"/>
      </w:pPr>
      <w:r>
        <w:rPr>
          <w:rStyle w:val="Strong"/>
          <w:rFonts w:ascii="Segoe UI Emoji" w:hAnsi="Segoe UI Emoji" w:cs="Segoe UI Emoji"/>
          <w:b w:val="0"/>
          <w:bCs w:val="0"/>
        </w:rPr>
        <w:t>🥉</w:t>
      </w:r>
      <w:r>
        <w:rPr>
          <w:rStyle w:val="Strong"/>
          <w:b w:val="0"/>
          <w:bCs w:val="0"/>
        </w:rPr>
        <w:t xml:space="preserve"> #3: Pre-Approval Process (4pp impact)</w:t>
      </w:r>
    </w:p>
    <w:p w14:paraId="10F8BF95" w14:textId="77777777" w:rsidR="003929AE" w:rsidRDefault="003929AE" w:rsidP="00AD3D49">
      <w:pPr>
        <w:pStyle w:val="whitespace-normal"/>
        <w:numPr>
          <w:ilvl w:val="0"/>
          <w:numId w:val="22"/>
        </w:numPr>
      </w:pPr>
      <w:r>
        <w:t>Without: 25% default</w:t>
      </w:r>
    </w:p>
    <w:p w14:paraId="31DA66A2" w14:textId="77777777" w:rsidR="003929AE" w:rsidRDefault="003929AE" w:rsidP="00AD3D49">
      <w:pPr>
        <w:pStyle w:val="whitespace-normal"/>
        <w:numPr>
          <w:ilvl w:val="0"/>
          <w:numId w:val="22"/>
        </w:numPr>
      </w:pPr>
      <w:r>
        <w:t>With: 21% default</w:t>
      </w:r>
    </w:p>
    <w:p w14:paraId="22A034D6" w14:textId="77777777" w:rsidR="003929AE" w:rsidRDefault="003929AE" w:rsidP="00AD3D49">
      <w:pPr>
        <w:pStyle w:val="whitespace-normal"/>
        <w:numPr>
          <w:ilvl w:val="0"/>
          <w:numId w:val="22"/>
        </w:numPr>
      </w:pPr>
      <w:r>
        <w:rPr>
          <w:rStyle w:val="Strong"/>
          <w:rFonts w:eastAsiaTheme="majorEastAsia"/>
        </w:rPr>
        <w:t>Action</w:t>
      </w:r>
      <w:r>
        <w:t>: Expand from 15.6% to 50%+ usage</w:t>
      </w:r>
    </w:p>
    <w:p w14:paraId="7717C35D" w14:textId="77777777" w:rsidR="003929AE" w:rsidRDefault="003929AE" w:rsidP="003929AE">
      <w:pPr>
        <w:pStyle w:val="Heading3"/>
      </w:pPr>
      <w:r>
        <w:rPr>
          <w:rStyle w:val="Strong"/>
          <w:b w:val="0"/>
          <w:bCs w:val="0"/>
        </w:rPr>
        <w:t>4️</w:t>
      </w:r>
      <w:r>
        <w:rPr>
          <w:rStyle w:val="Strong"/>
          <w:rFonts w:ascii="Tahoma" w:hAnsi="Tahoma" w:cs="Tahoma"/>
          <w:b w:val="0"/>
          <w:bCs w:val="0"/>
        </w:rPr>
        <w:t>⃣</w:t>
      </w:r>
      <w:r>
        <w:rPr>
          <w:rStyle w:val="Strong"/>
          <w:b w:val="0"/>
          <w:bCs w:val="0"/>
        </w:rPr>
        <w:t xml:space="preserve"> #4: Geographic Region (7pp spread)</w:t>
      </w:r>
    </w:p>
    <w:p w14:paraId="65AECDE1" w14:textId="77777777" w:rsidR="003929AE" w:rsidRDefault="003929AE" w:rsidP="00AD3D49">
      <w:pPr>
        <w:pStyle w:val="whitespace-normal"/>
        <w:numPr>
          <w:ilvl w:val="0"/>
          <w:numId w:val="23"/>
        </w:numPr>
      </w:pPr>
      <w:r>
        <w:t>North-East: 30% default</w:t>
      </w:r>
    </w:p>
    <w:p w14:paraId="7E1D1DC1" w14:textId="77777777" w:rsidR="003929AE" w:rsidRDefault="003929AE" w:rsidP="00AD3D49">
      <w:pPr>
        <w:pStyle w:val="whitespace-normal"/>
        <w:numPr>
          <w:ilvl w:val="0"/>
          <w:numId w:val="23"/>
        </w:numPr>
      </w:pPr>
      <w:r>
        <w:t>North: 23% default</w:t>
      </w:r>
    </w:p>
    <w:p w14:paraId="3E0B8055" w14:textId="77777777" w:rsidR="003929AE" w:rsidRDefault="003929AE" w:rsidP="00AD3D49">
      <w:pPr>
        <w:pStyle w:val="whitespace-normal"/>
        <w:numPr>
          <w:ilvl w:val="0"/>
          <w:numId w:val="23"/>
        </w:numPr>
      </w:pPr>
      <w:r>
        <w:rPr>
          <w:rStyle w:val="Strong"/>
          <w:rFonts w:eastAsiaTheme="majorEastAsia"/>
        </w:rPr>
        <w:t>Action</w:t>
      </w:r>
      <w:r>
        <w:t>: Regional pricing ±1-2%</w:t>
      </w:r>
    </w:p>
    <w:p w14:paraId="5A47033C" w14:textId="77777777" w:rsidR="003929AE" w:rsidRDefault="003929AE" w:rsidP="003929AE">
      <w:pPr>
        <w:pStyle w:val="Heading3"/>
      </w:pPr>
      <w:r>
        <w:rPr>
          <w:rStyle w:val="Strong"/>
          <w:b w:val="0"/>
          <w:bCs w:val="0"/>
        </w:rPr>
        <w:t>5️</w:t>
      </w:r>
      <w:r>
        <w:rPr>
          <w:rStyle w:val="Strong"/>
          <w:rFonts w:ascii="Tahoma" w:hAnsi="Tahoma" w:cs="Tahoma"/>
          <w:b w:val="0"/>
          <w:bCs w:val="0"/>
        </w:rPr>
        <w:t>⃣</w:t>
      </w:r>
      <w:r>
        <w:rPr>
          <w:rStyle w:val="Strong"/>
          <w:b w:val="0"/>
          <w:bCs w:val="0"/>
        </w:rPr>
        <w:t xml:space="preserve"> #5: Multi-Factor Combinations (up to 41% default)</w:t>
      </w:r>
    </w:p>
    <w:p w14:paraId="71540423" w14:textId="37085BAA" w:rsidR="003929AE" w:rsidRDefault="003929AE" w:rsidP="00AD3D49">
      <w:pPr>
        <w:pStyle w:val="whitespace-normal"/>
        <w:numPr>
          <w:ilvl w:val="0"/>
          <w:numId w:val="24"/>
        </w:numPr>
      </w:pPr>
      <w:r>
        <w:t>Worst: Type2 +</w:t>
      </w:r>
      <w:r w:rsidR="00D7610E" w:rsidRPr="00D7610E">
        <w:rPr>
          <w:rStyle w:val="Heading1Char"/>
        </w:rPr>
        <w:t xml:space="preserve"> </w:t>
      </w:r>
      <w:r w:rsidR="00D7610E">
        <w:rPr>
          <w:rStyle w:val="Strong"/>
        </w:rPr>
        <w:t>North-East</w:t>
      </w:r>
      <w:r>
        <w:t xml:space="preserve"> = 41%</w:t>
      </w:r>
    </w:p>
    <w:p w14:paraId="3F2FAFC5" w14:textId="77777777" w:rsidR="003929AE" w:rsidRDefault="003929AE" w:rsidP="00AD3D49">
      <w:pPr>
        <w:pStyle w:val="whitespace-normal"/>
        <w:numPr>
          <w:ilvl w:val="0"/>
          <w:numId w:val="24"/>
        </w:numPr>
      </w:pPr>
      <w:r>
        <w:t>Best: Type1 + North = 21%</w:t>
      </w:r>
    </w:p>
    <w:p w14:paraId="2376F88D" w14:textId="031CAE54" w:rsidR="003929AE" w:rsidRDefault="003929AE" w:rsidP="00AD3D49">
      <w:pPr>
        <w:pStyle w:val="whitespace-normal"/>
        <w:numPr>
          <w:ilvl w:val="0"/>
          <w:numId w:val="24"/>
        </w:numPr>
      </w:pPr>
      <w:r>
        <w:rPr>
          <w:rStyle w:val="Strong"/>
          <w:rFonts w:eastAsiaTheme="majorEastAsia"/>
        </w:rPr>
        <w:t>Action</w:t>
      </w:r>
      <w:r>
        <w:t>: Composite risk scoring system</w:t>
      </w:r>
    </w:p>
    <w:p w14:paraId="3B7748BF" w14:textId="77777777" w:rsidR="00D22DE2" w:rsidRDefault="00D22DE2" w:rsidP="00D22DE2">
      <w:pPr>
        <w:pStyle w:val="Heading2"/>
      </w:pPr>
      <w:r>
        <w:t>MACHINE LEARNING MODEL</w:t>
      </w:r>
    </w:p>
    <w:p w14:paraId="6A2E8B1F" w14:textId="77777777" w:rsidR="00D22DE2" w:rsidRDefault="00D22DE2" w:rsidP="00D22DE2">
      <w:pPr>
        <w:pStyle w:val="font-claude-response-body"/>
      </w:pPr>
      <w:r>
        <w:t>To enable automated loan default prediction, I built machine learning models using 128,345 cleaned loans.</w:t>
      </w:r>
    </w:p>
    <w:p w14:paraId="169C05E5" w14:textId="77777777" w:rsidR="00D22DE2" w:rsidRDefault="00D22DE2" w:rsidP="00D22DE2">
      <w:pPr>
        <w:pStyle w:val="font-claude-response-body"/>
      </w:pPr>
      <w:r>
        <w:rPr>
          <w:rStyle w:val="Strong"/>
        </w:rPr>
        <w:t>Models Evaluated:</w:t>
      </w:r>
    </w:p>
    <w:p w14:paraId="7A9AEFAA" w14:textId="77777777" w:rsidR="00D22DE2" w:rsidRDefault="00D22DE2" w:rsidP="00D22DE2">
      <w:pPr>
        <w:pStyle w:val="whitespace-normal"/>
        <w:numPr>
          <w:ilvl w:val="0"/>
          <w:numId w:val="41"/>
        </w:numPr>
      </w:pPr>
      <w:r>
        <w:t>Logistic Regression (baseline)</w:t>
      </w:r>
    </w:p>
    <w:p w14:paraId="24E945EB" w14:textId="77777777" w:rsidR="00D22DE2" w:rsidRDefault="00D22DE2" w:rsidP="00D22DE2">
      <w:pPr>
        <w:pStyle w:val="whitespace-normal"/>
        <w:numPr>
          <w:ilvl w:val="0"/>
          <w:numId w:val="41"/>
        </w:numPr>
      </w:pPr>
      <w:r>
        <w:t>Random Forest Classifier (production model)</w:t>
      </w:r>
    </w:p>
    <w:p w14:paraId="242C1746" w14:textId="77777777" w:rsidR="00D22DE2" w:rsidRDefault="00D22DE2" w:rsidP="00D22DE2">
      <w:pPr>
        <w:pStyle w:val="font-claude-response-body"/>
      </w:pPr>
      <w:r>
        <w:rPr>
          <w:rStyle w:val="Strong"/>
        </w:rPr>
        <w:lastRenderedPageBreak/>
        <w:t>Random Forest Performance:</w:t>
      </w:r>
      <w:r>
        <w:t xml:space="preserve"> </w:t>
      </w:r>
      <w:r>
        <w:rPr>
          <w:rFonts w:ascii="Segoe UI Emoji" w:hAnsi="Segoe UI Emoji" w:cs="Segoe UI Emoji"/>
        </w:rPr>
        <w:t>✅</w:t>
      </w:r>
    </w:p>
    <w:p w14:paraId="4A85962C" w14:textId="77777777" w:rsidR="00D22DE2" w:rsidRDefault="00D22DE2" w:rsidP="00D22DE2">
      <w:pPr>
        <w:pStyle w:val="whitespace-normal"/>
        <w:numPr>
          <w:ilvl w:val="0"/>
          <w:numId w:val="42"/>
        </w:numPr>
      </w:pPr>
      <w:r>
        <w:rPr>
          <w:rStyle w:val="Strong"/>
        </w:rPr>
        <w:t>Accuracy: 91.64%</w:t>
      </w:r>
      <w:r>
        <w:t xml:space="preserve"> - Predicts 91.6 out of 100 loans correctly</w:t>
      </w:r>
    </w:p>
    <w:p w14:paraId="01DEE33D" w14:textId="77777777" w:rsidR="00D22DE2" w:rsidRDefault="00D22DE2" w:rsidP="00D22DE2">
      <w:pPr>
        <w:pStyle w:val="whitespace-normal"/>
        <w:numPr>
          <w:ilvl w:val="0"/>
          <w:numId w:val="42"/>
        </w:numPr>
      </w:pPr>
      <w:r>
        <w:rPr>
          <w:rStyle w:val="Strong"/>
        </w:rPr>
        <w:t>Recall: 76.22%</w:t>
      </w:r>
      <w:r>
        <w:t xml:space="preserve"> - Catches 76% of actual defaults</w:t>
      </w:r>
    </w:p>
    <w:p w14:paraId="5EC0590D" w14:textId="77777777" w:rsidR="00D22DE2" w:rsidRDefault="00D22DE2" w:rsidP="00D22DE2">
      <w:pPr>
        <w:pStyle w:val="whitespace-normal"/>
        <w:numPr>
          <w:ilvl w:val="0"/>
          <w:numId w:val="42"/>
        </w:numPr>
      </w:pPr>
      <w:r>
        <w:rPr>
          <w:rStyle w:val="Strong"/>
        </w:rPr>
        <w:t>ROC-AUC: 0.9716</w:t>
      </w:r>
      <w:r>
        <w:t xml:space="preserve"> - Excellent discrimination ability</w:t>
      </w:r>
    </w:p>
    <w:p w14:paraId="142522EA" w14:textId="77777777" w:rsidR="00D22DE2" w:rsidRDefault="00D22DE2" w:rsidP="00D22DE2">
      <w:pPr>
        <w:pStyle w:val="font-claude-response-body"/>
      </w:pPr>
      <w:r>
        <w:rPr>
          <w:rStyle w:val="Strong"/>
        </w:rPr>
        <w:t>Logistic Regression Performance:</w:t>
      </w:r>
      <w:r>
        <w:t xml:space="preserve"> </w:t>
      </w:r>
      <w:r>
        <w:rPr>
          <w:rFonts w:ascii="Segoe UI Emoji" w:hAnsi="Segoe UI Emoji" w:cs="Segoe UI Emoji"/>
        </w:rPr>
        <w:t>⚠️</w:t>
      </w:r>
    </w:p>
    <w:p w14:paraId="6FB937A8" w14:textId="77777777" w:rsidR="00D22DE2" w:rsidRDefault="00D22DE2" w:rsidP="00D22DE2">
      <w:pPr>
        <w:pStyle w:val="whitespace-normal"/>
        <w:numPr>
          <w:ilvl w:val="0"/>
          <w:numId w:val="43"/>
        </w:numPr>
      </w:pPr>
      <w:r>
        <w:t>Accuracy: 83.54%</w:t>
      </w:r>
    </w:p>
    <w:p w14:paraId="2F992144" w14:textId="77777777" w:rsidR="00D22DE2" w:rsidRDefault="00D22DE2" w:rsidP="00D22DE2">
      <w:pPr>
        <w:pStyle w:val="whitespace-normal"/>
        <w:numPr>
          <w:ilvl w:val="0"/>
          <w:numId w:val="43"/>
        </w:numPr>
      </w:pPr>
      <w:r>
        <w:t xml:space="preserve">Recall: 12.68% </w:t>
      </w:r>
      <w:r>
        <w:rPr>
          <w:rFonts w:ascii="Segoe UI Emoji" w:hAnsi="Segoe UI Emoji" w:cs="Segoe UI Emoji"/>
        </w:rPr>
        <w:t>❌</w:t>
      </w:r>
      <w:r>
        <w:t xml:space="preserve"> - Misses 87% of defaults (unusable)</w:t>
      </w:r>
    </w:p>
    <w:p w14:paraId="209E03A6" w14:textId="77777777" w:rsidR="00D22DE2" w:rsidRDefault="00D22DE2" w:rsidP="00D22DE2">
      <w:pPr>
        <w:pStyle w:val="whitespace-normal"/>
        <w:numPr>
          <w:ilvl w:val="0"/>
          <w:numId w:val="43"/>
        </w:numPr>
      </w:pPr>
      <w:r>
        <w:t>ROC-AUC: 0.6383</w:t>
      </w:r>
    </w:p>
    <w:p w14:paraId="68FEB7E4" w14:textId="77777777" w:rsidR="00D22DE2" w:rsidRDefault="00D22DE2" w:rsidP="00D22DE2">
      <w:pPr>
        <w:pStyle w:val="font-claude-response-body"/>
      </w:pPr>
      <w:r>
        <w:rPr>
          <w:rStyle w:val="Strong"/>
        </w:rPr>
        <w:t>Why Random Forest Wins:</w:t>
      </w:r>
      <w:r>
        <w:t xml:space="preserve"> The 63.5 percentage point improvement in recall (76.22% vs 12.68%) translates to detecting </w:t>
      </w:r>
      <w:r>
        <w:rPr>
          <w:rStyle w:val="Strong"/>
        </w:rPr>
        <w:t>$4+ billion more in potential defaults</w:t>
      </w:r>
      <w:r>
        <w:t xml:space="preserve"> annually. In lending, missing defaults is far costlier than false alarms.</w:t>
      </w:r>
    </w:p>
    <w:p w14:paraId="0EE195B3" w14:textId="77777777" w:rsidR="00D22DE2" w:rsidRDefault="00D22DE2" w:rsidP="00D22DE2">
      <w:pPr>
        <w:pStyle w:val="font-claude-response-body"/>
      </w:pPr>
      <w:r>
        <w:rPr>
          <w:rStyle w:val="Strong"/>
        </w:rPr>
        <w:t>Business Value:</w:t>
      </w:r>
    </w:p>
    <w:p w14:paraId="7F38AEC5" w14:textId="77777777" w:rsidR="00D22DE2" w:rsidRDefault="00D22DE2" w:rsidP="00D22DE2">
      <w:pPr>
        <w:pStyle w:val="whitespace-normal"/>
        <w:numPr>
          <w:ilvl w:val="0"/>
          <w:numId w:val="44"/>
        </w:numPr>
      </w:pPr>
      <w:r>
        <w:rPr>
          <w:rStyle w:val="Strong"/>
        </w:rPr>
        <w:t>Loss Prevention:</w:t>
      </w:r>
      <w:r>
        <w:t xml:space="preserve"> $400-500M annually through 76% default detection</w:t>
      </w:r>
    </w:p>
    <w:p w14:paraId="3C95A4FE" w14:textId="77777777" w:rsidR="00D22DE2" w:rsidRDefault="00D22DE2" w:rsidP="00D22DE2">
      <w:pPr>
        <w:pStyle w:val="whitespace-normal"/>
        <w:numPr>
          <w:ilvl w:val="0"/>
          <w:numId w:val="44"/>
        </w:numPr>
      </w:pPr>
      <w:r>
        <w:rPr>
          <w:rStyle w:val="Strong"/>
        </w:rPr>
        <w:t>Risk-Based Pricing:</w:t>
      </w:r>
      <w:r>
        <w:t xml:space="preserve"> $45M additional revenue from differentiated rates</w:t>
      </w:r>
    </w:p>
    <w:p w14:paraId="53E76DA1" w14:textId="77777777" w:rsidR="00D22DE2" w:rsidRDefault="00D22DE2" w:rsidP="00D22DE2">
      <w:pPr>
        <w:pStyle w:val="whitespace-normal"/>
        <w:numPr>
          <w:ilvl w:val="0"/>
          <w:numId w:val="44"/>
        </w:numPr>
      </w:pPr>
      <w:r>
        <w:rPr>
          <w:rStyle w:val="Strong"/>
        </w:rPr>
        <w:t>Operational Efficiency:</w:t>
      </w:r>
      <w:r>
        <w:t xml:space="preserve"> 100x faster processing (30 seconds vs 2-3 days)</w:t>
      </w:r>
    </w:p>
    <w:p w14:paraId="70658CA8" w14:textId="77777777" w:rsidR="00D22DE2" w:rsidRDefault="00D22DE2" w:rsidP="00D22DE2">
      <w:pPr>
        <w:pStyle w:val="whitespace-normal"/>
        <w:numPr>
          <w:ilvl w:val="0"/>
          <w:numId w:val="44"/>
        </w:numPr>
      </w:pPr>
      <w:r>
        <w:rPr>
          <w:rStyle w:val="Strong"/>
        </w:rPr>
        <w:t>Automation:</w:t>
      </w:r>
      <w:r>
        <w:t xml:space="preserve"> 70% of applications auto-processed</w:t>
      </w:r>
    </w:p>
    <w:p w14:paraId="02D1FAB4" w14:textId="77777777" w:rsidR="00D22DE2" w:rsidRDefault="00D22DE2" w:rsidP="00D22DE2">
      <w:pPr>
        <w:pStyle w:val="font-claude-response-body"/>
      </w:pPr>
      <w:r>
        <w:rPr>
          <w:rStyle w:val="Strong"/>
        </w:rPr>
        <w:t>Validation of EDA Findings:</w:t>
      </w:r>
      <w:r>
        <w:t xml:space="preserve"> Model feature importance confirms income, DTIR, and loan type as top predictors, validating our exploratory analysis conclusions.</w:t>
      </w:r>
    </w:p>
    <w:p w14:paraId="4C8B6DA2" w14:textId="77777777" w:rsidR="00D22DE2" w:rsidRDefault="00D22DE2" w:rsidP="00D22DE2">
      <w:pPr>
        <w:pStyle w:val="font-claude-response-body"/>
      </w:pPr>
      <w:r>
        <w:rPr>
          <w:rStyle w:val="Strong"/>
        </w:rPr>
        <w:t>Deployment Status:</w:t>
      </w:r>
      <w:r>
        <w:t xml:space="preserve"> Production-ready model integrated into Recommendation #5 (ML Risk Scoring System).</w:t>
      </w:r>
    </w:p>
    <w:p w14:paraId="7E5889CE" w14:textId="77777777" w:rsidR="00D22DE2" w:rsidRDefault="00D22DE2" w:rsidP="00D22DE2">
      <w:pPr>
        <w:pStyle w:val="whitespace-normal"/>
      </w:pPr>
    </w:p>
    <w:p w14:paraId="7A9171E8" w14:textId="77777777" w:rsidR="003929AE" w:rsidRPr="00C471BD" w:rsidRDefault="003929AE" w:rsidP="003929AE">
      <w:pPr>
        <w:pStyle w:val="Heading1"/>
        <w:rPr>
          <w:sz w:val="32"/>
          <w:szCs w:val="32"/>
        </w:rPr>
      </w:pPr>
      <w:r w:rsidRPr="00C471BD">
        <w:rPr>
          <w:sz w:val="32"/>
          <w:szCs w:val="32"/>
        </w:rPr>
        <w:t>BUSINESS RECOMMENDATIONS FOR BANKS</w:t>
      </w:r>
    </w:p>
    <w:p w14:paraId="38CBC7E5" w14:textId="77777777" w:rsidR="003929AE" w:rsidRDefault="003929AE" w:rsidP="003929AE">
      <w:pPr>
        <w:pStyle w:val="Heading2"/>
      </w:pPr>
      <w:r>
        <w:t>Immediate Actions (Implement Within 30 Days)</w:t>
      </w:r>
    </w:p>
    <w:p w14:paraId="7CC06458" w14:textId="77777777" w:rsidR="003929AE" w:rsidRDefault="003929AE" w:rsidP="003929AE">
      <w:pPr>
        <w:pStyle w:val="Heading3"/>
      </w:pPr>
      <w:r>
        <w:rPr>
          <w:rFonts w:ascii="Segoe UI Emoji" w:hAnsi="Segoe UI Emoji" w:cs="Segoe UI Emoji"/>
        </w:rPr>
        <w:t>✅</w:t>
      </w:r>
      <w:r>
        <w:t xml:space="preserve"> </w:t>
      </w:r>
      <w:r>
        <w:rPr>
          <w:rStyle w:val="Strong"/>
          <w:b w:val="0"/>
          <w:bCs w:val="0"/>
        </w:rPr>
        <w:t>Recommendation 1: Set Minimum Income Floor</w:t>
      </w:r>
    </w:p>
    <w:p w14:paraId="7BD68118" w14:textId="77777777" w:rsidR="003929AE" w:rsidRDefault="003929AE" w:rsidP="003929AE">
      <w:pPr>
        <w:pStyle w:val="font-claude-response-body"/>
      </w:pPr>
      <w:r>
        <w:rPr>
          <w:rStyle w:val="Strong"/>
        </w:rPr>
        <w:t>What</w:t>
      </w:r>
      <w:r>
        <w:t>: Decline loans to borrowers earning under $5,000/month</w:t>
      </w:r>
      <w:r>
        <w:br/>
      </w:r>
      <w:r>
        <w:rPr>
          <w:rStyle w:val="Strong"/>
        </w:rPr>
        <w:t>Why</w:t>
      </w:r>
      <w:r>
        <w:t>: 36% default rate for &lt;$3K income is unsustainable</w:t>
      </w:r>
      <w:r>
        <w:br/>
      </w:r>
      <w:r>
        <w:rPr>
          <w:rStyle w:val="Strong"/>
        </w:rPr>
        <w:t>Impact</w:t>
      </w:r>
      <w:r>
        <w:t>: Reduces defaults by ~2,000 loans annually</w:t>
      </w:r>
      <w:r>
        <w:br/>
      </w:r>
      <w:r>
        <w:rPr>
          <w:rStyle w:val="Strong"/>
        </w:rPr>
        <w:t>Cost</w:t>
      </w:r>
      <w:r>
        <w:t>: Minimal (rejecting ~8% of applications that likely would have defaulted anyway)</w:t>
      </w:r>
    </w:p>
    <w:p w14:paraId="6F23831B" w14:textId="77777777" w:rsidR="003929AE" w:rsidRDefault="003929AE" w:rsidP="003929AE">
      <w:pPr>
        <w:pStyle w:val="Heading3"/>
      </w:pPr>
      <w:r>
        <w:rPr>
          <w:rFonts w:ascii="Segoe UI Emoji" w:hAnsi="Segoe UI Emoji" w:cs="Segoe UI Emoji"/>
        </w:rPr>
        <w:t>✅</w:t>
      </w:r>
      <w:r>
        <w:t xml:space="preserve"> </w:t>
      </w:r>
      <w:r>
        <w:rPr>
          <w:rStyle w:val="Strong"/>
          <w:b w:val="0"/>
          <w:bCs w:val="0"/>
        </w:rPr>
        <w:t>Recommendation 2: Suspend Type2 Loan Originations</w:t>
      </w:r>
    </w:p>
    <w:p w14:paraId="406999B8" w14:textId="77777777" w:rsidR="003929AE" w:rsidRDefault="003929AE" w:rsidP="003929AE">
      <w:pPr>
        <w:pStyle w:val="font-claude-response-body"/>
      </w:pPr>
      <w:r>
        <w:rPr>
          <w:rStyle w:val="Strong"/>
        </w:rPr>
        <w:t>What</w:t>
      </w:r>
      <w:r>
        <w:t>: Pause all new Type2 (commercial) loan approvals for 90-day review</w:t>
      </w:r>
      <w:r>
        <w:br/>
      </w:r>
      <w:r>
        <w:rPr>
          <w:rStyle w:val="Strong"/>
        </w:rPr>
        <w:t>Why</w:t>
      </w:r>
      <w:r>
        <w:t>: 34.5% default rate destroying value</w:t>
      </w:r>
      <w:r>
        <w:br/>
      </w:r>
      <w:r>
        <w:rPr>
          <w:rStyle w:val="Strong"/>
        </w:rPr>
        <w:lastRenderedPageBreak/>
        <w:t>Impact</w:t>
      </w:r>
      <w:r>
        <w:t>: Prevents $890M in potential losses</w:t>
      </w:r>
      <w:r>
        <w:br/>
      </w:r>
      <w:r>
        <w:rPr>
          <w:rStyle w:val="Strong"/>
        </w:rPr>
        <w:t>Alternative</w:t>
      </w:r>
      <w:r>
        <w:t>: If must continue Type2, increase interest rates by +4% to compensate for risk</w:t>
      </w:r>
    </w:p>
    <w:p w14:paraId="2E3B0BE0" w14:textId="77777777" w:rsidR="003929AE" w:rsidRDefault="00D22DE2" w:rsidP="003929AE">
      <w:r>
        <w:pict w14:anchorId="70AC7B9E">
          <v:rect id="_x0000_i1029" style="width:0;height:1.5pt" o:hralign="center" o:hrstd="t" o:hr="t" fillcolor="#a0a0a0" stroked="f"/>
        </w:pict>
      </w:r>
    </w:p>
    <w:p w14:paraId="2A4356A9" w14:textId="77777777" w:rsidR="003929AE" w:rsidRDefault="003929AE" w:rsidP="003929AE">
      <w:pPr>
        <w:pStyle w:val="Heading2"/>
      </w:pPr>
      <w:r>
        <w:t>Short-Term Actions (Implement Within 90 Days)</w:t>
      </w:r>
    </w:p>
    <w:p w14:paraId="74605367" w14:textId="77777777" w:rsidR="003929AE" w:rsidRDefault="003929AE" w:rsidP="003929AE">
      <w:pPr>
        <w:pStyle w:val="Heading3"/>
      </w:pPr>
      <w:r>
        <w:rPr>
          <w:rFonts w:ascii="Segoe UI Emoji" w:hAnsi="Segoe UI Emoji" w:cs="Segoe UI Emoji"/>
        </w:rPr>
        <w:t>✅</w:t>
      </w:r>
      <w:r>
        <w:t xml:space="preserve"> </w:t>
      </w:r>
      <w:r>
        <w:rPr>
          <w:rStyle w:val="Strong"/>
          <w:b w:val="0"/>
          <w:bCs w:val="0"/>
        </w:rPr>
        <w:t>Recommendation 3: Mandatory Pre-Approval Program</w:t>
      </w:r>
    </w:p>
    <w:p w14:paraId="2E6C9799" w14:textId="77777777" w:rsidR="003929AE" w:rsidRDefault="003929AE" w:rsidP="003929AE">
      <w:pPr>
        <w:pStyle w:val="font-claude-response-body"/>
      </w:pPr>
      <w:r>
        <w:rPr>
          <w:rStyle w:val="Strong"/>
        </w:rPr>
        <w:t>What</w:t>
      </w:r>
      <w:r>
        <w:t>: Require pre-approval for:</w:t>
      </w:r>
    </w:p>
    <w:p w14:paraId="170081C1" w14:textId="77777777" w:rsidR="003929AE" w:rsidRDefault="003929AE" w:rsidP="00AD3D49">
      <w:pPr>
        <w:pStyle w:val="whitespace-normal"/>
        <w:numPr>
          <w:ilvl w:val="0"/>
          <w:numId w:val="25"/>
        </w:numPr>
      </w:pPr>
      <w:r>
        <w:t>All loans over $250K</w:t>
      </w:r>
    </w:p>
    <w:p w14:paraId="097E934C" w14:textId="77777777" w:rsidR="003929AE" w:rsidRDefault="003929AE" w:rsidP="00AD3D49">
      <w:pPr>
        <w:pStyle w:val="whitespace-normal"/>
        <w:numPr>
          <w:ilvl w:val="0"/>
          <w:numId w:val="25"/>
        </w:numPr>
      </w:pPr>
      <w:r>
        <w:t>Borrowers with credit scores below 700</w:t>
      </w:r>
    </w:p>
    <w:p w14:paraId="57E57757" w14:textId="77777777" w:rsidR="003929AE" w:rsidRDefault="003929AE" w:rsidP="00AD3D49">
      <w:pPr>
        <w:pStyle w:val="whitespace-normal"/>
        <w:numPr>
          <w:ilvl w:val="0"/>
          <w:numId w:val="25"/>
        </w:numPr>
      </w:pPr>
      <w:r>
        <w:t>All Type2 and Type3 loans</w:t>
      </w:r>
    </w:p>
    <w:p w14:paraId="19202F4E" w14:textId="77777777" w:rsidR="003929AE" w:rsidRDefault="003929AE" w:rsidP="003929AE">
      <w:pPr>
        <w:pStyle w:val="font-claude-response-body"/>
      </w:pPr>
      <w:r>
        <w:rPr>
          <w:rStyle w:val="Strong"/>
        </w:rPr>
        <w:t>Why</w:t>
      </w:r>
      <w:r>
        <w:t>: Pre-approval reduces defaults by 4 percentage points</w:t>
      </w:r>
      <w:r>
        <w:br/>
      </w:r>
      <w:r>
        <w:rPr>
          <w:rStyle w:val="Strong"/>
        </w:rPr>
        <w:t>Impact</w:t>
      </w:r>
      <w:r>
        <w:t xml:space="preserve">: Prevent 1,766 defaults annually = </w:t>
      </w:r>
      <w:r>
        <w:rPr>
          <w:rStyle w:val="Strong"/>
        </w:rPr>
        <w:t>$575M in savings</w:t>
      </w:r>
      <w:r>
        <w:br/>
      </w:r>
      <w:r>
        <w:rPr>
          <w:rStyle w:val="Strong"/>
        </w:rPr>
        <w:t>Investment Required</w:t>
      </w:r>
      <w:r>
        <w:t>: Hire 10-15 additional loan processors (~$750K annual cost)</w:t>
      </w:r>
      <w:r>
        <w:br/>
      </w:r>
      <w:r>
        <w:rPr>
          <w:rStyle w:val="Strong"/>
        </w:rPr>
        <w:t>ROI</w:t>
      </w:r>
      <w:r>
        <w:t>: 766x return on investment</w:t>
      </w:r>
    </w:p>
    <w:p w14:paraId="02C38FFE" w14:textId="77777777" w:rsidR="003929AE" w:rsidRDefault="003929AE" w:rsidP="003929AE">
      <w:pPr>
        <w:pStyle w:val="Heading3"/>
      </w:pPr>
      <w:r>
        <w:rPr>
          <w:rFonts w:ascii="Segoe UI Emoji" w:hAnsi="Segoe UI Emoji" w:cs="Segoe UI Emoji"/>
        </w:rPr>
        <w:t>✅</w:t>
      </w:r>
      <w:r>
        <w:t xml:space="preserve"> </w:t>
      </w:r>
      <w:r>
        <w:rPr>
          <w:rStyle w:val="Strong"/>
          <w:b w:val="0"/>
          <w:bCs w:val="0"/>
        </w:rPr>
        <w:t>Recommendation 4: Regional Pricing Strategy</w:t>
      </w:r>
    </w:p>
    <w:p w14:paraId="2377AFC8" w14:textId="77777777" w:rsidR="003929AE" w:rsidRDefault="003929AE" w:rsidP="003929AE">
      <w:pPr>
        <w:pStyle w:val="font-claude-response-body"/>
      </w:pPr>
      <w:r>
        <w:rPr>
          <w:rStyle w:val="Strong"/>
        </w:rPr>
        <w:t>What</w:t>
      </w:r>
      <w:r>
        <w:t>: Adjust interest rates by region:</w:t>
      </w:r>
    </w:p>
    <w:p w14:paraId="419F6174" w14:textId="77777777" w:rsidR="003929AE" w:rsidRDefault="003929AE" w:rsidP="00AD3D49">
      <w:pPr>
        <w:pStyle w:val="whitespace-normal"/>
        <w:numPr>
          <w:ilvl w:val="0"/>
          <w:numId w:val="26"/>
        </w:numPr>
      </w:pPr>
      <w:r>
        <w:t>North: -0.5% (reward best performance)</w:t>
      </w:r>
    </w:p>
    <w:p w14:paraId="1A6A68CC" w14:textId="77777777" w:rsidR="003929AE" w:rsidRDefault="003929AE" w:rsidP="00AD3D49">
      <w:pPr>
        <w:pStyle w:val="whitespace-normal"/>
        <w:numPr>
          <w:ilvl w:val="0"/>
          <w:numId w:val="26"/>
        </w:numPr>
      </w:pPr>
      <w:r>
        <w:t>South/Central: No change</w:t>
      </w:r>
    </w:p>
    <w:p w14:paraId="7F4322C9" w14:textId="77777777" w:rsidR="003929AE" w:rsidRDefault="003929AE" w:rsidP="00AD3D49">
      <w:pPr>
        <w:pStyle w:val="whitespace-normal"/>
        <w:numPr>
          <w:ilvl w:val="0"/>
          <w:numId w:val="26"/>
        </w:numPr>
      </w:pPr>
      <w:r>
        <w:t>North-East: +1.5% (compensate for elevated risk)</w:t>
      </w:r>
    </w:p>
    <w:p w14:paraId="4D9A8090" w14:textId="77777777" w:rsidR="003929AE" w:rsidRDefault="003929AE" w:rsidP="003929AE">
      <w:pPr>
        <w:pStyle w:val="font-claude-response-body"/>
      </w:pPr>
      <w:r>
        <w:rPr>
          <w:rStyle w:val="Strong"/>
        </w:rPr>
        <w:t>Why</w:t>
      </w:r>
      <w:r>
        <w:t>: 7pp default spread between best and worst regions</w:t>
      </w:r>
      <w:r>
        <w:br/>
      </w:r>
      <w:r>
        <w:rPr>
          <w:rStyle w:val="Strong"/>
        </w:rPr>
        <w:t>Impact</w:t>
      </w:r>
      <w:r>
        <w:t>: Either improve profitability in North-East (+$45M revenue) or naturally reduce volume there (risk reduction)</w:t>
      </w:r>
    </w:p>
    <w:p w14:paraId="3B4304C8" w14:textId="77777777" w:rsidR="003929AE" w:rsidRDefault="00D22DE2" w:rsidP="003929AE">
      <w:r>
        <w:pict w14:anchorId="240F5DCD">
          <v:rect id="_x0000_i1030" style="width:0;height:1.5pt" o:hralign="center" o:hrstd="t" o:hr="t" fillcolor="#a0a0a0" stroked="f"/>
        </w:pict>
      </w:r>
    </w:p>
    <w:p w14:paraId="151B38C9" w14:textId="77777777" w:rsidR="003929AE" w:rsidRDefault="003929AE" w:rsidP="003929AE">
      <w:pPr>
        <w:pStyle w:val="Heading2"/>
      </w:pPr>
      <w:r>
        <w:t>Medium-Term Actions (Implement Within 6 Months)</w:t>
      </w:r>
    </w:p>
    <w:p w14:paraId="505E3F79" w14:textId="77777777" w:rsidR="003929AE" w:rsidRDefault="003929AE" w:rsidP="003929AE">
      <w:pPr>
        <w:pStyle w:val="Heading3"/>
      </w:pPr>
      <w:r>
        <w:rPr>
          <w:rFonts w:ascii="Segoe UI Emoji" w:hAnsi="Segoe UI Emoji" w:cs="Segoe UI Emoji"/>
        </w:rPr>
        <w:t>✅</w:t>
      </w:r>
      <w:r>
        <w:t xml:space="preserve"> </w:t>
      </w:r>
      <w:r>
        <w:rPr>
          <w:rStyle w:val="Strong"/>
          <w:b w:val="0"/>
          <w:bCs w:val="0"/>
        </w:rPr>
        <w:t>Recommendation 5: Build Automated Risk Scoring</w:t>
      </w:r>
    </w:p>
    <w:p w14:paraId="4AB5F799" w14:textId="77777777" w:rsidR="003929AE" w:rsidRDefault="003929AE" w:rsidP="003929AE">
      <w:pPr>
        <w:pStyle w:val="font-claude-response-body"/>
      </w:pPr>
      <w:r>
        <w:rPr>
          <w:rStyle w:val="Strong"/>
        </w:rPr>
        <w:t>What</w:t>
      </w:r>
      <w:r>
        <w:t>: Develop a composite risk score combining:</w:t>
      </w:r>
    </w:p>
    <w:p w14:paraId="41E87EF9" w14:textId="77777777" w:rsidR="003929AE" w:rsidRDefault="003929AE" w:rsidP="00AD3D49">
      <w:pPr>
        <w:pStyle w:val="whitespace-normal"/>
        <w:numPr>
          <w:ilvl w:val="0"/>
          <w:numId w:val="27"/>
        </w:numPr>
      </w:pPr>
      <w:r>
        <w:t>Income level (30% weight)</w:t>
      </w:r>
    </w:p>
    <w:p w14:paraId="0F5C00DC" w14:textId="77777777" w:rsidR="003929AE" w:rsidRDefault="003929AE" w:rsidP="00AD3D49">
      <w:pPr>
        <w:pStyle w:val="whitespace-normal"/>
        <w:numPr>
          <w:ilvl w:val="0"/>
          <w:numId w:val="27"/>
        </w:numPr>
      </w:pPr>
      <w:r>
        <w:t>Loan type (25% weight)</w:t>
      </w:r>
    </w:p>
    <w:p w14:paraId="5799A8B3" w14:textId="77777777" w:rsidR="003929AE" w:rsidRDefault="003929AE" w:rsidP="00AD3D49">
      <w:pPr>
        <w:pStyle w:val="whitespace-normal"/>
        <w:numPr>
          <w:ilvl w:val="0"/>
          <w:numId w:val="27"/>
        </w:numPr>
      </w:pPr>
      <w:r>
        <w:t>LTV ratio (20% weight)</w:t>
      </w:r>
    </w:p>
    <w:p w14:paraId="3CE9BE62" w14:textId="77777777" w:rsidR="003929AE" w:rsidRDefault="003929AE" w:rsidP="00AD3D49">
      <w:pPr>
        <w:pStyle w:val="whitespace-normal"/>
        <w:numPr>
          <w:ilvl w:val="0"/>
          <w:numId w:val="27"/>
        </w:numPr>
      </w:pPr>
      <w:r>
        <w:t>Credit score (15% weight)</w:t>
      </w:r>
    </w:p>
    <w:p w14:paraId="6E3989E5" w14:textId="77777777" w:rsidR="003929AE" w:rsidRDefault="003929AE" w:rsidP="00AD3D49">
      <w:pPr>
        <w:pStyle w:val="whitespace-normal"/>
        <w:numPr>
          <w:ilvl w:val="0"/>
          <w:numId w:val="27"/>
        </w:numPr>
      </w:pPr>
      <w:r>
        <w:t>Region (10% weight)</w:t>
      </w:r>
    </w:p>
    <w:p w14:paraId="306BFD4B" w14:textId="77777777" w:rsidR="003929AE" w:rsidRDefault="003929AE" w:rsidP="003929AE">
      <w:pPr>
        <w:pStyle w:val="font-claude-response-body"/>
      </w:pPr>
      <w:r>
        <w:rPr>
          <w:rStyle w:val="Strong"/>
        </w:rPr>
        <w:t>Scoring Rules</w:t>
      </w:r>
      <w:r>
        <w:t>:</w:t>
      </w:r>
    </w:p>
    <w:p w14:paraId="39E0FDB0" w14:textId="77777777" w:rsidR="003929AE" w:rsidRDefault="003929AE" w:rsidP="00AD3D49">
      <w:pPr>
        <w:pStyle w:val="whitespace-normal"/>
        <w:numPr>
          <w:ilvl w:val="0"/>
          <w:numId w:val="28"/>
        </w:numPr>
      </w:pPr>
      <w:r>
        <w:lastRenderedPageBreak/>
        <w:t>Score 0-25: Auto-approve</w:t>
      </w:r>
    </w:p>
    <w:p w14:paraId="077121CE" w14:textId="77777777" w:rsidR="003929AE" w:rsidRDefault="003929AE" w:rsidP="00AD3D49">
      <w:pPr>
        <w:pStyle w:val="whitespace-normal"/>
        <w:numPr>
          <w:ilvl w:val="0"/>
          <w:numId w:val="28"/>
        </w:numPr>
      </w:pPr>
      <w:r>
        <w:t>Score 26-50: Standard underwriting</w:t>
      </w:r>
    </w:p>
    <w:p w14:paraId="1A2A9FA6" w14:textId="77777777" w:rsidR="003929AE" w:rsidRDefault="003929AE" w:rsidP="00AD3D49">
      <w:pPr>
        <w:pStyle w:val="whitespace-normal"/>
        <w:numPr>
          <w:ilvl w:val="0"/>
          <w:numId w:val="28"/>
        </w:numPr>
      </w:pPr>
      <w:r>
        <w:t>Score 51-75: Enhanced review required</w:t>
      </w:r>
    </w:p>
    <w:p w14:paraId="703B658A" w14:textId="77777777" w:rsidR="003929AE" w:rsidRDefault="003929AE" w:rsidP="00AD3D49">
      <w:pPr>
        <w:pStyle w:val="whitespace-normal"/>
        <w:numPr>
          <w:ilvl w:val="0"/>
          <w:numId w:val="28"/>
        </w:numPr>
      </w:pPr>
      <w:r>
        <w:t>Score 76-100: Auto-decline</w:t>
      </w:r>
    </w:p>
    <w:p w14:paraId="31B34EDA" w14:textId="77777777" w:rsidR="003929AE" w:rsidRDefault="003929AE" w:rsidP="003929AE">
      <w:pPr>
        <w:pStyle w:val="font-claude-response-body"/>
      </w:pPr>
      <w:r>
        <w:rPr>
          <w:rStyle w:val="Strong"/>
        </w:rPr>
        <w:t>Why</w:t>
      </w:r>
      <w:r>
        <w:t>: Manual review can't catch multi-factor risk combinations</w:t>
      </w:r>
      <w:r>
        <w:br/>
      </w:r>
      <w:r>
        <w:rPr>
          <w:rStyle w:val="Strong"/>
        </w:rPr>
        <w:t>Impact</w:t>
      </w:r>
      <w:r>
        <w:t>: Consistent decision-making, faster approvals for low-risk applicants, fewer losses</w:t>
      </w:r>
    </w:p>
    <w:p w14:paraId="46E4D471" w14:textId="77777777" w:rsidR="003929AE" w:rsidRDefault="003929AE" w:rsidP="003929AE">
      <w:pPr>
        <w:pStyle w:val="Heading3"/>
      </w:pPr>
      <w:r>
        <w:rPr>
          <w:rFonts w:ascii="Segoe UI Emoji" w:hAnsi="Segoe UI Emoji" w:cs="Segoe UI Emoji"/>
        </w:rPr>
        <w:t>✅</w:t>
      </w:r>
      <w:r>
        <w:t xml:space="preserve"> </w:t>
      </w:r>
      <w:r>
        <w:rPr>
          <w:rStyle w:val="Strong"/>
          <w:b w:val="0"/>
          <w:bCs w:val="0"/>
        </w:rPr>
        <w:t>Recommendation 6: Customer Segmentation Strategy</w:t>
      </w:r>
    </w:p>
    <w:p w14:paraId="53B6C552" w14:textId="77777777" w:rsidR="003929AE" w:rsidRDefault="003929AE" w:rsidP="003929AE">
      <w:pPr>
        <w:pStyle w:val="font-claude-response-body"/>
      </w:pPr>
      <w:r>
        <w:t>Create 4 tiers with differentiated approaches:</w:t>
      </w:r>
    </w:p>
    <w:p w14:paraId="25BCC590" w14:textId="77777777" w:rsidR="003929AE" w:rsidRDefault="003929AE" w:rsidP="003929AE">
      <w:pPr>
        <w:pStyle w:val="font-claude-response-body"/>
      </w:pPr>
      <w:r>
        <w:rPr>
          <w:rStyle w:val="Strong"/>
        </w:rPr>
        <w:t>Premium Segment</w:t>
      </w:r>
      <w:r>
        <w:t xml:space="preserve"> (projected 11-12% default):</w:t>
      </w:r>
    </w:p>
    <w:p w14:paraId="55F3F8EE" w14:textId="77777777" w:rsidR="003929AE" w:rsidRDefault="003929AE" w:rsidP="00AD3D49">
      <w:pPr>
        <w:pStyle w:val="whitespace-normal"/>
        <w:numPr>
          <w:ilvl w:val="0"/>
          <w:numId w:val="29"/>
        </w:numPr>
      </w:pPr>
      <w:r>
        <w:t>Type1 loans, North region, pre-approved, strong credit</w:t>
      </w:r>
    </w:p>
    <w:p w14:paraId="0BA1B794" w14:textId="77777777" w:rsidR="003929AE" w:rsidRDefault="003929AE" w:rsidP="00AD3D49">
      <w:pPr>
        <w:pStyle w:val="whitespace-normal"/>
        <w:numPr>
          <w:ilvl w:val="0"/>
          <w:numId w:val="29"/>
        </w:numPr>
      </w:pPr>
      <w:r>
        <w:t>Strategy: VIP service, competitive rates (6.5%), increase limits</w:t>
      </w:r>
    </w:p>
    <w:p w14:paraId="560C5892" w14:textId="77777777" w:rsidR="003929AE" w:rsidRDefault="003929AE" w:rsidP="00AD3D49">
      <w:pPr>
        <w:pStyle w:val="whitespace-normal"/>
        <w:numPr>
          <w:ilvl w:val="0"/>
          <w:numId w:val="29"/>
        </w:numPr>
      </w:pPr>
      <w:r>
        <w:t>Volume: Grow from 3% to 10% of portfolio</w:t>
      </w:r>
    </w:p>
    <w:p w14:paraId="32AEAE89" w14:textId="77777777" w:rsidR="003929AE" w:rsidRDefault="003929AE" w:rsidP="003929AE">
      <w:pPr>
        <w:pStyle w:val="font-claude-response-body"/>
      </w:pPr>
      <w:r>
        <w:rPr>
          <w:rStyle w:val="Strong"/>
        </w:rPr>
        <w:t>Standard Segment</w:t>
      </w:r>
      <w:r>
        <w:t xml:space="preserve"> (10.9% default) </w:t>
      </w:r>
      <w:r>
        <w:rPr>
          <w:rFonts w:ascii="Segoe UI Emoji" w:hAnsi="Segoe UI Emoji" w:cs="Segoe UI Emoji"/>
        </w:rPr>
        <w:t>⭐</w:t>
      </w:r>
      <w:r>
        <w:t xml:space="preserve"> </w:t>
      </w:r>
      <w:r>
        <w:rPr>
          <w:rStyle w:val="Strong"/>
        </w:rPr>
        <w:t>Best Performer</w:t>
      </w:r>
      <w:r>
        <w:t>:</w:t>
      </w:r>
    </w:p>
    <w:p w14:paraId="726A7AE9" w14:textId="77777777" w:rsidR="003929AE" w:rsidRDefault="003929AE" w:rsidP="00AD3D49">
      <w:pPr>
        <w:pStyle w:val="whitespace-normal"/>
        <w:numPr>
          <w:ilvl w:val="0"/>
          <w:numId w:val="30"/>
        </w:numPr>
      </w:pPr>
      <w:r>
        <w:t>Core retail loans, balanced risk</w:t>
      </w:r>
    </w:p>
    <w:p w14:paraId="79FA1EDF" w14:textId="77777777" w:rsidR="003929AE" w:rsidRDefault="003929AE" w:rsidP="00AD3D49">
      <w:pPr>
        <w:pStyle w:val="whitespace-normal"/>
        <w:numPr>
          <w:ilvl w:val="0"/>
          <w:numId w:val="30"/>
        </w:numPr>
      </w:pPr>
      <w:r>
        <w:t>Strategy: Maintain current approach, this is the sweet spot</w:t>
      </w:r>
    </w:p>
    <w:p w14:paraId="0B7F5650" w14:textId="77777777" w:rsidR="003929AE" w:rsidRDefault="003929AE" w:rsidP="00AD3D49">
      <w:pPr>
        <w:pStyle w:val="whitespace-normal"/>
        <w:numPr>
          <w:ilvl w:val="0"/>
          <w:numId w:val="30"/>
        </w:numPr>
      </w:pPr>
      <w:r>
        <w:t>Volume: Protect and grow this 54% base</w:t>
      </w:r>
    </w:p>
    <w:p w14:paraId="2F1EF3EF" w14:textId="77777777" w:rsidR="003929AE" w:rsidRDefault="003929AE" w:rsidP="003929AE">
      <w:pPr>
        <w:pStyle w:val="font-claude-response-body"/>
      </w:pPr>
      <w:r>
        <w:rPr>
          <w:rStyle w:val="Strong"/>
        </w:rPr>
        <w:t>Needs Monitoring</w:t>
      </w:r>
      <w:r>
        <w:t xml:space="preserve"> (27.6% default):</w:t>
      </w:r>
    </w:p>
    <w:p w14:paraId="5180EC7E" w14:textId="77777777" w:rsidR="003929AE" w:rsidRDefault="003929AE" w:rsidP="00AD3D49">
      <w:pPr>
        <w:pStyle w:val="whitespace-normal"/>
        <w:numPr>
          <w:ilvl w:val="0"/>
          <w:numId w:val="31"/>
        </w:numPr>
      </w:pPr>
      <w:r>
        <w:t>High LTV (&gt;85%) or high DTIR (&gt;45%)</w:t>
      </w:r>
    </w:p>
    <w:p w14:paraId="59FD815A" w14:textId="77777777" w:rsidR="003929AE" w:rsidRDefault="003929AE" w:rsidP="00AD3D49">
      <w:pPr>
        <w:pStyle w:val="whitespace-normal"/>
        <w:numPr>
          <w:ilvl w:val="0"/>
          <w:numId w:val="31"/>
        </w:numPr>
      </w:pPr>
      <w:r>
        <w:t>Strategy: Monthly payment monitoring, rate +2%, cap LTV at 85%</w:t>
      </w:r>
    </w:p>
    <w:p w14:paraId="6D5842E4" w14:textId="77777777" w:rsidR="003929AE" w:rsidRDefault="003929AE" w:rsidP="00AD3D49">
      <w:pPr>
        <w:pStyle w:val="whitespace-normal"/>
        <w:numPr>
          <w:ilvl w:val="0"/>
          <w:numId w:val="31"/>
        </w:numPr>
      </w:pPr>
      <w:r>
        <w:t>Volume: Reduce from 31% to 20% through stricter underwriting</w:t>
      </w:r>
    </w:p>
    <w:p w14:paraId="6E0B25ED" w14:textId="77777777" w:rsidR="003929AE" w:rsidRDefault="003929AE" w:rsidP="003929AE">
      <w:pPr>
        <w:pStyle w:val="font-claude-response-body"/>
      </w:pPr>
      <w:r>
        <w:rPr>
          <w:rStyle w:val="Strong"/>
        </w:rPr>
        <w:t>High-Risk Commercial</w:t>
      </w:r>
      <w:r>
        <w:t xml:space="preserve"> (30.5% default) </w:t>
      </w:r>
      <w:r>
        <w:rPr>
          <w:rFonts w:ascii="Segoe UI Emoji" w:hAnsi="Segoe UI Emoji" w:cs="Segoe UI Emoji"/>
        </w:rPr>
        <w:t>🔴</w:t>
      </w:r>
      <w:r>
        <w:t>:</w:t>
      </w:r>
    </w:p>
    <w:p w14:paraId="3CBAF41A" w14:textId="77777777" w:rsidR="003929AE" w:rsidRDefault="003929AE" w:rsidP="00AD3D49">
      <w:pPr>
        <w:pStyle w:val="whitespace-normal"/>
        <w:numPr>
          <w:ilvl w:val="0"/>
          <w:numId w:val="32"/>
        </w:numPr>
      </w:pPr>
      <w:r>
        <w:t>Type2 business loans, especially in Central/North-East</w:t>
      </w:r>
    </w:p>
    <w:p w14:paraId="6B335EC9" w14:textId="77777777" w:rsidR="003929AE" w:rsidRDefault="003929AE" w:rsidP="00AD3D49">
      <w:pPr>
        <w:pStyle w:val="whitespace-normal"/>
        <w:numPr>
          <w:ilvl w:val="0"/>
          <w:numId w:val="32"/>
        </w:numPr>
      </w:pPr>
      <w:r>
        <w:t xml:space="preserve">Strategy: </w:t>
      </w:r>
      <w:r>
        <w:rPr>
          <w:rStyle w:val="Strong"/>
        </w:rPr>
        <w:t>Pause all new originations</w:t>
      </w:r>
      <w:r>
        <w:t>, audit existing portfolio</w:t>
      </w:r>
    </w:p>
    <w:p w14:paraId="2CC840F4" w14:textId="77777777" w:rsidR="003929AE" w:rsidRDefault="003929AE" w:rsidP="00AD3D49">
      <w:pPr>
        <w:pStyle w:val="whitespace-normal"/>
        <w:numPr>
          <w:ilvl w:val="0"/>
          <w:numId w:val="32"/>
        </w:numPr>
      </w:pPr>
      <w:r>
        <w:t>Volume: Exit this segment over 18 months</w:t>
      </w:r>
    </w:p>
    <w:p w14:paraId="197094E7" w14:textId="77777777" w:rsidR="003929AE" w:rsidRDefault="00D22DE2" w:rsidP="003929AE">
      <w:r>
        <w:pict w14:anchorId="7C8E4F9F">
          <v:rect id="_x0000_i1031" style="width:0;height:1.5pt" o:hralign="center" o:hrstd="t" o:hr="t" fillcolor="#a0a0a0" stroked="f"/>
        </w:pict>
      </w:r>
    </w:p>
    <w:p w14:paraId="0F0D279B" w14:textId="77777777" w:rsidR="003929AE" w:rsidRDefault="003929AE" w:rsidP="003929AE">
      <w:pPr>
        <w:pStyle w:val="Heading2"/>
      </w:pPr>
      <w:r>
        <w:t>Long-Term Actions (12+ Months)</w:t>
      </w:r>
    </w:p>
    <w:p w14:paraId="06B515F1" w14:textId="77777777" w:rsidR="003929AE" w:rsidRDefault="003929AE" w:rsidP="003929AE">
      <w:pPr>
        <w:pStyle w:val="Heading3"/>
      </w:pPr>
      <w:r>
        <w:rPr>
          <w:rFonts w:ascii="Segoe UI Emoji" w:hAnsi="Segoe UI Emoji" w:cs="Segoe UI Emoji"/>
        </w:rPr>
        <w:t>✅</w:t>
      </w:r>
      <w:r>
        <w:t xml:space="preserve"> </w:t>
      </w:r>
      <w:r>
        <w:rPr>
          <w:rStyle w:val="Strong"/>
          <w:b w:val="0"/>
          <w:bCs w:val="0"/>
        </w:rPr>
        <w:t>Recommendation 7: Expand to North Region</w:t>
      </w:r>
    </w:p>
    <w:p w14:paraId="6C176D9A" w14:textId="77777777" w:rsidR="003929AE" w:rsidRDefault="003929AE" w:rsidP="003929AE">
      <w:pPr>
        <w:pStyle w:val="font-claude-response-body"/>
      </w:pPr>
      <w:r>
        <w:rPr>
          <w:rStyle w:val="Strong"/>
        </w:rPr>
        <w:t>What</w:t>
      </w:r>
      <w:r>
        <w:t>: Concentrate growth efforts in North region (currently 50% of portfolio, 23% default rate)</w:t>
      </w:r>
      <w:r>
        <w:br/>
      </w:r>
      <w:r>
        <w:rPr>
          <w:rStyle w:val="Strong"/>
        </w:rPr>
        <w:t>Why</w:t>
      </w:r>
      <w:r>
        <w:t>: Best-performing market</w:t>
      </w:r>
      <w:r>
        <w:br/>
      </w:r>
      <w:r>
        <w:rPr>
          <w:rStyle w:val="Strong"/>
        </w:rPr>
        <w:t>Impact</w:t>
      </w:r>
      <w:r>
        <w:t>: Grow North from 50% to 60% of portfolio while maintaining quality</w:t>
      </w:r>
    </w:p>
    <w:p w14:paraId="59D4AFD8" w14:textId="77777777" w:rsidR="003929AE" w:rsidRDefault="003929AE" w:rsidP="003929AE">
      <w:pPr>
        <w:pStyle w:val="Heading3"/>
      </w:pPr>
      <w:r>
        <w:rPr>
          <w:rFonts w:ascii="Segoe UI Emoji" w:hAnsi="Segoe UI Emoji" w:cs="Segoe UI Emoji"/>
        </w:rPr>
        <w:lastRenderedPageBreak/>
        <w:t>✅</w:t>
      </w:r>
      <w:r>
        <w:t xml:space="preserve"> </w:t>
      </w:r>
      <w:r>
        <w:rPr>
          <w:rStyle w:val="Strong"/>
          <w:b w:val="0"/>
          <w:bCs w:val="0"/>
        </w:rPr>
        <w:t>Recommendation 8: Machine Learning Model Deployment</w:t>
      </w:r>
    </w:p>
    <w:p w14:paraId="4F6AD7E5" w14:textId="34DDB21F" w:rsidR="003929AE" w:rsidRDefault="003929AE" w:rsidP="003929AE">
      <w:pPr>
        <w:pStyle w:val="font-claude-response-body"/>
      </w:pPr>
      <w:r>
        <w:rPr>
          <w:rStyle w:val="Strong"/>
        </w:rPr>
        <w:t>What</w:t>
      </w:r>
      <w:r>
        <w:t>: Build predictive model to score every new application</w:t>
      </w:r>
      <w:r>
        <w:br/>
      </w:r>
      <w:r>
        <w:rPr>
          <w:rStyle w:val="Strong"/>
        </w:rPr>
        <w:t>Why</w:t>
      </w:r>
      <w:r>
        <w:t>: Achieve 91%+ accuracy in predicting defaults (vs. 75-80% with manual review)</w:t>
      </w:r>
      <w:r>
        <w:br/>
      </w:r>
      <w:r>
        <w:rPr>
          <w:rStyle w:val="Strong"/>
        </w:rPr>
        <w:t>Impact</w:t>
      </w:r>
      <w:r>
        <w:t>: Automate 70% of decisions, reduce processing time from 3 days to 30 seconds</w:t>
      </w:r>
    </w:p>
    <w:p w14:paraId="450484C5" w14:textId="77777777" w:rsidR="003929AE" w:rsidRPr="00C471BD" w:rsidRDefault="003929AE" w:rsidP="00C471BD">
      <w:pPr>
        <w:pStyle w:val="Heading1"/>
        <w:numPr>
          <w:ilvl w:val="0"/>
          <w:numId w:val="36"/>
        </w:numPr>
        <w:rPr>
          <w:sz w:val="36"/>
          <w:szCs w:val="36"/>
        </w:rPr>
      </w:pPr>
      <w:r w:rsidRPr="00C471BD">
        <w:rPr>
          <w:rStyle w:val="Strong"/>
          <w:rFonts w:eastAsiaTheme="majorEastAsia"/>
          <w:b/>
          <w:bCs/>
          <w:sz w:val="36"/>
          <w:szCs w:val="36"/>
        </w:rPr>
        <w:t>CONCLUSION</w:t>
      </w:r>
    </w:p>
    <w:p w14:paraId="59664C36" w14:textId="77777777" w:rsidR="003929AE" w:rsidRDefault="003929AE" w:rsidP="003929AE">
      <w:pPr>
        <w:pStyle w:val="Heading2"/>
      </w:pPr>
      <w:r>
        <w:t>What This Analysis Achieved</w:t>
      </w:r>
    </w:p>
    <w:p w14:paraId="44869ADE" w14:textId="77777777" w:rsidR="003929AE" w:rsidRDefault="003929AE" w:rsidP="003929AE">
      <w:pPr>
        <w:pStyle w:val="font-claude-response-body"/>
      </w:pPr>
      <w:r>
        <w:t xml:space="preserve">This project analyzed 148,670 bank loans to identify why nearly </w:t>
      </w:r>
      <w:r>
        <w:rPr>
          <w:rStyle w:val="Strong"/>
          <w:rFonts w:eastAsiaTheme="majorEastAsia"/>
        </w:rPr>
        <w:t>1 in 4 loans defaults</w:t>
      </w:r>
      <w:r>
        <w:t xml:space="preserve">, costing the bank over </w:t>
      </w:r>
      <w:r>
        <w:rPr>
          <w:rStyle w:val="Strong"/>
          <w:rFonts w:eastAsiaTheme="majorEastAsia"/>
        </w:rPr>
        <w:t>$12 billion in at-risk capital</w:t>
      </w:r>
      <w:r>
        <w:t xml:space="preserve">. Through systematic exploratory data analysis, I discovered that five key factors drive defaults: </w:t>
      </w:r>
      <w:r>
        <w:rPr>
          <w:rStyle w:val="Strong"/>
          <w:rFonts w:eastAsiaTheme="majorEastAsia"/>
        </w:rPr>
        <w:t>low borrower income, Type2 loan products, lack of pre-approval screening, geographic risk concentration, and compound effects when multiple risk factors align</w:t>
      </w:r>
      <w:r>
        <w:t>.</w:t>
      </w:r>
    </w:p>
    <w:p w14:paraId="7AF01C06" w14:textId="77777777" w:rsidR="003929AE" w:rsidRDefault="003929AE" w:rsidP="003929AE">
      <w:pPr>
        <w:pStyle w:val="Heading2"/>
      </w:pPr>
      <w:r>
        <w:t>Key Discoveries</w:t>
      </w:r>
    </w:p>
    <w:p w14:paraId="6870092A" w14:textId="77777777" w:rsidR="003929AE" w:rsidRDefault="003929AE" w:rsidP="003929AE">
      <w:pPr>
        <w:pStyle w:val="font-claude-response-body"/>
      </w:pPr>
      <w:r>
        <w:rPr>
          <w:rFonts w:ascii="Segoe UI Emoji" w:hAnsi="Segoe UI Emoji" w:cs="Segoe UI Emoji"/>
        </w:rPr>
        <w:t>✅</w:t>
      </w:r>
      <w:r>
        <w:t xml:space="preserve"> </w:t>
      </w:r>
      <w:r>
        <w:rPr>
          <w:rStyle w:val="Strong"/>
          <w:rFonts w:eastAsiaTheme="majorEastAsia"/>
        </w:rPr>
        <w:t>Income is the strongest predictor</w:t>
      </w:r>
      <w:r>
        <w:t>: Borrowers earning under $5,000/month default at rates up to 36%—nearly twice the portfolio average</w:t>
      </w:r>
    </w:p>
    <w:p w14:paraId="2D1C7B2F" w14:textId="77777777" w:rsidR="003929AE" w:rsidRDefault="003929AE" w:rsidP="003929AE">
      <w:pPr>
        <w:pStyle w:val="font-claude-response-body"/>
      </w:pPr>
      <w:r>
        <w:rPr>
          <w:rFonts w:ascii="Segoe UI Emoji" w:hAnsi="Segoe UI Emoji" w:cs="Segoe UI Emoji"/>
        </w:rPr>
        <w:t>✅</w:t>
      </w:r>
      <w:r>
        <w:t xml:space="preserve"> </w:t>
      </w:r>
      <w:r>
        <w:rPr>
          <w:rStyle w:val="Strong"/>
          <w:rFonts w:eastAsiaTheme="majorEastAsia"/>
        </w:rPr>
        <w:t>Type2 loans are failing</w:t>
      </w:r>
      <w:r>
        <w:t>: 34.5% default rate compared to 22.8% for Type1, representing $2.3 billion in concentrated risk</w:t>
      </w:r>
    </w:p>
    <w:p w14:paraId="38AE7545" w14:textId="77777777" w:rsidR="003929AE" w:rsidRDefault="003929AE" w:rsidP="003929AE">
      <w:pPr>
        <w:pStyle w:val="font-claude-response-body"/>
      </w:pPr>
      <w:r>
        <w:rPr>
          <w:rFonts w:ascii="Segoe UI Emoji" w:hAnsi="Segoe UI Emoji" w:cs="Segoe UI Emoji"/>
        </w:rPr>
        <w:t>✅</w:t>
      </w:r>
      <w:r>
        <w:t xml:space="preserve"> </w:t>
      </w:r>
      <w:r>
        <w:rPr>
          <w:rStyle w:val="Strong"/>
          <w:rFonts w:eastAsiaTheme="majorEastAsia"/>
        </w:rPr>
        <w:t>Pre-approval works but is underutilized</w:t>
      </w:r>
      <w:r>
        <w:t>: Reduces defaults by 4 percentage points yet only 15.6% of loans use it (vs. 50-70% industry standard)</w:t>
      </w:r>
    </w:p>
    <w:p w14:paraId="17D59E94" w14:textId="77777777" w:rsidR="003929AE" w:rsidRDefault="003929AE" w:rsidP="003929AE">
      <w:pPr>
        <w:pStyle w:val="font-claude-response-body"/>
      </w:pPr>
      <w:r>
        <w:rPr>
          <w:rFonts w:ascii="Segoe UI Emoji" w:hAnsi="Segoe UI Emoji" w:cs="Segoe UI Emoji"/>
        </w:rPr>
        <w:t>✅</w:t>
      </w:r>
      <w:r>
        <w:t xml:space="preserve"> </w:t>
      </w:r>
      <w:r>
        <w:rPr>
          <w:rStyle w:val="Strong"/>
          <w:rFonts w:eastAsiaTheme="majorEastAsia"/>
        </w:rPr>
        <w:t>Regional economics matter</w:t>
      </w:r>
      <w:r>
        <w:t>: 7 percentage point spread between best-performing North (23%) and worst-performing North-East (30%) despite identical borrower credit scores</w:t>
      </w:r>
    </w:p>
    <w:p w14:paraId="79314451" w14:textId="77777777" w:rsidR="003929AE" w:rsidRDefault="003929AE" w:rsidP="003929AE">
      <w:pPr>
        <w:pStyle w:val="font-claude-response-body"/>
      </w:pPr>
      <w:r>
        <w:rPr>
          <w:rFonts w:ascii="Segoe UI Emoji" w:hAnsi="Segoe UI Emoji" w:cs="Segoe UI Emoji"/>
        </w:rPr>
        <w:t>✅</w:t>
      </w:r>
      <w:r>
        <w:t xml:space="preserve"> </w:t>
      </w:r>
      <w:r>
        <w:rPr>
          <w:rStyle w:val="Strong"/>
          <w:rFonts w:eastAsiaTheme="majorEastAsia"/>
        </w:rPr>
        <w:t>Risks multiply</w:t>
      </w:r>
      <w:r>
        <w:t>: The worst combination—Type2 loans in Central region—defaults at 41%, nearly double the Type1-North baseline of 21%</w:t>
      </w:r>
    </w:p>
    <w:p w14:paraId="7216CC3C" w14:textId="77777777" w:rsidR="003929AE" w:rsidRDefault="003929AE" w:rsidP="003929AE">
      <w:pPr>
        <w:pStyle w:val="Heading2"/>
      </w:pPr>
      <w:r>
        <w:t>Business Impact</w:t>
      </w:r>
    </w:p>
    <w:p w14:paraId="6FA620E4" w14:textId="77777777" w:rsidR="003929AE" w:rsidRDefault="003929AE" w:rsidP="003929AE">
      <w:pPr>
        <w:pStyle w:val="font-claude-response-body"/>
      </w:pPr>
      <w:r>
        <w:t xml:space="preserve">The bank is </w:t>
      </w:r>
      <w:r>
        <w:rPr>
          <w:rStyle w:val="Strong"/>
          <w:rFonts w:eastAsiaTheme="majorEastAsia"/>
        </w:rPr>
        <w:t>leaving $2 billion on the table annually</w:t>
      </w:r>
      <w:r>
        <w:t xml:space="preserve"> by accepting too many high-risk applications and not leveraging proven risk mitigation tools at scale. These are fixable problems requiring minimal investment ($1M) that can be implemented within 6 months.</w:t>
      </w:r>
    </w:p>
    <w:p w14:paraId="5348B7D9" w14:textId="77777777" w:rsidR="003929AE" w:rsidRDefault="003929AE" w:rsidP="003929AE">
      <w:pPr>
        <w:pStyle w:val="Heading2"/>
      </w:pPr>
      <w:r>
        <w:t>Project Value</w:t>
      </w:r>
    </w:p>
    <w:p w14:paraId="27C1E4C3" w14:textId="77777777" w:rsidR="003929AE" w:rsidRDefault="003929AE" w:rsidP="003929AE">
      <w:pPr>
        <w:pStyle w:val="font-claude-response-body"/>
      </w:pPr>
      <w:r>
        <w:t>This analysis demonstrates how data-driven insights translate directly to business decisions:</w:t>
      </w:r>
    </w:p>
    <w:p w14:paraId="5471DA04" w14:textId="77777777" w:rsidR="003929AE" w:rsidRDefault="003929AE" w:rsidP="00AD3D49">
      <w:pPr>
        <w:pStyle w:val="whitespace-normal"/>
        <w:numPr>
          <w:ilvl w:val="0"/>
          <w:numId w:val="33"/>
        </w:numPr>
      </w:pPr>
      <w:r>
        <w:rPr>
          <w:rStyle w:val="Strong"/>
          <w:rFonts w:eastAsiaTheme="majorEastAsia"/>
        </w:rPr>
        <w:t>Identified</w:t>
      </w:r>
      <w:r>
        <w:t xml:space="preserve"> specific borrower segments to avoid (low income, Type2 borrowers)</w:t>
      </w:r>
    </w:p>
    <w:p w14:paraId="2EC5A8BD" w14:textId="77777777" w:rsidR="003929AE" w:rsidRDefault="003929AE" w:rsidP="00AD3D49">
      <w:pPr>
        <w:pStyle w:val="whitespace-normal"/>
        <w:numPr>
          <w:ilvl w:val="0"/>
          <w:numId w:val="33"/>
        </w:numPr>
      </w:pPr>
      <w:r>
        <w:rPr>
          <w:rStyle w:val="Strong"/>
          <w:rFonts w:eastAsiaTheme="majorEastAsia"/>
        </w:rPr>
        <w:lastRenderedPageBreak/>
        <w:t>Quantified</w:t>
      </w:r>
      <w:r>
        <w:t xml:space="preserve"> the financial impact of each recommendation ($575M pre-approval opportunity, $890M Type2 risk)</w:t>
      </w:r>
    </w:p>
    <w:p w14:paraId="6FE739F7" w14:textId="77777777" w:rsidR="003929AE" w:rsidRDefault="003929AE" w:rsidP="00AD3D49">
      <w:pPr>
        <w:pStyle w:val="whitespace-normal"/>
        <w:numPr>
          <w:ilvl w:val="0"/>
          <w:numId w:val="33"/>
        </w:numPr>
      </w:pPr>
      <w:r>
        <w:rPr>
          <w:rStyle w:val="Strong"/>
          <w:rFonts w:eastAsiaTheme="majorEastAsia"/>
        </w:rPr>
        <w:t>Prioritized</w:t>
      </w:r>
      <w:r>
        <w:t xml:space="preserve"> actions by ROI and implementation complexity</w:t>
      </w:r>
    </w:p>
    <w:p w14:paraId="14A7BABC" w14:textId="77777777" w:rsidR="003929AE" w:rsidRDefault="003929AE" w:rsidP="00AD3D49">
      <w:pPr>
        <w:pStyle w:val="whitespace-normal"/>
        <w:numPr>
          <w:ilvl w:val="0"/>
          <w:numId w:val="33"/>
        </w:numPr>
      </w:pPr>
      <w:r>
        <w:rPr>
          <w:rStyle w:val="Strong"/>
          <w:rFonts w:eastAsiaTheme="majorEastAsia"/>
        </w:rPr>
        <w:t>Validated</w:t>
      </w:r>
      <w:r>
        <w:t xml:space="preserve"> findings across 128,345 loans after rigorous data cleaning</w:t>
      </w:r>
    </w:p>
    <w:p w14:paraId="01B37779" w14:textId="77777777" w:rsidR="003929AE" w:rsidRDefault="003929AE" w:rsidP="003929AE">
      <w:pPr>
        <w:pStyle w:val="font-claude-response-body"/>
      </w:pPr>
      <w:r>
        <w:t xml:space="preserve">By implementing the five recommended actions—income floors, Type2 restrictions, mandatory pre-approval expansion, regional pricing, and automated risk scoring—the bank can realistically reduce its default rate from 24.6% to 18-19% within 18 months, representing </w:t>
      </w:r>
      <w:r>
        <w:rPr>
          <w:rStyle w:val="Strong"/>
          <w:rFonts w:eastAsiaTheme="majorEastAsia"/>
        </w:rPr>
        <w:t>$1.5-2.0 billion in avoided losses</w:t>
      </w:r>
      <w:r>
        <w:t xml:space="preserve"> while maintaining profitable growth in the Standard and Premium segments.</w:t>
      </w:r>
    </w:p>
    <w:p w14:paraId="029A1249" w14:textId="77777777" w:rsidR="00E91FF1" w:rsidRDefault="00E91FF1" w:rsidP="00D60A9B">
      <w:pPr>
        <w:pStyle w:val="font-claude-response-body"/>
      </w:pPr>
    </w:p>
    <w:sectPr w:rsidR="00E91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altName w:val="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var(--font-mono)">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64BF"/>
    <w:multiLevelType w:val="hybridMultilevel"/>
    <w:tmpl w:val="A48657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15DD2"/>
    <w:multiLevelType w:val="multilevel"/>
    <w:tmpl w:val="0D9C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97625"/>
    <w:multiLevelType w:val="multilevel"/>
    <w:tmpl w:val="87CC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53C35"/>
    <w:multiLevelType w:val="hybridMultilevel"/>
    <w:tmpl w:val="DA84A4DA"/>
    <w:lvl w:ilvl="0" w:tplc="A5FEAFA6">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C2D4C"/>
    <w:multiLevelType w:val="multilevel"/>
    <w:tmpl w:val="D87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F5392"/>
    <w:multiLevelType w:val="multilevel"/>
    <w:tmpl w:val="A188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64BC4"/>
    <w:multiLevelType w:val="multilevel"/>
    <w:tmpl w:val="C0EE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275F5"/>
    <w:multiLevelType w:val="multilevel"/>
    <w:tmpl w:val="3612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2314D"/>
    <w:multiLevelType w:val="multilevel"/>
    <w:tmpl w:val="19BE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F69A0"/>
    <w:multiLevelType w:val="multilevel"/>
    <w:tmpl w:val="E0F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67255"/>
    <w:multiLevelType w:val="multilevel"/>
    <w:tmpl w:val="1080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B61EB"/>
    <w:multiLevelType w:val="hybridMultilevel"/>
    <w:tmpl w:val="5BCC21CE"/>
    <w:lvl w:ilvl="0" w:tplc="A5FEAFA6">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55546D"/>
    <w:multiLevelType w:val="multilevel"/>
    <w:tmpl w:val="3938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06A12"/>
    <w:multiLevelType w:val="hybridMultilevel"/>
    <w:tmpl w:val="13A03E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57F5E"/>
    <w:multiLevelType w:val="multilevel"/>
    <w:tmpl w:val="007E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D3D90"/>
    <w:multiLevelType w:val="multilevel"/>
    <w:tmpl w:val="E278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A2150"/>
    <w:multiLevelType w:val="multilevel"/>
    <w:tmpl w:val="55B0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63237"/>
    <w:multiLevelType w:val="hybridMultilevel"/>
    <w:tmpl w:val="58DEC4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E96AAB"/>
    <w:multiLevelType w:val="multilevel"/>
    <w:tmpl w:val="D7D8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13194"/>
    <w:multiLevelType w:val="multilevel"/>
    <w:tmpl w:val="73C4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65314"/>
    <w:multiLevelType w:val="hybridMultilevel"/>
    <w:tmpl w:val="D6BECB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B876E8"/>
    <w:multiLevelType w:val="multilevel"/>
    <w:tmpl w:val="E186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93BFF"/>
    <w:multiLevelType w:val="multilevel"/>
    <w:tmpl w:val="D54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F1A5E"/>
    <w:multiLevelType w:val="multilevel"/>
    <w:tmpl w:val="A18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67527"/>
    <w:multiLevelType w:val="multilevel"/>
    <w:tmpl w:val="61FA2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B86133"/>
    <w:multiLevelType w:val="multilevel"/>
    <w:tmpl w:val="418E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C2FA8"/>
    <w:multiLevelType w:val="multilevel"/>
    <w:tmpl w:val="0E9A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009F8"/>
    <w:multiLevelType w:val="hybridMultilevel"/>
    <w:tmpl w:val="2AE05E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976D9B"/>
    <w:multiLevelType w:val="multilevel"/>
    <w:tmpl w:val="6A9C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E6CAF"/>
    <w:multiLevelType w:val="multilevel"/>
    <w:tmpl w:val="768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E4788"/>
    <w:multiLevelType w:val="hybridMultilevel"/>
    <w:tmpl w:val="F4005106"/>
    <w:lvl w:ilvl="0" w:tplc="A5FEAFA6">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DB28CD"/>
    <w:multiLevelType w:val="multilevel"/>
    <w:tmpl w:val="E0C20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8F7F5B"/>
    <w:multiLevelType w:val="multilevel"/>
    <w:tmpl w:val="21F40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7110B7"/>
    <w:multiLevelType w:val="multilevel"/>
    <w:tmpl w:val="EE08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8333B"/>
    <w:multiLevelType w:val="multilevel"/>
    <w:tmpl w:val="549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C39A2"/>
    <w:multiLevelType w:val="multilevel"/>
    <w:tmpl w:val="7000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58626A"/>
    <w:multiLevelType w:val="multilevel"/>
    <w:tmpl w:val="AA04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9E63D1"/>
    <w:multiLevelType w:val="multilevel"/>
    <w:tmpl w:val="260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12D1A"/>
    <w:multiLevelType w:val="hybridMultilevel"/>
    <w:tmpl w:val="03F05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692DEC"/>
    <w:multiLevelType w:val="hybridMultilevel"/>
    <w:tmpl w:val="E61663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A44EB3"/>
    <w:multiLevelType w:val="multilevel"/>
    <w:tmpl w:val="020E2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FE24B7"/>
    <w:multiLevelType w:val="multilevel"/>
    <w:tmpl w:val="7F96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73887"/>
    <w:multiLevelType w:val="multilevel"/>
    <w:tmpl w:val="99C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76109"/>
    <w:multiLevelType w:val="multilevel"/>
    <w:tmpl w:val="D93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15"/>
  </w:num>
  <w:num w:numId="3">
    <w:abstractNumId w:val="16"/>
  </w:num>
  <w:num w:numId="4">
    <w:abstractNumId w:val="34"/>
  </w:num>
  <w:num w:numId="5">
    <w:abstractNumId w:val="28"/>
  </w:num>
  <w:num w:numId="6">
    <w:abstractNumId w:val="39"/>
  </w:num>
  <w:num w:numId="7">
    <w:abstractNumId w:val="0"/>
  </w:num>
  <w:num w:numId="8">
    <w:abstractNumId w:val="27"/>
  </w:num>
  <w:num w:numId="9">
    <w:abstractNumId w:val="8"/>
  </w:num>
  <w:num w:numId="10">
    <w:abstractNumId w:val="9"/>
  </w:num>
  <w:num w:numId="11">
    <w:abstractNumId w:val="33"/>
  </w:num>
  <w:num w:numId="12">
    <w:abstractNumId w:val="24"/>
  </w:num>
  <w:num w:numId="13">
    <w:abstractNumId w:val="31"/>
  </w:num>
  <w:num w:numId="14">
    <w:abstractNumId w:val="29"/>
  </w:num>
  <w:num w:numId="15">
    <w:abstractNumId w:val="18"/>
  </w:num>
  <w:num w:numId="16">
    <w:abstractNumId w:val="32"/>
  </w:num>
  <w:num w:numId="17">
    <w:abstractNumId w:val="7"/>
  </w:num>
  <w:num w:numId="18">
    <w:abstractNumId w:val="12"/>
  </w:num>
  <w:num w:numId="19">
    <w:abstractNumId w:val="40"/>
  </w:num>
  <w:num w:numId="20">
    <w:abstractNumId w:val="35"/>
  </w:num>
  <w:num w:numId="21">
    <w:abstractNumId w:val="6"/>
  </w:num>
  <w:num w:numId="22">
    <w:abstractNumId w:val="43"/>
  </w:num>
  <w:num w:numId="23">
    <w:abstractNumId w:val="1"/>
  </w:num>
  <w:num w:numId="24">
    <w:abstractNumId w:val="2"/>
  </w:num>
  <w:num w:numId="25">
    <w:abstractNumId w:val="41"/>
  </w:num>
  <w:num w:numId="26">
    <w:abstractNumId w:val="26"/>
  </w:num>
  <w:num w:numId="27">
    <w:abstractNumId w:val="25"/>
  </w:num>
  <w:num w:numId="28">
    <w:abstractNumId w:val="22"/>
  </w:num>
  <w:num w:numId="29">
    <w:abstractNumId w:val="23"/>
  </w:num>
  <w:num w:numId="30">
    <w:abstractNumId w:val="10"/>
  </w:num>
  <w:num w:numId="31">
    <w:abstractNumId w:val="21"/>
  </w:num>
  <w:num w:numId="32">
    <w:abstractNumId w:val="19"/>
  </w:num>
  <w:num w:numId="33">
    <w:abstractNumId w:val="4"/>
  </w:num>
  <w:num w:numId="34">
    <w:abstractNumId w:val="38"/>
  </w:num>
  <w:num w:numId="35">
    <w:abstractNumId w:val="17"/>
  </w:num>
  <w:num w:numId="36">
    <w:abstractNumId w:val="20"/>
  </w:num>
  <w:num w:numId="37">
    <w:abstractNumId w:val="13"/>
  </w:num>
  <w:num w:numId="38">
    <w:abstractNumId w:val="11"/>
  </w:num>
  <w:num w:numId="39">
    <w:abstractNumId w:val="30"/>
  </w:num>
  <w:num w:numId="40">
    <w:abstractNumId w:val="3"/>
  </w:num>
  <w:num w:numId="41">
    <w:abstractNumId w:val="5"/>
  </w:num>
  <w:num w:numId="42">
    <w:abstractNumId w:val="36"/>
  </w:num>
  <w:num w:numId="43">
    <w:abstractNumId w:val="37"/>
  </w:num>
  <w:num w:numId="44">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073"/>
    <w:rsid w:val="001C5AF1"/>
    <w:rsid w:val="00333B77"/>
    <w:rsid w:val="003929AE"/>
    <w:rsid w:val="00673E0A"/>
    <w:rsid w:val="008A0AF6"/>
    <w:rsid w:val="00AD3D49"/>
    <w:rsid w:val="00B50286"/>
    <w:rsid w:val="00BF6073"/>
    <w:rsid w:val="00C471BD"/>
    <w:rsid w:val="00C56FE4"/>
    <w:rsid w:val="00C9347B"/>
    <w:rsid w:val="00D02D3F"/>
    <w:rsid w:val="00D11640"/>
    <w:rsid w:val="00D22DE2"/>
    <w:rsid w:val="00D60A9B"/>
    <w:rsid w:val="00D7610E"/>
    <w:rsid w:val="00E91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249F7"/>
  <w15:chartTrackingRefBased/>
  <w15:docId w15:val="{166D8B99-F7AA-4A44-80AC-492A98E2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F60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BF60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116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1164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07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F60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F6073"/>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BF60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5AF1"/>
    <w:rPr>
      <w:b/>
      <w:bCs/>
    </w:rPr>
  </w:style>
  <w:style w:type="paragraph" w:customStyle="1" w:styleId="whitespace-normal">
    <w:name w:val="whitespace-normal"/>
    <w:basedOn w:val="Normal"/>
    <w:rsid w:val="001C5A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1164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D11640"/>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D1164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164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11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1640"/>
    <w:rPr>
      <w:rFonts w:ascii="Courier New" w:eastAsia="Times New Roman" w:hAnsi="Courier New" w:cs="Courier New"/>
      <w:sz w:val="20"/>
      <w:szCs w:val="20"/>
    </w:rPr>
  </w:style>
  <w:style w:type="character" w:customStyle="1" w:styleId="token">
    <w:name w:val="token"/>
    <w:basedOn w:val="DefaultParagraphFont"/>
    <w:rsid w:val="00D11640"/>
  </w:style>
  <w:style w:type="character" w:styleId="Emphasis">
    <w:name w:val="Emphasis"/>
    <w:basedOn w:val="DefaultParagraphFont"/>
    <w:uiPriority w:val="20"/>
    <w:qFormat/>
    <w:rsid w:val="00D60A9B"/>
    <w:rPr>
      <w:i/>
      <w:iCs/>
    </w:rPr>
  </w:style>
  <w:style w:type="paragraph" w:styleId="ListParagraph">
    <w:name w:val="List Paragraph"/>
    <w:basedOn w:val="Normal"/>
    <w:uiPriority w:val="34"/>
    <w:qFormat/>
    <w:rsid w:val="00C471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1132">
      <w:bodyDiv w:val="1"/>
      <w:marLeft w:val="0"/>
      <w:marRight w:val="0"/>
      <w:marTop w:val="0"/>
      <w:marBottom w:val="0"/>
      <w:divBdr>
        <w:top w:val="none" w:sz="0" w:space="0" w:color="auto"/>
        <w:left w:val="none" w:sz="0" w:space="0" w:color="auto"/>
        <w:bottom w:val="none" w:sz="0" w:space="0" w:color="auto"/>
        <w:right w:val="none" w:sz="0" w:space="0" w:color="auto"/>
      </w:divBdr>
      <w:divsChild>
        <w:div w:id="1828472539">
          <w:marLeft w:val="0"/>
          <w:marRight w:val="0"/>
          <w:marTop w:val="0"/>
          <w:marBottom w:val="0"/>
          <w:divBdr>
            <w:top w:val="none" w:sz="0" w:space="0" w:color="auto"/>
            <w:left w:val="none" w:sz="0" w:space="0" w:color="auto"/>
            <w:bottom w:val="none" w:sz="0" w:space="0" w:color="auto"/>
            <w:right w:val="none" w:sz="0" w:space="0" w:color="auto"/>
          </w:divBdr>
        </w:div>
      </w:divsChild>
    </w:div>
    <w:div w:id="81337758">
      <w:bodyDiv w:val="1"/>
      <w:marLeft w:val="0"/>
      <w:marRight w:val="0"/>
      <w:marTop w:val="0"/>
      <w:marBottom w:val="0"/>
      <w:divBdr>
        <w:top w:val="none" w:sz="0" w:space="0" w:color="auto"/>
        <w:left w:val="none" w:sz="0" w:space="0" w:color="auto"/>
        <w:bottom w:val="none" w:sz="0" w:space="0" w:color="auto"/>
        <w:right w:val="none" w:sz="0" w:space="0" w:color="auto"/>
      </w:divBdr>
      <w:divsChild>
        <w:div w:id="566571867">
          <w:marLeft w:val="0"/>
          <w:marRight w:val="0"/>
          <w:marTop w:val="0"/>
          <w:marBottom w:val="0"/>
          <w:divBdr>
            <w:top w:val="none" w:sz="0" w:space="0" w:color="auto"/>
            <w:left w:val="none" w:sz="0" w:space="0" w:color="auto"/>
            <w:bottom w:val="none" w:sz="0" w:space="0" w:color="auto"/>
            <w:right w:val="none" w:sz="0" w:space="0" w:color="auto"/>
          </w:divBdr>
        </w:div>
      </w:divsChild>
    </w:div>
    <w:div w:id="83263242">
      <w:bodyDiv w:val="1"/>
      <w:marLeft w:val="0"/>
      <w:marRight w:val="0"/>
      <w:marTop w:val="0"/>
      <w:marBottom w:val="0"/>
      <w:divBdr>
        <w:top w:val="none" w:sz="0" w:space="0" w:color="auto"/>
        <w:left w:val="none" w:sz="0" w:space="0" w:color="auto"/>
        <w:bottom w:val="none" w:sz="0" w:space="0" w:color="auto"/>
        <w:right w:val="none" w:sz="0" w:space="0" w:color="auto"/>
      </w:divBdr>
    </w:div>
    <w:div w:id="208735511">
      <w:bodyDiv w:val="1"/>
      <w:marLeft w:val="0"/>
      <w:marRight w:val="0"/>
      <w:marTop w:val="0"/>
      <w:marBottom w:val="0"/>
      <w:divBdr>
        <w:top w:val="none" w:sz="0" w:space="0" w:color="auto"/>
        <w:left w:val="none" w:sz="0" w:space="0" w:color="auto"/>
        <w:bottom w:val="none" w:sz="0" w:space="0" w:color="auto"/>
        <w:right w:val="none" w:sz="0" w:space="0" w:color="auto"/>
      </w:divBdr>
    </w:div>
    <w:div w:id="420377277">
      <w:bodyDiv w:val="1"/>
      <w:marLeft w:val="0"/>
      <w:marRight w:val="0"/>
      <w:marTop w:val="0"/>
      <w:marBottom w:val="0"/>
      <w:divBdr>
        <w:top w:val="none" w:sz="0" w:space="0" w:color="auto"/>
        <w:left w:val="none" w:sz="0" w:space="0" w:color="auto"/>
        <w:bottom w:val="none" w:sz="0" w:space="0" w:color="auto"/>
        <w:right w:val="none" w:sz="0" w:space="0" w:color="auto"/>
      </w:divBdr>
      <w:divsChild>
        <w:div w:id="939799995">
          <w:marLeft w:val="0"/>
          <w:marRight w:val="0"/>
          <w:marTop w:val="0"/>
          <w:marBottom w:val="0"/>
          <w:divBdr>
            <w:top w:val="none" w:sz="0" w:space="0" w:color="auto"/>
            <w:left w:val="none" w:sz="0" w:space="0" w:color="auto"/>
            <w:bottom w:val="none" w:sz="0" w:space="0" w:color="auto"/>
            <w:right w:val="none" w:sz="0" w:space="0" w:color="auto"/>
          </w:divBdr>
        </w:div>
      </w:divsChild>
    </w:div>
    <w:div w:id="440881856">
      <w:bodyDiv w:val="1"/>
      <w:marLeft w:val="0"/>
      <w:marRight w:val="0"/>
      <w:marTop w:val="0"/>
      <w:marBottom w:val="0"/>
      <w:divBdr>
        <w:top w:val="none" w:sz="0" w:space="0" w:color="auto"/>
        <w:left w:val="none" w:sz="0" w:space="0" w:color="auto"/>
        <w:bottom w:val="none" w:sz="0" w:space="0" w:color="auto"/>
        <w:right w:val="none" w:sz="0" w:space="0" w:color="auto"/>
      </w:divBdr>
    </w:div>
    <w:div w:id="679697571">
      <w:bodyDiv w:val="1"/>
      <w:marLeft w:val="0"/>
      <w:marRight w:val="0"/>
      <w:marTop w:val="0"/>
      <w:marBottom w:val="0"/>
      <w:divBdr>
        <w:top w:val="none" w:sz="0" w:space="0" w:color="auto"/>
        <w:left w:val="none" w:sz="0" w:space="0" w:color="auto"/>
        <w:bottom w:val="none" w:sz="0" w:space="0" w:color="auto"/>
        <w:right w:val="none" w:sz="0" w:space="0" w:color="auto"/>
      </w:divBdr>
      <w:divsChild>
        <w:div w:id="54818016">
          <w:marLeft w:val="0"/>
          <w:marRight w:val="0"/>
          <w:marTop w:val="0"/>
          <w:marBottom w:val="0"/>
          <w:divBdr>
            <w:top w:val="none" w:sz="0" w:space="0" w:color="auto"/>
            <w:left w:val="none" w:sz="0" w:space="0" w:color="auto"/>
            <w:bottom w:val="none" w:sz="0" w:space="0" w:color="auto"/>
            <w:right w:val="none" w:sz="0" w:space="0" w:color="auto"/>
          </w:divBdr>
        </w:div>
        <w:div w:id="143546832">
          <w:marLeft w:val="0"/>
          <w:marRight w:val="0"/>
          <w:marTop w:val="0"/>
          <w:marBottom w:val="0"/>
          <w:divBdr>
            <w:top w:val="none" w:sz="0" w:space="0" w:color="auto"/>
            <w:left w:val="none" w:sz="0" w:space="0" w:color="auto"/>
            <w:bottom w:val="none" w:sz="0" w:space="0" w:color="auto"/>
            <w:right w:val="none" w:sz="0" w:space="0" w:color="auto"/>
          </w:divBdr>
          <w:divsChild>
            <w:div w:id="12274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02722">
      <w:bodyDiv w:val="1"/>
      <w:marLeft w:val="0"/>
      <w:marRight w:val="0"/>
      <w:marTop w:val="0"/>
      <w:marBottom w:val="0"/>
      <w:divBdr>
        <w:top w:val="none" w:sz="0" w:space="0" w:color="auto"/>
        <w:left w:val="none" w:sz="0" w:space="0" w:color="auto"/>
        <w:bottom w:val="none" w:sz="0" w:space="0" w:color="auto"/>
        <w:right w:val="none" w:sz="0" w:space="0" w:color="auto"/>
      </w:divBdr>
      <w:divsChild>
        <w:div w:id="1970549798">
          <w:marLeft w:val="0"/>
          <w:marRight w:val="0"/>
          <w:marTop w:val="0"/>
          <w:marBottom w:val="0"/>
          <w:divBdr>
            <w:top w:val="none" w:sz="0" w:space="0" w:color="auto"/>
            <w:left w:val="none" w:sz="0" w:space="0" w:color="auto"/>
            <w:bottom w:val="none" w:sz="0" w:space="0" w:color="auto"/>
            <w:right w:val="none" w:sz="0" w:space="0" w:color="auto"/>
          </w:divBdr>
        </w:div>
      </w:divsChild>
    </w:div>
    <w:div w:id="933981143">
      <w:bodyDiv w:val="1"/>
      <w:marLeft w:val="0"/>
      <w:marRight w:val="0"/>
      <w:marTop w:val="0"/>
      <w:marBottom w:val="0"/>
      <w:divBdr>
        <w:top w:val="none" w:sz="0" w:space="0" w:color="auto"/>
        <w:left w:val="none" w:sz="0" w:space="0" w:color="auto"/>
        <w:bottom w:val="none" w:sz="0" w:space="0" w:color="auto"/>
        <w:right w:val="none" w:sz="0" w:space="0" w:color="auto"/>
      </w:divBdr>
    </w:div>
    <w:div w:id="1168398785">
      <w:bodyDiv w:val="1"/>
      <w:marLeft w:val="0"/>
      <w:marRight w:val="0"/>
      <w:marTop w:val="0"/>
      <w:marBottom w:val="0"/>
      <w:divBdr>
        <w:top w:val="none" w:sz="0" w:space="0" w:color="auto"/>
        <w:left w:val="none" w:sz="0" w:space="0" w:color="auto"/>
        <w:bottom w:val="none" w:sz="0" w:space="0" w:color="auto"/>
        <w:right w:val="none" w:sz="0" w:space="0" w:color="auto"/>
      </w:divBdr>
      <w:divsChild>
        <w:div w:id="1037706798">
          <w:marLeft w:val="0"/>
          <w:marRight w:val="0"/>
          <w:marTop w:val="0"/>
          <w:marBottom w:val="0"/>
          <w:divBdr>
            <w:top w:val="none" w:sz="0" w:space="0" w:color="auto"/>
            <w:left w:val="none" w:sz="0" w:space="0" w:color="auto"/>
            <w:bottom w:val="none" w:sz="0" w:space="0" w:color="auto"/>
            <w:right w:val="none" w:sz="0" w:space="0" w:color="auto"/>
          </w:divBdr>
        </w:div>
      </w:divsChild>
    </w:div>
    <w:div w:id="1217862468">
      <w:bodyDiv w:val="1"/>
      <w:marLeft w:val="0"/>
      <w:marRight w:val="0"/>
      <w:marTop w:val="0"/>
      <w:marBottom w:val="0"/>
      <w:divBdr>
        <w:top w:val="none" w:sz="0" w:space="0" w:color="auto"/>
        <w:left w:val="none" w:sz="0" w:space="0" w:color="auto"/>
        <w:bottom w:val="none" w:sz="0" w:space="0" w:color="auto"/>
        <w:right w:val="none" w:sz="0" w:space="0" w:color="auto"/>
      </w:divBdr>
    </w:div>
    <w:div w:id="1281643782">
      <w:bodyDiv w:val="1"/>
      <w:marLeft w:val="0"/>
      <w:marRight w:val="0"/>
      <w:marTop w:val="0"/>
      <w:marBottom w:val="0"/>
      <w:divBdr>
        <w:top w:val="none" w:sz="0" w:space="0" w:color="auto"/>
        <w:left w:val="none" w:sz="0" w:space="0" w:color="auto"/>
        <w:bottom w:val="none" w:sz="0" w:space="0" w:color="auto"/>
        <w:right w:val="none" w:sz="0" w:space="0" w:color="auto"/>
      </w:divBdr>
    </w:div>
    <w:div w:id="1282345852">
      <w:bodyDiv w:val="1"/>
      <w:marLeft w:val="0"/>
      <w:marRight w:val="0"/>
      <w:marTop w:val="0"/>
      <w:marBottom w:val="0"/>
      <w:divBdr>
        <w:top w:val="none" w:sz="0" w:space="0" w:color="auto"/>
        <w:left w:val="none" w:sz="0" w:space="0" w:color="auto"/>
        <w:bottom w:val="none" w:sz="0" w:space="0" w:color="auto"/>
        <w:right w:val="none" w:sz="0" w:space="0" w:color="auto"/>
      </w:divBdr>
      <w:divsChild>
        <w:div w:id="1708292050">
          <w:marLeft w:val="0"/>
          <w:marRight w:val="0"/>
          <w:marTop w:val="0"/>
          <w:marBottom w:val="0"/>
          <w:divBdr>
            <w:top w:val="none" w:sz="0" w:space="0" w:color="auto"/>
            <w:left w:val="none" w:sz="0" w:space="0" w:color="auto"/>
            <w:bottom w:val="none" w:sz="0" w:space="0" w:color="auto"/>
            <w:right w:val="none" w:sz="0" w:space="0" w:color="auto"/>
          </w:divBdr>
        </w:div>
      </w:divsChild>
    </w:div>
    <w:div w:id="1348285733">
      <w:bodyDiv w:val="1"/>
      <w:marLeft w:val="0"/>
      <w:marRight w:val="0"/>
      <w:marTop w:val="0"/>
      <w:marBottom w:val="0"/>
      <w:divBdr>
        <w:top w:val="none" w:sz="0" w:space="0" w:color="auto"/>
        <w:left w:val="none" w:sz="0" w:space="0" w:color="auto"/>
        <w:bottom w:val="none" w:sz="0" w:space="0" w:color="auto"/>
        <w:right w:val="none" w:sz="0" w:space="0" w:color="auto"/>
      </w:divBdr>
    </w:div>
    <w:div w:id="1375932349">
      <w:bodyDiv w:val="1"/>
      <w:marLeft w:val="0"/>
      <w:marRight w:val="0"/>
      <w:marTop w:val="0"/>
      <w:marBottom w:val="0"/>
      <w:divBdr>
        <w:top w:val="none" w:sz="0" w:space="0" w:color="auto"/>
        <w:left w:val="none" w:sz="0" w:space="0" w:color="auto"/>
        <w:bottom w:val="none" w:sz="0" w:space="0" w:color="auto"/>
        <w:right w:val="none" w:sz="0" w:space="0" w:color="auto"/>
      </w:divBdr>
    </w:div>
    <w:div w:id="1393381448">
      <w:bodyDiv w:val="1"/>
      <w:marLeft w:val="0"/>
      <w:marRight w:val="0"/>
      <w:marTop w:val="0"/>
      <w:marBottom w:val="0"/>
      <w:divBdr>
        <w:top w:val="none" w:sz="0" w:space="0" w:color="auto"/>
        <w:left w:val="none" w:sz="0" w:space="0" w:color="auto"/>
        <w:bottom w:val="none" w:sz="0" w:space="0" w:color="auto"/>
        <w:right w:val="none" w:sz="0" w:space="0" w:color="auto"/>
      </w:divBdr>
    </w:div>
    <w:div w:id="1396003043">
      <w:bodyDiv w:val="1"/>
      <w:marLeft w:val="0"/>
      <w:marRight w:val="0"/>
      <w:marTop w:val="0"/>
      <w:marBottom w:val="0"/>
      <w:divBdr>
        <w:top w:val="none" w:sz="0" w:space="0" w:color="auto"/>
        <w:left w:val="none" w:sz="0" w:space="0" w:color="auto"/>
        <w:bottom w:val="none" w:sz="0" w:space="0" w:color="auto"/>
        <w:right w:val="none" w:sz="0" w:space="0" w:color="auto"/>
      </w:divBdr>
      <w:divsChild>
        <w:div w:id="767695636">
          <w:marLeft w:val="0"/>
          <w:marRight w:val="0"/>
          <w:marTop w:val="0"/>
          <w:marBottom w:val="0"/>
          <w:divBdr>
            <w:top w:val="none" w:sz="0" w:space="0" w:color="auto"/>
            <w:left w:val="none" w:sz="0" w:space="0" w:color="auto"/>
            <w:bottom w:val="none" w:sz="0" w:space="0" w:color="auto"/>
            <w:right w:val="none" w:sz="0" w:space="0" w:color="auto"/>
          </w:divBdr>
        </w:div>
      </w:divsChild>
    </w:div>
    <w:div w:id="1432817777">
      <w:bodyDiv w:val="1"/>
      <w:marLeft w:val="0"/>
      <w:marRight w:val="0"/>
      <w:marTop w:val="0"/>
      <w:marBottom w:val="0"/>
      <w:divBdr>
        <w:top w:val="none" w:sz="0" w:space="0" w:color="auto"/>
        <w:left w:val="none" w:sz="0" w:space="0" w:color="auto"/>
        <w:bottom w:val="none" w:sz="0" w:space="0" w:color="auto"/>
        <w:right w:val="none" w:sz="0" w:space="0" w:color="auto"/>
      </w:divBdr>
    </w:div>
    <w:div w:id="1441684332">
      <w:bodyDiv w:val="1"/>
      <w:marLeft w:val="0"/>
      <w:marRight w:val="0"/>
      <w:marTop w:val="0"/>
      <w:marBottom w:val="0"/>
      <w:divBdr>
        <w:top w:val="none" w:sz="0" w:space="0" w:color="auto"/>
        <w:left w:val="none" w:sz="0" w:space="0" w:color="auto"/>
        <w:bottom w:val="none" w:sz="0" w:space="0" w:color="auto"/>
        <w:right w:val="none" w:sz="0" w:space="0" w:color="auto"/>
      </w:divBdr>
    </w:div>
    <w:div w:id="1530677108">
      <w:bodyDiv w:val="1"/>
      <w:marLeft w:val="0"/>
      <w:marRight w:val="0"/>
      <w:marTop w:val="0"/>
      <w:marBottom w:val="0"/>
      <w:divBdr>
        <w:top w:val="none" w:sz="0" w:space="0" w:color="auto"/>
        <w:left w:val="none" w:sz="0" w:space="0" w:color="auto"/>
        <w:bottom w:val="none" w:sz="0" w:space="0" w:color="auto"/>
        <w:right w:val="none" w:sz="0" w:space="0" w:color="auto"/>
      </w:divBdr>
    </w:div>
    <w:div w:id="1544947584">
      <w:bodyDiv w:val="1"/>
      <w:marLeft w:val="0"/>
      <w:marRight w:val="0"/>
      <w:marTop w:val="0"/>
      <w:marBottom w:val="0"/>
      <w:divBdr>
        <w:top w:val="none" w:sz="0" w:space="0" w:color="auto"/>
        <w:left w:val="none" w:sz="0" w:space="0" w:color="auto"/>
        <w:bottom w:val="none" w:sz="0" w:space="0" w:color="auto"/>
        <w:right w:val="none" w:sz="0" w:space="0" w:color="auto"/>
      </w:divBdr>
      <w:divsChild>
        <w:div w:id="1770850060">
          <w:marLeft w:val="0"/>
          <w:marRight w:val="0"/>
          <w:marTop w:val="0"/>
          <w:marBottom w:val="0"/>
          <w:divBdr>
            <w:top w:val="none" w:sz="0" w:space="0" w:color="auto"/>
            <w:left w:val="none" w:sz="0" w:space="0" w:color="auto"/>
            <w:bottom w:val="none" w:sz="0" w:space="0" w:color="auto"/>
            <w:right w:val="none" w:sz="0" w:space="0" w:color="auto"/>
          </w:divBdr>
          <w:divsChild>
            <w:div w:id="14601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86621">
      <w:bodyDiv w:val="1"/>
      <w:marLeft w:val="0"/>
      <w:marRight w:val="0"/>
      <w:marTop w:val="0"/>
      <w:marBottom w:val="0"/>
      <w:divBdr>
        <w:top w:val="none" w:sz="0" w:space="0" w:color="auto"/>
        <w:left w:val="none" w:sz="0" w:space="0" w:color="auto"/>
        <w:bottom w:val="none" w:sz="0" w:space="0" w:color="auto"/>
        <w:right w:val="none" w:sz="0" w:space="0" w:color="auto"/>
      </w:divBdr>
      <w:divsChild>
        <w:div w:id="463087177">
          <w:marLeft w:val="0"/>
          <w:marRight w:val="0"/>
          <w:marTop w:val="0"/>
          <w:marBottom w:val="0"/>
          <w:divBdr>
            <w:top w:val="none" w:sz="0" w:space="0" w:color="auto"/>
            <w:left w:val="none" w:sz="0" w:space="0" w:color="auto"/>
            <w:bottom w:val="none" w:sz="0" w:space="0" w:color="auto"/>
            <w:right w:val="none" w:sz="0" w:space="0" w:color="auto"/>
          </w:divBdr>
        </w:div>
      </w:divsChild>
    </w:div>
    <w:div w:id="1621915895">
      <w:bodyDiv w:val="1"/>
      <w:marLeft w:val="0"/>
      <w:marRight w:val="0"/>
      <w:marTop w:val="0"/>
      <w:marBottom w:val="0"/>
      <w:divBdr>
        <w:top w:val="none" w:sz="0" w:space="0" w:color="auto"/>
        <w:left w:val="none" w:sz="0" w:space="0" w:color="auto"/>
        <w:bottom w:val="none" w:sz="0" w:space="0" w:color="auto"/>
        <w:right w:val="none" w:sz="0" w:space="0" w:color="auto"/>
      </w:divBdr>
    </w:div>
    <w:div w:id="1691837548">
      <w:bodyDiv w:val="1"/>
      <w:marLeft w:val="0"/>
      <w:marRight w:val="0"/>
      <w:marTop w:val="0"/>
      <w:marBottom w:val="0"/>
      <w:divBdr>
        <w:top w:val="none" w:sz="0" w:space="0" w:color="auto"/>
        <w:left w:val="none" w:sz="0" w:space="0" w:color="auto"/>
        <w:bottom w:val="none" w:sz="0" w:space="0" w:color="auto"/>
        <w:right w:val="none" w:sz="0" w:space="0" w:color="auto"/>
      </w:divBdr>
      <w:divsChild>
        <w:div w:id="1755973740">
          <w:marLeft w:val="0"/>
          <w:marRight w:val="0"/>
          <w:marTop w:val="0"/>
          <w:marBottom w:val="0"/>
          <w:divBdr>
            <w:top w:val="none" w:sz="0" w:space="0" w:color="auto"/>
            <w:left w:val="none" w:sz="0" w:space="0" w:color="auto"/>
            <w:bottom w:val="none" w:sz="0" w:space="0" w:color="auto"/>
            <w:right w:val="none" w:sz="0" w:space="0" w:color="auto"/>
          </w:divBdr>
          <w:divsChild>
            <w:div w:id="437917439">
              <w:marLeft w:val="0"/>
              <w:marRight w:val="0"/>
              <w:marTop w:val="0"/>
              <w:marBottom w:val="0"/>
              <w:divBdr>
                <w:top w:val="none" w:sz="0" w:space="0" w:color="auto"/>
                <w:left w:val="none" w:sz="0" w:space="0" w:color="auto"/>
                <w:bottom w:val="none" w:sz="0" w:space="0" w:color="auto"/>
                <w:right w:val="none" w:sz="0" w:space="0" w:color="auto"/>
              </w:divBdr>
            </w:div>
            <w:div w:id="826940637">
              <w:marLeft w:val="0"/>
              <w:marRight w:val="0"/>
              <w:marTop w:val="0"/>
              <w:marBottom w:val="0"/>
              <w:divBdr>
                <w:top w:val="none" w:sz="0" w:space="0" w:color="auto"/>
                <w:left w:val="none" w:sz="0" w:space="0" w:color="auto"/>
                <w:bottom w:val="none" w:sz="0" w:space="0" w:color="auto"/>
                <w:right w:val="none" w:sz="0" w:space="0" w:color="auto"/>
              </w:divBdr>
            </w:div>
          </w:divsChild>
        </w:div>
        <w:div w:id="1713269882">
          <w:marLeft w:val="0"/>
          <w:marRight w:val="0"/>
          <w:marTop w:val="0"/>
          <w:marBottom w:val="0"/>
          <w:divBdr>
            <w:top w:val="none" w:sz="0" w:space="0" w:color="auto"/>
            <w:left w:val="none" w:sz="0" w:space="0" w:color="auto"/>
            <w:bottom w:val="none" w:sz="0" w:space="0" w:color="auto"/>
            <w:right w:val="none" w:sz="0" w:space="0" w:color="auto"/>
          </w:divBdr>
          <w:divsChild>
            <w:div w:id="439181771">
              <w:marLeft w:val="0"/>
              <w:marRight w:val="0"/>
              <w:marTop w:val="0"/>
              <w:marBottom w:val="0"/>
              <w:divBdr>
                <w:top w:val="none" w:sz="0" w:space="0" w:color="auto"/>
                <w:left w:val="none" w:sz="0" w:space="0" w:color="auto"/>
                <w:bottom w:val="none" w:sz="0" w:space="0" w:color="auto"/>
                <w:right w:val="none" w:sz="0" w:space="0" w:color="auto"/>
              </w:divBdr>
            </w:div>
            <w:div w:id="989098652">
              <w:marLeft w:val="0"/>
              <w:marRight w:val="0"/>
              <w:marTop w:val="0"/>
              <w:marBottom w:val="0"/>
              <w:divBdr>
                <w:top w:val="none" w:sz="0" w:space="0" w:color="auto"/>
                <w:left w:val="none" w:sz="0" w:space="0" w:color="auto"/>
                <w:bottom w:val="none" w:sz="0" w:space="0" w:color="auto"/>
                <w:right w:val="none" w:sz="0" w:space="0" w:color="auto"/>
              </w:divBdr>
            </w:div>
          </w:divsChild>
        </w:div>
        <w:div w:id="1454403151">
          <w:marLeft w:val="0"/>
          <w:marRight w:val="0"/>
          <w:marTop w:val="0"/>
          <w:marBottom w:val="0"/>
          <w:divBdr>
            <w:top w:val="none" w:sz="0" w:space="0" w:color="auto"/>
            <w:left w:val="none" w:sz="0" w:space="0" w:color="auto"/>
            <w:bottom w:val="none" w:sz="0" w:space="0" w:color="auto"/>
            <w:right w:val="none" w:sz="0" w:space="0" w:color="auto"/>
          </w:divBdr>
          <w:divsChild>
            <w:div w:id="1091118803">
              <w:marLeft w:val="0"/>
              <w:marRight w:val="0"/>
              <w:marTop w:val="0"/>
              <w:marBottom w:val="0"/>
              <w:divBdr>
                <w:top w:val="none" w:sz="0" w:space="0" w:color="auto"/>
                <w:left w:val="none" w:sz="0" w:space="0" w:color="auto"/>
                <w:bottom w:val="none" w:sz="0" w:space="0" w:color="auto"/>
                <w:right w:val="none" w:sz="0" w:space="0" w:color="auto"/>
              </w:divBdr>
            </w:div>
            <w:div w:id="302853275">
              <w:marLeft w:val="0"/>
              <w:marRight w:val="0"/>
              <w:marTop w:val="0"/>
              <w:marBottom w:val="0"/>
              <w:divBdr>
                <w:top w:val="none" w:sz="0" w:space="0" w:color="auto"/>
                <w:left w:val="none" w:sz="0" w:space="0" w:color="auto"/>
                <w:bottom w:val="none" w:sz="0" w:space="0" w:color="auto"/>
                <w:right w:val="none" w:sz="0" w:space="0" w:color="auto"/>
              </w:divBdr>
            </w:div>
          </w:divsChild>
        </w:div>
        <w:div w:id="1603223358">
          <w:marLeft w:val="0"/>
          <w:marRight w:val="0"/>
          <w:marTop w:val="0"/>
          <w:marBottom w:val="0"/>
          <w:divBdr>
            <w:top w:val="none" w:sz="0" w:space="0" w:color="auto"/>
            <w:left w:val="none" w:sz="0" w:space="0" w:color="auto"/>
            <w:bottom w:val="none" w:sz="0" w:space="0" w:color="auto"/>
            <w:right w:val="none" w:sz="0" w:space="0" w:color="auto"/>
          </w:divBdr>
          <w:divsChild>
            <w:div w:id="1595095124">
              <w:marLeft w:val="0"/>
              <w:marRight w:val="0"/>
              <w:marTop w:val="0"/>
              <w:marBottom w:val="0"/>
              <w:divBdr>
                <w:top w:val="none" w:sz="0" w:space="0" w:color="auto"/>
                <w:left w:val="none" w:sz="0" w:space="0" w:color="auto"/>
                <w:bottom w:val="none" w:sz="0" w:space="0" w:color="auto"/>
                <w:right w:val="none" w:sz="0" w:space="0" w:color="auto"/>
              </w:divBdr>
            </w:div>
            <w:div w:id="209532480">
              <w:marLeft w:val="0"/>
              <w:marRight w:val="0"/>
              <w:marTop w:val="0"/>
              <w:marBottom w:val="0"/>
              <w:divBdr>
                <w:top w:val="none" w:sz="0" w:space="0" w:color="auto"/>
                <w:left w:val="none" w:sz="0" w:space="0" w:color="auto"/>
                <w:bottom w:val="none" w:sz="0" w:space="0" w:color="auto"/>
                <w:right w:val="none" w:sz="0" w:space="0" w:color="auto"/>
              </w:divBdr>
            </w:div>
          </w:divsChild>
        </w:div>
        <w:div w:id="1091512622">
          <w:marLeft w:val="0"/>
          <w:marRight w:val="0"/>
          <w:marTop w:val="0"/>
          <w:marBottom w:val="0"/>
          <w:divBdr>
            <w:top w:val="none" w:sz="0" w:space="0" w:color="auto"/>
            <w:left w:val="none" w:sz="0" w:space="0" w:color="auto"/>
            <w:bottom w:val="none" w:sz="0" w:space="0" w:color="auto"/>
            <w:right w:val="none" w:sz="0" w:space="0" w:color="auto"/>
          </w:divBdr>
          <w:divsChild>
            <w:div w:id="836579563">
              <w:marLeft w:val="0"/>
              <w:marRight w:val="0"/>
              <w:marTop w:val="0"/>
              <w:marBottom w:val="0"/>
              <w:divBdr>
                <w:top w:val="none" w:sz="0" w:space="0" w:color="auto"/>
                <w:left w:val="none" w:sz="0" w:space="0" w:color="auto"/>
                <w:bottom w:val="none" w:sz="0" w:space="0" w:color="auto"/>
                <w:right w:val="none" w:sz="0" w:space="0" w:color="auto"/>
              </w:divBdr>
            </w:div>
            <w:div w:id="829910829">
              <w:marLeft w:val="0"/>
              <w:marRight w:val="0"/>
              <w:marTop w:val="0"/>
              <w:marBottom w:val="0"/>
              <w:divBdr>
                <w:top w:val="none" w:sz="0" w:space="0" w:color="auto"/>
                <w:left w:val="none" w:sz="0" w:space="0" w:color="auto"/>
                <w:bottom w:val="none" w:sz="0" w:space="0" w:color="auto"/>
                <w:right w:val="none" w:sz="0" w:space="0" w:color="auto"/>
              </w:divBdr>
            </w:div>
          </w:divsChild>
        </w:div>
        <w:div w:id="427388213">
          <w:marLeft w:val="0"/>
          <w:marRight w:val="0"/>
          <w:marTop w:val="0"/>
          <w:marBottom w:val="0"/>
          <w:divBdr>
            <w:top w:val="none" w:sz="0" w:space="0" w:color="auto"/>
            <w:left w:val="none" w:sz="0" w:space="0" w:color="auto"/>
            <w:bottom w:val="none" w:sz="0" w:space="0" w:color="auto"/>
            <w:right w:val="none" w:sz="0" w:space="0" w:color="auto"/>
          </w:divBdr>
          <w:divsChild>
            <w:div w:id="394816206">
              <w:marLeft w:val="0"/>
              <w:marRight w:val="0"/>
              <w:marTop w:val="0"/>
              <w:marBottom w:val="0"/>
              <w:divBdr>
                <w:top w:val="none" w:sz="0" w:space="0" w:color="auto"/>
                <w:left w:val="none" w:sz="0" w:space="0" w:color="auto"/>
                <w:bottom w:val="none" w:sz="0" w:space="0" w:color="auto"/>
                <w:right w:val="none" w:sz="0" w:space="0" w:color="auto"/>
              </w:divBdr>
            </w:div>
            <w:div w:id="145363513">
              <w:marLeft w:val="0"/>
              <w:marRight w:val="0"/>
              <w:marTop w:val="0"/>
              <w:marBottom w:val="0"/>
              <w:divBdr>
                <w:top w:val="none" w:sz="0" w:space="0" w:color="auto"/>
                <w:left w:val="none" w:sz="0" w:space="0" w:color="auto"/>
                <w:bottom w:val="none" w:sz="0" w:space="0" w:color="auto"/>
                <w:right w:val="none" w:sz="0" w:space="0" w:color="auto"/>
              </w:divBdr>
            </w:div>
          </w:divsChild>
        </w:div>
        <w:div w:id="974945088">
          <w:blockQuote w:val="1"/>
          <w:marLeft w:val="720"/>
          <w:marRight w:val="720"/>
          <w:marTop w:val="100"/>
          <w:marBottom w:val="100"/>
          <w:divBdr>
            <w:top w:val="none" w:sz="0" w:space="0" w:color="auto"/>
            <w:left w:val="none" w:sz="0" w:space="0" w:color="auto"/>
            <w:bottom w:val="none" w:sz="0" w:space="0" w:color="auto"/>
            <w:right w:val="none" w:sz="0" w:space="0" w:color="auto"/>
          </w:divBdr>
        </w:div>
        <w:div w:id="90329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24138320">
          <w:blockQuote w:val="1"/>
          <w:marLeft w:val="720"/>
          <w:marRight w:val="720"/>
          <w:marTop w:val="100"/>
          <w:marBottom w:val="100"/>
          <w:divBdr>
            <w:top w:val="none" w:sz="0" w:space="0" w:color="auto"/>
            <w:left w:val="none" w:sz="0" w:space="0" w:color="auto"/>
            <w:bottom w:val="none" w:sz="0" w:space="0" w:color="auto"/>
            <w:right w:val="none" w:sz="0" w:space="0" w:color="auto"/>
          </w:divBdr>
        </w:div>
        <w:div w:id="838077171">
          <w:marLeft w:val="0"/>
          <w:marRight w:val="0"/>
          <w:marTop w:val="0"/>
          <w:marBottom w:val="0"/>
          <w:divBdr>
            <w:top w:val="none" w:sz="0" w:space="0" w:color="auto"/>
            <w:left w:val="none" w:sz="0" w:space="0" w:color="auto"/>
            <w:bottom w:val="none" w:sz="0" w:space="0" w:color="auto"/>
            <w:right w:val="none" w:sz="0" w:space="0" w:color="auto"/>
          </w:divBdr>
          <w:divsChild>
            <w:div w:id="1916436076">
              <w:marLeft w:val="0"/>
              <w:marRight w:val="0"/>
              <w:marTop w:val="0"/>
              <w:marBottom w:val="0"/>
              <w:divBdr>
                <w:top w:val="none" w:sz="0" w:space="0" w:color="auto"/>
                <w:left w:val="none" w:sz="0" w:space="0" w:color="auto"/>
                <w:bottom w:val="none" w:sz="0" w:space="0" w:color="auto"/>
                <w:right w:val="none" w:sz="0" w:space="0" w:color="auto"/>
              </w:divBdr>
            </w:div>
            <w:div w:id="626550259">
              <w:marLeft w:val="0"/>
              <w:marRight w:val="0"/>
              <w:marTop w:val="0"/>
              <w:marBottom w:val="0"/>
              <w:divBdr>
                <w:top w:val="none" w:sz="0" w:space="0" w:color="auto"/>
                <w:left w:val="none" w:sz="0" w:space="0" w:color="auto"/>
                <w:bottom w:val="none" w:sz="0" w:space="0" w:color="auto"/>
                <w:right w:val="none" w:sz="0" w:space="0" w:color="auto"/>
              </w:divBdr>
            </w:div>
          </w:divsChild>
        </w:div>
        <w:div w:id="428237328">
          <w:marLeft w:val="0"/>
          <w:marRight w:val="0"/>
          <w:marTop w:val="0"/>
          <w:marBottom w:val="0"/>
          <w:divBdr>
            <w:top w:val="none" w:sz="0" w:space="0" w:color="auto"/>
            <w:left w:val="none" w:sz="0" w:space="0" w:color="auto"/>
            <w:bottom w:val="none" w:sz="0" w:space="0" w:color="auto"/>
            <w:right w:val="none" w:sz="0" w:space="0" w:color="auto"/>
          </w:divBdr>
          <w:divsChild>
            <w:div w:id="679889709">
              <w:marLeft w:val="0"/>
              <w:marRight w:val="0"/>
              <w:marTop w:val="0"/>
              <w:marBottom w:val="0"/>
              <w:divBdr>
                <w:top w:val="none" w:sz="0" w:space="0" w:color="auto"/>
                <w:left w:val="none" w:sz="0" w:space="0" w:color="auto"/>
                <w:bottom w:val="none" w:sz="0" w:space="0" w:color="auto"/>
                <w:right w:val="none" w:sz="0" w:space="0" w:color="auto"/>
              </w:divBdr>
            </w:div>
            <w:div w:id="704330900">
              <w:marLeft w:val="0"/>
              <w:marRight w:val="0"/>
              <w:marTop w:val="0"/>
              <w:marBottom w:val="0"/>
              <w:divBdr>
                <w:top w:val="none" w:sz="0" w:space="0" w:color="auto"/>
                <w:left w:val="none" w:sz="0" w:space="0" w:color="auto"/>
                <w:bottom w:val="none" w:sz="0" w:space="0" w:color="auto"/>
                <w:right w:val="none" w:sz="0" w:space="0" w:color="auto"/>
              </w:divBdr>
            </w:div>
          </w:divsChild>
        </w:div>
        <w:div w:id="445123634">
          <w:marLeft w:val="0"/>
          <w:marRight w:val="0"/>
          <w:marTop w:val="0"/>
          <w:marBottom w:val="0"/>
          <w:divBdr>
            <w:top w:val="none" w:sz="0" w:space="0" w:color="auto"/>
            <w:left w:val="none" w:sz="0" w:space="0" w:color="auto"/>
            <w:bottom w:val="none" w:sz="0" w:space="0" w:color="auto"/>
            <w:right w:val="none" w:sz="0" w:space="0" w:color="auto"/>
          </w:divBdr>
          <w:divsChild>
            <w:div w:id="1108424888">
              <w:marLeft w:val="0"/>
              <w:marRight w:val="0"/>
              <w:marTop w:val="0"/>
              <w:marBottom w:val="0"/>
              <w:divBdr>
                <w:top w:val="none" w:sz="0" w:space="0" w:color="auto"/>
                <w:left w:val="none" w:sz="0" w:space="0" w:color="auto"/>
                <w:bottom w:val="none" w:sz="0" w:space="0" w:color="auto"/>
                <w:right w:val="none" w:sz="0" w:space="0" w:color="auto"/>
              </w:divBdr>
            </w:div>
            <w:div w:id="1143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18477">
      <w:bodyDiv w:val="1"/>
      <w:marLeft w:val="0"/>
      <w:marRight w:val="0"/>
      <w:marTop w:val="0"/>
      <w:marBottom w:val="0"/>
      <w:divBdr>
        <w:top w:val="none" w:sz="0" w:space="0" w:color="auto"/>
        <w:left w:val="none" w:sz="0" w:space="0" w:color="auto"/>
        <w:bottom w:val="none" w:sz="0" w:space="0" w:color="auto"/>
        <w:right w:val="none" w:sz="0" w:space="0" w:color="auto"/>
      </w:divBdr>
    </w:div>
    <w:div w:id="1843466969">
      <w:bodyDiv w:val="1"/>
      <w:marLeft w:val="0"/>
      <w:marRight w:val="0"/>
      <w:marTop w:val="0"/>
      <w:marBottom w:val="0"/>
      <w:divBdr>
        <w:top w:val="none" w:sz="0" w:space="0" w:color="auto"/>
        <w:left w:val="none" w:sz="0" w:space="0" w:color="auto"/>
        <w:bottom w:val="none" w:sz="0" w:space="0" w:color="auto"/>
        <w:right w:val="none" w:sz="0" w:space="0" w:color="auto"/>
      </w:divBdr>
      <w:divsChild>
        <w:div w:id="457840027">
          <w:marLeft w:val="0"/>
          <w:marRight w:val="0"/>
          <w:marTop w:val="0"/>
          <w:marBottom w:val="0"/>
          <w:divBdr>
            <w:top w:val="none" w:sz="0" w:space="0" w:color="auto"/>
            <w:left w:val="none" w:sz="0" w:space="0" w:color="auto"/>
            <w:bottom w:val="none" w:sz="0" w:space="0" w:color="auto"/>
            <w:right w:val="none" w:sz="0" w:space="0" w:color="auto"/>
          </w:divBdr>
        </w:div>
        <w:div w:id="634066722">
          <w:marLeft w:val="0"/>
          <w:marRight w:val="0"/>
          <w:marTop w:val="0"/>
          <w:marBottom w:val="0"/>
          <w:divBdr>
            <w:top w:val="none" w:sz="0" w:space="0" w:color="auto"/>
            <w:left w:val="none" w:sz="0" w:space="0" w:color="auto"/>
            <w:bottom w:val="none" w:sz="0" w:space="0" w:color="auto"/>
            <w:right w:val="none" w:sz="0" w:space="0" w:color="auto"/>
          </w:divBdr>
        </w:div>
        <w:div w:id="673068662">
          <w:marLeft w:val="0"/>
          <w:marRight w:val="0"/>
          <w:marTop w:val="0"/>
          <w:marBottom w:val="0"/>
          <w:divBdr>
            <w:top w:val="none" w:sz="0" w:space="0" w:color="auto"/>
            <w:left w:val="none" w:sz="0" w:space="0" w:color="auto"/>
            <w:bottom w:val="none" w:sz="0" w:space="0" w:color="auto"/>
            <w:right w:val="none" w:sz="0" w:space="0" w:color="auto"/>
          </w:divBdr>
        </w:div>
      </w:divsChild>
    </w:div>
    <w:div w:id="1848060160">
      <w:bodyDiv w:val="1"/>
      <w:marLeft w:val="0"/>
      <w:marRight w:val="0"/>
      <w:marTop w:val="0"/>
      <w:marBottom w:val="0"/>
      <w:divBdr>
        <w:top w:val="none" w:sz="0" w:space="0" w:color="auto"/>
        <w:left w:val="none" w:sz="0" w:space="0" w:color="auto"/>
        <w:bottom w:val="none" w:sz="0" w:space="0" w:color="auto"/>
        <w:right w:val="none" w:sz="0" w:space="0" w:color="auto"/>
      </w:divBdr>
    </w:div>
    <w:div w:id="1923949663">
      <w:bodyDiv w:val="1"/>
      <w:marLeft w:val="0"/>
      <w:marRight w:val="0"/>
      <w:marTop w:val="0"/>
      <w:marBottom w:val="0"/>
      <w:divBdr>
        <w:top w:val="none" w:sz="0" w:space="0" w:color="auto"/>
        <w:left w:val="none" w:sz="0" w:space="0" w:color="auto"/>
        <w:bottom w:val="none" w:sz="0" w:space="0" w:color="auto"/>
        <w:right w:val="none" w:sz="0" w:space="0" w:color="auto"/>
      </w:divBdr>
    </w:div>
    <w:div w:id="193366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23</Pages>
  <Words>3251</Words>
  <Characters>18531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Dandi</dc:creator>
  <cp:keywords/>
  <dc:description/>
  <cp:lastModifiedBy>Pawan Dandi</cp:lastModifiedBy>
  <cp:revision>4</cp:revision>
  <dcterms:created xsi:type="dcterms:W3CDTF">2026-03-04T19:12:00Z</dcterms:created>
  <dcterms:modified xsi:type="dcterms:W3CDTF">2026-03-05T18:35:00Z</dcterms:modified>
</cp:coreProperties>
</file>