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B2A4A"/>
          <w:sz w:val="40"/>
        </w:rPr>
        <w:t>Defense Knowledge Intelligence Platform</w:t>
      </w:r>
    </w:p>
    <w:p>
      <w:r>
        <w:rPr>
          <w:rFonts w:ascii="Calibri" w:hAnsi="Calibri"/>
          <w:b w:val="0"/>
          <w:i w:val="0"/>
          <w:color w:val="1F4E79"/>
          <w:sz w:val="23"/>
        </w:rPr>
        <w:t>AI knowledge assistant for defense documentation — grounded search, summarization, reporting and dashboards (POC).</w:t>
      </w:r>
    </w:p>
    <w:p>
      <w:pPr>
        <w:pBdr>
          <w:bottom w:val="single" w:sz="6" w:space="6" w:color="1F4E79"/>
        </w:pBdr>
      </w:pPr>
      <w:r>
        <w:rPr>
          <w:color w:val="595959"/>
          <w:sz w:val="17"/>
        </w:rPr>
        <w:t>Version 1.0  ·  17 July 2026  ·  UNCLASSIFIED // FOR DEMONSTRATION  ·  Internal engineering spec  ·  POC 1 (DKIP)</w:t>
      </w:r>
    </w:p>
    <w:p>
      <w:pPr>
        <w:spacing w:after="80"/>
      </w:pPr>
    </w:p>
    <w:p>
      <w:pPr>
        <w:pStyle w:val="Heading1"/>
      </w:pPr>
      <w:r>
        <w:t>1. Overview</w:t>
      </w:r>
    </w:p>
    <w:p>
      <w:pPr>
        <w:pStyle w:val="Heading2"/>
      </w:pPr>
      <w:r>
        <w:t>1.1 Problem</w:t>
      </w:r>
    </w:p>
    <w:p>
      <w:pPr>
        <w:spacing w:after="120"/>
      </w:pPr>
      <w:r>
        <w:rPr>
          <w:i w:val="0"/>
          <w:sz w:val="21"/>
        </w:rPr>
        <w:t>Defense organizations generate and maintain enormous volumes of technical documentation across the equipment and operational lifecycle — operational manuals, SOPs, maintenance records, engineering documents, inspection reports, logistics data, training material and historical operational records. This content is spread across multiple systems and formats, so retrieval is slow and manual. Personnel spend significant time locating documents, reading multiple manuals and preparing reports before they can make an operational or maintenance decision. The knowledge exists; finding, synthesizing and citing it quickly is the bottleneck.</w:t>
      </w:r>
    </w:p>
    <w:p>
      <w:pPr>
        <w:pStyle w:val="Heading2"/>
      </w:pPr>
      <w:r>
        <w:t>1.2 Solution</w:t>
      </w:r>
    </w:p>
    <w:p>
      <w:pPr>
        <w:spacing w:after="120"/>
      </w:pPr>
      <w:r>
        <w:rPr>
          <w:i w:val="0"/>
          <w:sz w:val="21"/>
        </w:rPr>
        <w:t>A platform that lets authorized personnel ask questions in natural language over the organization's own documents and get accurate, cited answers. It runs Retrieval-Augmented Generation (RAG) over an internal corpus: it retrieves the relevant passages, answers only from them, and attaches source citations to every response. On top of the same retrieval core it summarizes documents, generates reports from templates, and renders operational dashboards over structured data. Every call to an AI model goes through a single model gateway, so the demo can use a hosted model while production runs fully local and air-gapped — with no application-code change.</w:t>
      </w:r>
    </w:p>
    <w:p>
      <w:pPr>
        <w:pStyle w:val="Heading2"/>
      </w:pPr>
      <w:r>
        <w:t>1.3 POC Goal</w:t>
      </w:r>
    </w:p>
    <w:p>
      <w:pPr>
        <w:spacing w:after="120"/>
      </w:pPr>
      <w:r>
        <w:rPr>
          <w:i w:val="0"/>
          <w:sz w:val="21"/>
        </w:rPr>
        <w:t>Deliver a polished, demonstrable end-to-end workflow over realistic but entirely fictional defense documents: ask a question, get a grounded, cited answer; summarize a manual; generate a report; view a dashboard; and switch the AI provider from cloud to local without touching application code. The POC is a demonstration platform and reusable foundation, not a production-accredited system.</w:t>
      </w:r>
    </w:p>
    <w:p>
      <w:pPr>
        <w:pStyle w:val="Heading1"/>
      </w:pPr>
      <w:r>
        <w:t>2. Goals &amp; Success Metrics</w:t>
      </w:r>
    </w:p>
    <w:p>
      <w:pPr>
        <w:pStyle w:val="Heading2"/>
      </w:pPr>
      <w:r>
        <w:t>2.1 Product goals</w:t>
      </w:r>
    </w:p>
    <w:p>
      <w:pPr>
        <w:pStyle w:val="ListBullet"/>
        <w:spacing w:after="40"/>
      </w:pPr>
      <w:r>
        <w:rPr>
          <w:b/>
        </w:rPr>
        <w:t xml:space="preserve">Grounded answers. </w:t>
      </w:r>
      <w:r>
        <w:t>Every answer is supported by retrieved source passages and carries citations.</w:t>
      </w:r>
    </w:p>
    <w:p>
      <w:pPr>
        <w:pStyle w:val="ListBullet"/>
        <w:spacing w:after="40"/>
      </w:pPr>
      <w:r>
        <w:rPr>
          <w:b/>
        </w:rPr>
        <w:t xml:space="preserve">Fast retrieval. </w:t>
      </w:r>
      <w:r>
        <w:t>Reduce time-to-answer from hours of manual search to seconds.</w:t>
      </w:r>
    </w:p>
    <w:p>
      <w:pPr>
        <w:pStyle w:val="ListBullet"/>
        <w:spacing w:after="40"/>
      </w:pPr>
      <w:r>
        <w:rPr>
          <w:b/>
        </w:rPr>
        <w:t xml:space="preserve">No hallucination. </w:t>
      </w:r>
      <w:r>
        <w:t>The system abstains when the corpus does not contain the answer.</w:t>
      </w:r>
    </w:p>
    <w:p>
      <w:pPr>
        <w:pStyle w:val="ListBullet"/>
        <w:spacing w:after="40"/>
      </w:pPr>
      <w:r>
        <w:rPr>
          <w:b/>
        </w:rPr>
        <w:t xml:space="preserve">Reduce manual effort. </w:t>
      </w:r>
      <w:r>
        <w:t>Automate summarization and first-draft report generation.</w:t>
      </w:r>
    </w:p>
    <w:p>
      <w:pPr>
        <w:pStyle w:val="ListBullet"/>
        <w:spacing w:after="40"/>
      </w:pPr>
      <w:r>
        <w:rPr>
          <w:b/>
        </w:rPr>
        <w:t xml:space="preserve">Air-gap ready. </w:t>
      </w:r>
      <w:r>
        <w:t>Prove the cloud-to-local model swap behind the gateway with zero code change.</w:t>
      </w:r>
    </w:p>
    <w:p>
      <w:pPr>
        <w:pStyle w:val="ListBullet"/>
        <w:spacing w:after="40"/>
      </w:pPr>
      <w:r>
        <w:rPr>
          <w:b/>
        </w:rPr>
        <w:t xml:space="preserve">Modular core. </w:t>
      </w:r>
      <w:r>
        <w:t>Retrieval and generation are cleanly separated behind the model gateway, so the platform can be customized per department.</w:t>
      </w:r>
    </w:p>
    <w:p>
      <w:pPr>
        <w:spacing w:after="120"/>
      </w:pPr>
      <w:r>
        <w:rPr>
          <w:i w:val="0"/>
          <w:sz w:val="21"/>
        </w:rPr>
        <w:t>Success metrics (measured on the offline golden set, Section 7):</w:t>
      </w:r>
    </w:p>
    <w:tbl>
      <w:tblPr>
        <w:tblStyle w:val="TableGrid"/>
        <w:tblW w:type="auto" w:w="0"/>
        <w:jc w:val="center"/>
        <w:tblLayout w:type="fixed"/>
        <w:tblLook w:firstColumn="1" w:firstRow="1" w:lastColumn="0" w:lastRow="0" w:noHBand="0" w:noVBand="1" w:val="04A0"/>
        <w:tblLayout w:type="fixed"/>
      </w:tblPr>
      <w:tblGrid>
        <w:gridCol w:w="3061"/>
        <w:gridCol w:w="3061"/>
        <w:gridCol w:w="3061"/>
      </w:tblGrid>
      <w:tr>
        <w:tc>
          <w:tcPr>
            <w:tcW w:type="dxa" w:w="2448"/>
            <w:shd w:val="clear" w:color="auto" w:fill="1F4E79"/>
            <w:tcMar>
              <w:top w:w="40" w:type="dxa"/>
              <w:bottom w:w="40" w:type="dxa"/>
              <w:start w:w="80" w:type="dxa"/>
              <w:end w:w="80" w:type="dxa"/>
            </w:tcMar>
          </w:tcPr>
          <w:p>
            <w:r>
              <w:rPr>
                <w:rFonts w:ascii="Calibri" w:hAnsi="Calibri"/>
                <w:b/>
                <w:i w:val="0"/>
                <w:color w:val="FFFFFF"/>
                <w:sz w:val="18"/>
              </w:rPr>
              <w:t>Metric</w:t>
            </w:r>
          </w:p>
        </w:tc>
        <w:tc>
          <w:tcPr>
            <w:tcW w:type="dxa" w:w="3888"/>
            <w:shd w:val="clear" w:color="auto" w:fill="1F4E79"/>
            <w:tcMar>
              <w:top w:w="40" w:type="dxa"/>
              <w:bottom w:w="40" w:type="dxa"/>
              <w:start w:w="80" w:type="dxa"/>
              <w:end w:w="80" w:type="dxa"/>
            </w:tcMar>
          </w:tcPr>
          <w:p>
            <w:r>
              <w:rPr>
                <w:rFonts w:ascii="Calibri" w:hAnsi="Calibri"/>
                <w:b/>
                <w:i w:val="0"/>
                <w:color w:val="FFFFFF"/>
                <w:sz w:val="18"/>
              </w:rPr>
              <w:t>Definition</w:t>
            </w:r>
          </w:p>
        </w:tc>
        <w:tc>
          <w:tcPr>
            <w:tcW w:type="dxa" w:w="2880"/>
            <w:shd w:val="clear" w:color="auto" w:fill="1F4E79"/>
            <w:tcMar>
              <w:top w:w="40" w:type="dxa"/>
              <w:bottom w:w="40" w:type="dxa"/>
              <w:start w:w="80" w:type="dxa"/>
              <w:end w:w="80" w:type="dxa"/>
            </w:tcMar>
          </w:tcPr>
          <w:p>
            <w:r>
              <w:rPr>
                <w:rFonts w:ascii="Calibri" w:hAnsi="Calibri"/>
                <w:b/>
                <w:i w:val="0"/>
                <w:color w:val="FFFFFF"/>
                <w:sz w:val="18"/>
              </w:rPr>
              <w:t>POC target</w:t>
            </w:r>
          </w:p>
        </w:tc>
      </w:tr>
      <w:tr>
        <w:tc>
          <w:tcPr>
            <w:tcW w:type="dxa" w:w="2448"/>
            <w:tcMar>
              <w:top w:w="40" w:type="dxa"/>
              <w:bottom w:w="40" w:type="dxa"/>
              <w:start w:w="80" w:type="dxa"/>
              <w:end w:w="80" w:type="dxa"/>
            </w:tcMar>
          </w:tcPr>
          <w:p>
            <w:r>
              <w:rPr>
                <w:sz w:val="17"/>
              </w:rPr>
              <w:t>Retrieval hit-rate / MRR</w:t>
            </w:r>
          </w:p>
        </w:tc>
        <w:tc>
          <w:tcPr>
            <w:tcW w:type="dxa" w:w="3888"/>
            <w:tcMar>
              <w:top w:w="40" w:type="dxa"/>
              <w:bottom w:w="40" w:type="dxa"/>
              <w:start w:w="80" w:type="dxa"/>
              <w:end w:w="80" w:type="dxa"/>
            </w:tcMar>
          </w:tcPr>
          <w:p>
            <w:r>
              <w:rPr>
                <w:sz w:val="17"/>
              </w:rPr>
              <w:t>Correct passage present in top-k / its rank</w:t>
            </w:r>
          </w:p>
        </w:tc>
        <w:tc>
          <w:tcPr>
            <w:tcW w:type="dxa" w:w="2880"/>
            <w:tcMar>
              <w:top w:w="40" w:type="dxa"/>
              <w:bottom w:w="40" w:type="dxa"/>
              <w:start w:w="80" w:type="dxa"/>
              <w:end w:w="80" w:type="dxa"/>
            </w:tcMar>
          </w:tcPr>
          <w:p>
            <w:r>
              <w:rPr>
                <w:sz w:val="17"/>
              </w:rPr>
              <w:t>Meets agreed threshold on golden set</w:t>
            </w:r>
          </w:p>
        </w:tc>
      </w:tr>
      <w:tr>
        <w:tc>
          <w:tcPr>
            <w:tcW w:type="dxa" w:w="2448"/>
            <w:tcMar>
              <w:top w:w="40" w:type="dxa"/>
              <w:bottom w:w="40" w:type="dxa"/>
              <w:start w:w="80" w:type="dxa"/>
              <w:end w:w="80" w:type="dxa"/>
            </w:tcMar>
            <w:shd w:val="clear" w:color="auto" w:fill="EAF0F6"/>
          </w:tcPr>
          <w:p>
            <w:r>
              <w:rPr>
                <w:sz w:val="17"/>
              </w:rPr>
              <w:t>Answer faithfulness</w:t>
            </w:r>
          </w:p>
        </w:tc>
        <w:tc>
          <w:tcPr>
            <w:tcW w:type="dxa" w:w="3888"/>
            <w:tcMar>
              <w:top w:w="40" w:type="dxa"/>
              <w:bottom w:w="40" w:type="dxa"/>
              <w:start w:w="80" w:type="dxa"/>
              <w:end w:w="80" w:type="dxa"/>
            </w:tcMar>
            <w:shd w:val="clear" w:color="auto" w:fill="EAF0F6"/>
          </w:tcPr>
          <w:p>
            <w:r>
              <w:rPr>
                <w:sz w:val="17"/>
              </w:rPr>
              <w:t>Answer fully supported by cited sources</w:t>
            </w:r>
          </w:p>
        </w:tc>
        <w:tc>
          <w:tcPr>
            <w:tcW w:type="dxa" w:w="2880"/>
            <w:tcMar>
              <w:top w:w="40" w:type="dxa"/>
              <w:bottom w:w="40" w:type="dxa"/>
              <w:start w:w="80" w:type="dxa"/>
              <w:end w:w="80" w:type="dxa"/>
            </w:tcMar>
            <w:shd w:val="clear" w:color="auto" w:fill="EAF0F6"/>
          </w:tcPr>
          <w:p>
            <w:r>
              <w:rPr>
                <w:sz w:val="17"/>
              </w:rPr>
              <w:t>High majority of answers fully grounded</w:t>
            </w:r>
          </w:p>
        </w:tc>
      </w:tr>
      <w:tr>
        <w:tc>
          <w:tcPr>
            <w:tcW w:type="dxa" w:w="2448"/>
            <w:tcMar>
              <w:top w:w="40" w:type="dxa"/>
              <w:bottom w:w="40" w:type="dxa"/>
              <w:start w:w="80" w:type="dxa"/>
              <w:end w:w="80" w:type="dxa"/>
            </w:tcMar>
          </w:tcPr>
          <w:p>
            <w:r>
              <w:rPr>
                <w:sz w:val="17"/>
              </w:rPr>
              <w:t>Citation correctness</w:t>
            </w:r>
          </w:p>
        </w:tc>
        <w:tc>
          <w:tcPr>
            <w:tcW w:type="dxa" w:w="3888"/>
            <w:tcMar>
              <w:top w:w="40" w:type="dxa"/>
              <w:bottom w:w="40" w:type="dxa"/>
              <w:start w:w="80" w:type="dxa"/>
              <w:end w:w="80" w:type="dxa"/>
            </w:tcMar>
          </w:tcPr>
          <w:p>
            <w:r>
              <w:rPr>
                <w:sz w:val="17"/>
              </w:rPr>
              <w:t>Citation resolves to the supporting passage</w:t>
            </w:r>
          </w:p>
        </w:tc>
        <w:tc>
          <w:tcPr>
            <w:tcW w:type="dxa" w:w="2880"/>
            <w:tcMar>
              <w:top w:w="40" w:type="dxa"/>
              <w:bottom w:w="40" w:type="dxa"/>
              <w:start w:w="80" w:type="dxa"/>
              <w:end w:w="80" w:type="dxa"/>
            </w:tcMar>
          </w:tcPr>
          <w:p>
            <w:r>
              <w:rPr>
                <w:sz w:val="17"/>
              </w:rPr>
              <w:t>Citations resolve on the golden set</w:t>
            </w:r>
          </w:p>
        </w:tc>
      </w:tr>
      <w:tr>
        <w:tc>
          <w:tcPr>
            <w:tcW w:type="dxa" w:w="2448"/>
            <w:tcMar>
              <w:top w:w="40" w:type="dxa"/>
              <w:bottom w:w="40" w:type="dxa"/>
              <w:start w:w="80" w:type="dxa"/>
              <w:end w:w="80" w:type="dxa"/>
            </w:tcMar>
            <w:shd w:val="clear" w:color="auto" w:fill="EAF0F6"/>
          </w:tcPr>
          <w:p>
            <w:r>
              <w:rPr>
                <w:sz w:val="17"/>
              </w:rPr>
              <w:t>Abstention correctness</w:t>
            </w:r>
          </w:p>
        </w:tc>
        <w:tc>
          <w:tcPr>
            <w:tcW w:type="dxa" w:w="3888"/>
            <w:tcMar>
              <w:top w:w="40" w:type="dxa"/>
              <w:bottom w:w="40" w:type="dxa"/>
              <w:start w:w="80" w:type="dxa"/>
              <w:end w:w="80" w:type="dxa"/>
            </w:tcMar>
            <w:shd w:val="clear" w:color="auto" w:fill="EAF0F6"/>
          </w:tcPr>
          <w:p>
            <w:r>
              <w:rPr>
                <w:sz w:val="17"/>
              </w:rPr>
              <w:t>Declines on out-of-corpus questions</w:t>
            </w:r>
          </w:p>
        </w:tc>
        <w:tc>
          <w:tcPr>
            <w:tcW w:type="dxa" w:w="2880"/>
            <w:tcMar>
              <w:top w:w="40" w:type="dxa"/>
              <w:bottom w:w="40" w:type="dxa"/>
              <w:start w:w="80" w:type="dxa"/>
              <w:end w:w="80" w:type="dxa"/>
            </w:tcMar>
            <w:shd w:val="clear" w:color="auto" w:fill="EAF0F6"/>
          </w:tcPr>
          <w:p>
            <w:r>
              <w:rPr>
                <w:sz w:val="17"/>
              </w:rPr>
              <w:t>Out-of-corpus questions refused, not fabricated</w:t>
            </w:r>
          </w:p>
        </w:tc>
      </w:tr>
      <w:tr>
        <w:tc>
          <w:tcPr>
            <w:tcW w:type="dxa" w:w="2448"/>
            <w:tcMar>
              <w:top w:w="40" w:type="dxa"/>
              <w:bottom w:w="40" w:type="dxa"/>
              <w:start w:w="80" w:type="dxa"/>
              <w:end w:w="80" w:type="dxa"/>
            </w:tcMar>
          </w:tcPr>
          <w:p>
            <w:r>
              <w:rPr>
                <w:sz w:val="17"/>
              </w:rPr>
              <w:t>Time-to-answer (p95)</w:t>
            </w:r>
          </w:p>
        </w:tc>
        <w:tc>
          <w:tcPr>
            <w:tcW w:type="dxa" w:w="3888"/>
            <w:tcMar>
              <w:top w:w="40" w:type="dxa"/>
              <w:bottom w:w="40" w:type="dxa"/>
              <w:start w:w="80" w:type="dxa"/>
              <w:end w:w="80" w:type="dxa"/>
            </w:tcMar>
          </w:tcPr>
          <w:p>
            <w:r>
              <w:rPr>
                <w:sz w:val="17"/>
              </w:rPr>
              <w:t>Query submit to answer rendered</w:t>
            </w:r>
          </w:p>
        </w:tc>
        <w:tc>
          <w:tcPr>
            <w:tcW w:type="dxa" w:w="2880"/>
            <w:tcMar>
              <w:top w:w="40" w:type="dxa"/>
              <w:bottom w:w="40" w:type="dxa"/>
              <w:start w:w="80" w:type="dxa"/>
              <w:end w:w="80" w:type="dxa"/>
            </w:tcMar>
          </w:tcPr>
          <w:p>
            <w:r>
              <w:rPr>
                <w:sz w:val="17"/>
              </w:rPr>
              <w:t>Within agreed demo target on demo hardware</w:t>
            </w:r>
          </w:p>
        </w:tc>
      </w:tr>
    </w:tbl>
    <w:p>
      <w:pPr>
        <w:spacing w:after="40"/>
      </w:pPr>
    </w:p>
    <w:p>
      <w:pPr>
        <w:pStyle w:val="Heading2"/>
      </w:pPr>
      <w:r>
        <w:t>2.2 Non-goals (POC)</w:t>
      </w:r>
    </w:p>
    <w:p>
      <w:pPr>
        <w:pStyle w:val="ListBullet"/>
        <w:spacing w:after="40"/>
      </w:pPr>
      <w:r>
        <w:t>Production security accreditation / ATO (target posture documented, not certified).</w:t>
      </w:r>
    </w:p>
    <w:p>
      <w:pPr>
        <w:pStyle w:val="ListBullet"/>
        <w:spacing w:after="40"/>
      </w:pPr>
      <w:r>
        <w:t>Write-back into authoritative systems of record (DKIP is read/advisory in the POC).</w:t>
      </w:r>
    </w:p>
    <w:p>
      <w:pPr>
        <w:pStyle w:val="ListBullet"/>
        <w:spacing w:after="40"/>
      </w:pPr>
      <w:r>
        <w:t>Ingestion of real classified or sensitive data (all POC data is fictional).</w:t>
      </w:r>
    </w:p>
    <w:p>
      <w:pPr>
        <w:pStyle w:val="ListBullet"/>
        <w:spacing w:after="40"/>
      </w:pPr>
      <w:r>
        <w:t>Native mobile apps (responsive web only).</w:t>
      </w:r>
    </w:p>
    <w:p>
      <w:pPr>
        <w:pStyle w:val="ListBullet"/>
        <w:spacing w:after="40"/>
      </w:pPr>
      <w:r>
        <w:t>Integration with live classified systems.</w:t>
      </w:r>
    </w:p>
    <w:p>
      <w:pPr>
        <w:pStyle w:val="Heading1"/>
      </w:pPr>
      <w:r>
        <w:t>3. Users &amp; Roles</w:t>
      </w:r>
    </w:p>
    <w:p>
      <w:pPr>
        <w:spacing w:after="120"/>
      </w:pPr>
      <w:r>
        <w:rPr>
          <w:i w:val="0"/>
          <w:sz w:val="21"/>
        </w:rPr>
        <w:t>The platform has two roles.</w:t>
      </w:r>
    </w:p>
    <w:tbl>
      <w:tblPr>
        <w:tblStyle w:val="TableGrid"/>
        <w:tblW w:type="auto" w:w="0"/>
        <w:jc w:val="center"/>
        <w:tblLayout w:type="fixed"/>
        <w:tblLook w:firstColumn="1" w:firstRow="1" w:lastColumn="0" w:lastRow="0" w:noHBand="0" w:noVBand="1" w:val="04A0"/>
        <w:tblLayout w:type="fixed"/>
      </w:tblPr>
      <w:tblGrid>
        <w:gridCol w:w="3061"/>
        <w:gridCol w:w="3061"/>
        <w:gridCol w:w="3061"/>
      </w:tblGrid>
      <w:tr>
        <w:tc>
          <w:tcPr>
            <w:tcW w:type="dxa" w:w="1728"/>
            <w:shd w:val="clear" w:color="auto" w:fill="1F4E79"/>
            <w:tcMar>
              <w:top w:w="40" w:type="dxa"/>
              <w:bottom w:w="40" w:type="dxa"/>
              <w:start w:w="80" w:type="dxa"/>
              <w:end w:w="80" w:type="dxa"/>
            </w:tcMar>
          </w:tcPr>
          <w:p>
            <w:r>
              <w:rPr>
                <w:rFonts w:ascii="Calibri" w:hAnsi="Calibri"/>
                <w:b/>
                <w:i w:val="0"/>
                <w:color w:val="FFFFFF"/>
                <w:sz w:val="19"/>
              </w:rPr>
              <w:t>Role</w:t>
            </w:r>
          </w:p>
        </w:tc>
        <w:tc>
          <w:tcPr>
            <w:tcW w:type="dxa" w:w="3312"/>
            <w:shd w:val="clear" w:color="auto" w:fill="1F4E79"/>
            <w:tcMar>
              <w:top w:w="40" w:type="dxa"/>
              <w:bottom w:w="40" w:type="dxa"/>
              <w:start w:w="80" w:type="dxa"/>
              <w:end w:w="80" w:type="dxa"/>
            </w:tcMar>
          </w:tcPr>
          <w:p>
            <w:r>
              <w:rPr>
                <w:rFonts w:ascii="Calibri" w:hAnsi="Calibri"/>
                <w:b/>
                <w:i w:val="0"/>
                <w:color w:val="FFFFFF"/>
                <w:sz w:val="19"/>
              </w:rPr>
              <w:t>Who they are</w:t>
            </w:r>
          </w:p>
        </w:tc>
        <w:tc>
          <w:tcPr>
            <w:tcW w:type="dxa" w:w="4176"/>
            <w:shd w:val="clear" w:color="auto" w:fill="1F4E79"/>
            <w:tcMar>
              <w:top w:w="40" w:type="dxa"/>
              <w:bottom w:w="40" w:type="dxa"/>
              <w:start w:w="80" w:type="dxa"/>
              <w:end w:w="80" w:type="dxa"/>
            </w:tcMar>
          </w:tcPr>
          <w:p>
            <w:r>
              <w:rPr>
                <w:rFonts w:ascii="Calibri" w:hAnsi="Calibri"/>
                <w:b/>
                <w:i w:val="0"/>
                <w:color w:val="FFFFFF"/>
                <w:sz w:val="19"/>
              </w:rPr>
              <w:t>What they do</w:t>
            </w:r>
          </w:p>
        </w:tc>
      </w:tr>
      <w:tr>
        <w:tc>
          <w:tcPr>
            <w:tcW w:type="dxa" w:w="1728"/>
            <w:tcMar>
              <w:top w:w="40" w:type="dxa"/>
              <w:bottom w:w="40" w:type="dxa"/>
              <w:start w:w="80" w:type="dxa"/>
              <w:end w:w="80" w:type="dxa"/>
            </w:tcMar>
          </w:tcPr>
          <w:p>
            <w:r>
              <w:rPr>
                <w:sz w:val="18"/>
              </w:rPr>
              <w:t>Admin</w:t>
            </w:r>
          </w:p>
        </w:tc>
        <w:tc>
          <w:tcPr>
            <w:tcW w:type="dxa" w:w="3312"/>
            <w:tcMar>
              <w:top w:w="40" w:type="dxa"/>
              <w:bottom w:w="40" w:type="dxa"/>
              <w:start w:w="80" w:type="dxa"/>
              <w:end w:w="80" w:type="dxa"/>
            </w:tcMar>
          </w:tcPr>
          <w:p>
            <w:r>
              <w:rPr>
                <w:sz w:val="18"/>
              </w:rPr>
              <w:t>Manages the platform and its content</w:t>
            </w:r>
          </w:p>
        </w:tc>
        <w:tc>
          <w:tcPr>
            <w:tcW w:type="dxa" w:w="4176"/>
            <w:tcMar>
              <w:top w:w="40" w:type="dxa"/>
              <w:bottom w:w="40" w:type="dxa"/>
              <w:start w:w="80" w:type="dxa"/>
              <w:end w:w="80" w:type="dxa"/>
            </w:tcMar>
          </w:tcPr>
          <w:p>
            <w:r>
              <w:rPr>
                <w:sz w:val="18"/>
              </w:rPr>
              <w:t>Uploads and manages documents, configures ingestion and the model provider, and reviews audit logs</w:t>
            </w:r>
          </w:p>
        </w:tc>
      </w:tr>
      <w:tr>
        <w:tc>
          <w:tcPr>
            <w:tcW w:type="dxa" w:w="1728"/>
            <w:tcMar>
              <w:top w:w="40" w:type="dxa"/>
              <w:bottom w:w="40" w:type="dxa"/>
              <w:start w:w="80" w:type="dxa"/>
              <w:end w:w="80" w:type="dxa"/>
            </w:tcMar>
            <w:shd w:val="clear" w:color="auto" w:fill="EAF0F6"/>
          </w:tcPr>
          <w:p>
            <w:r>
              <w:rPr>
                <w:sz w:val="18"/>
              </w:rPr>
              <w:t>User</w:t>
            </w:r>
          </w:p>
        </w:tc>
        <w:tc>
          <w:tcPr>
            <w:tcW w:type="dxa" w:w="3312"/>
            <w:tcMar>
              <w:top w:w="40" w:type="dxa"/>
              <w:bottom w:w="40" w:type="dxa"/>
              <w:start w:w="80" w:type="dxa"/>
              <w:end w:w="80" w:type="dxa"/>
            </w:tcMar>
            <w:shd w:val="clear" w:color="auto" w:fill="EAF0F6"/>
          </w:tcPr>
          <w:p>
            <w:r>
              <w:rPr>
                <w:sz w:val="18"/>
              </w:rPr>
              <w:t>Uses the chatbot</w:t>
            </w:r>
          </w:p>
        </w:tc>
        <w:tc>
          <w:tcPr>
            <w:tcW w:type="dxa" w:w="4176"/>
            <w:tcMar>
              <w:top w:w="40" w:type="dxa"/>
              <w:bottom w:w="40" w:type="dxa"/>
              <w:start w:w="80" w:type="dxa"/>
              <w:end w:w="80" w:type="dxa"/>
            </w:tcMar>
            <w:shd w:val="clear" w:color="auto" w:fill="EAF0F6"/>
          </w:tcPr>
          <w:p>
            <w:r>
              <w:rPr>
                <w:sz w:val="18"/>
              </w:rPr>
              <w:t>Asks questions in natural language and gets grounded, cited answers; requests summaries and reports</w:t>
            </w:r>
          </w:p>
        </w:tc>
      </w:tr>
    </w:tbl>
    <w:p>
      <w:pPr>
        <w:spacing w:after="40"/>
      </w:pPr>
    </w:p>
    <w:p>
      <w:pPr>
        <w:pStyle w:val="Heading1"/>
      </w:pPr>
      <w:r>
        <w:t>4. Core Capabilities (pillars + shared mechanisms)</w:t>
      </w:r>
    </w:p>
    <w:p>
      <w:pPr>
        <w:spacing w:after="120"/>
      </w:pPr>
      <w:r>
        <w:rPr>
          <w:i w:val="0"/>
          <w:sz w:val="21"/>
        </w:rPr>
        <w:t>Seven capability pillars (4.1–4.7) sit on three shared mechanisms — ingestion (4.8), the model gateway (4.9), and access control &amp; audit (4.10) — used by all pillars.</w:t>
      </w:r>
    </w:p>
    <w:p>
      <w:pPr>
        <w:pStyle w:val="Heading2"/>
      </w:pPr>
      <w:r>
        <w:t>4.1 Natural-Language Q&amp;A (grounded)</w:t>
      </w:r>
    </w:p>
    <w:p>
      <w:pPr>
        <w:spacing w:after="120"/>
      </w:pPr>
      <w:r>
        <w:rPr>
          <w:i w:val="0"/>
          <w:sz w:val="21"/>
        </w:rPr>
        <w:t>Users ask plain-language questions and receive an answer composed only from retrieved source passages, with citations. Multi-turn follow-ups are understood in context.</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EAF0F6"/>
            <w:tcMar>
              <w:top w:w="80" w:type="dxa"/>
              <w:bottom w:w="80" w:type="dxa"/>
              <w:start w:w="140" w:type="dxa"/>
              <w:end w:w="140" w:type="dxa"/>
            </w:tcMar>
          </w:tcPr>
          <w:p>
            <w:r>
              <w:rPr>
                <w:b/>
                <w:color w:val="1F4E79"/>
                <w:sz w:val="19"/>
              </w:rPr>
              <w:t xml:space="preserve">Rules:  </w:t>
            </w:r>
            <w:r>
              <w:rPr>
                <w:sz w:val="19"/>
              </w:rPr>
              <w:t>The engine answers only from retrieved passages; it never asserts a fact not present in a cited source. If retrieval returns insufficient evidence, it abstains ('insufficient sources') rather than guessing. Every answer returns its supporting citations.</w:t>
            </w:r>
          </w:p>
        </w:tc>
      </w:tr>
    </w:tbl>
    <w:p>
      <w:pPr>
        <w:spacing w:after="40"/>
      </w:pPr>
    </w:p>
    <w:p>
      <w:pPr>
        <w:pStyle w:val="Heading2"/>
      </w:pPr>
      <w:r>
        <w:t>4.2 Hybrid Retrieval</w:t>
      </w:r>
    </w:p>
    <w:p>
      <w:pPr>
        <w:spacing w:after="120"/>
      </w:pPr>
      <w:r>
        <w:rPr>
          <w:i w:val="0"/>
          <w:sz w:val="21"/>
        </w:rPr>
        <w:t>Retrieval combines dense semantic search (vector similarity) with lexical keyword search (BM25), so both meaning-based questions and exact terms (part numbers, nomenclatures) resolve correctly.</w:t>
      </w:r>
    </w:p>
    <w:p>
      <w:pPr>
        <w:pStyle w:val="Heading3"/>
      </w:pPr>
      <w:r>
        <w:t>4.2.1 Chunking &amp; citation anchoring</w:t>
      </w:r>
    </w:p>
    <w:p>
      <w:pPr>
        <w:pStyle w:val="ListBullet"/>
        <w:spacing w:after="40"/>
      </w:pPr>
      <w:r>
        <w:t>Documents are split into chunks that retain structural metadata: document, section, page, revision.</w:t>
      </w:r>
    </w:p>
    <w:p>
      <w:pPr>
        <w:pStyle w:val="ListBullet"/>
        <w:spacing w:after="40"/>
      </w:pPr>
      <w:r>
        <w:t>Each chunk carries the anchors needed to resolve a citation back to the exact source location.</w:t>
      </w:r>
    </w:p>
    <w:p>
      <w:pPr>
        <w:pStyle w:val="ListBullet"/>
        <w:spacing w:after="40"/>
      </w:pPr>
      <w:r>
        <w:t>Current revisions are preferred; superseded content is flagged.</w:t>
      </w:r>
    </w:p>
    <w:p>
      <w:pPr>
        <w:pStyle w:val="Heading3"/>
      </w:pPr>
      <w:r>
        <w:t>4.2.2 Reranking</w:t>
      </w:r>
    </w:p>
    <w:p>
      <w:pPr>
        <w:spacing w:after="120"/>
      </w:pPr>
      <w:r>
        <w:rPr>
          <w:i w:val="0"/>
          <w:sz w:val="21"/>
        </w:rPr>
        <w:t>Top candidate passages are re-ordered by a cross-encoder reranker before answer generation, so the most relevant evidence is used. The reranker runs through the model gateway (4.9) and is local-capable.</w:t>
      </w:r>
    </w:p>
    <w:p>
      <w:pPr>
        <w:pStyle w:val="Heading2"/>
      </w:pPr>
      <w:r>
        <w:t>4.3 Summarization</w:t>
      </w:r>
    </w:p>
    <w:p>
      <w:pPr>
        <w:pStyle w:val="ListBullet"/>
        <w:spacing w:after="40"/>
      </w:pPr>
      <w:r>
        <w:t>Summarize a single document, or synthesize a topic summary across multiple documents.</w:t>
      </w:r>
    </w:p>
    <w:p>
      <w:pPr>
        <w:pStyle w:val="ListBullet"/>
        <w:spacing w:after="40"/>
      </w:pPr>
      <w:r>
        <w:t>Length/format options: brief, detailed, bullet, executive.</w:t>
      </w:r>
    </w:p>
    <w:p>
      <w:pPr>
        <w:pStyle w:val="ListBullet"/>
        <w:spacing w:after="40"/>
      </w:pPr>
      <w:r>
        <w:t>Summaries carry citations; every material statement is traceable to a source.</w:t>
      </w:r>
    </w:p>
    <w:p>
      <w:pPr>
        <w:pStyle w:val="Heading2"/>
      </w:pPr>
      <w:r>
        <w:t>4.4 Report Generation</w:t>
      </w:r>
    </w:p>
    <w:p>
      <w:pPr>
        <w:pStyle w:val="ListBullet"/>
        <w:spacing w:after="40"/>
      </w:pPr>
      <w:r>
        <w:t>Generate reports from predefined templates (e.g., inspection digest, fleet status, briefing note).</w:t>
      </w:r>
    </w:p>
    <w:p>
      <w:pPr>
        <w:pStyle w:val="ListBullet"/>
        <w:spacing w:after="40"/>
      </w:pPr>
      <w:r>
        <w:t>Fields are pre-filled with cited figures and passages retrieved from the corpus.</w:t>
      </w:r>
    </w:p>
    <w:p>
      <w:pPr>
        <w:pStyle w:val="ListBullet"/>
        <w:spacing w:after="40"/>
      </w:pPr>
      <w:r>
        <w:t>The draft is editable before finalizing; export to PDF and DOCX with header/footer and classification marking.</w:t>
      </w:r>
    </w:p>
    <w:p>
      <w:pPr>
        <w:pStyle w:val="Heading2"/>
      </w:pPr>
      <w:r>
        <w:t>4.5 Operational Dashboards</w:t>
      </w:r>
    </w:p>
    <w:p>
      <w:pPr>
        <w:pStyle w:val="ListBullet"/>
        <w:spacing w:after="40"/>
      </w:pPr>
      <w:r>
        <w:t>Dashboards over structured corpus data (e.g., defect trends, fleet readiness, spares).</w:t>
      </w:r>
    </w:p>
    <w:p>
      <w:pPr>
        <w:pStyle w:val="ListBullet"/>
        <w:spacing w:after="40"/>
      </w:pPr>
      <w:r>
        <w:t>Chart types: bar, line, pie/donut, table, KPI tiles; filter by unit, equipment, date range, status.</w:t>
      </w:r>
    </w:p>
    <w:p>
      <w:pPr>
        <w:pStyle w:val="ListBullet"/>
        <w:spacing w:after="40"/>
      </w:pPr>
      <w:r>
        <w:t>Drill down from a data point to the underlying source records.</w:t>
      </w:r>
    </w:p>
    <w:p>
      <w:pPr>
        <w:pStyle w:val="Heading2"/>
      </w:pPr>
      <w:r>
        <w:t>4.6 Source Citations &amp; Explainability</w:t>
      </w:r>
    </w:p>
    <w:p>
      <w:pPr>
        <w:spacing w:after="120"/>
      </w:pPr>
      <w:r>
        <w:rPr>
          <w:i w:val="0"/>
          <w:sz w:val="21"/>
        </w:rPr>
        <w:t>Every answer and summary attaches citations (document, section, page). Clicking a citation opens the source at the exact location with the supporting passage highlighted; multi-source answers list all contributing documents.</w:t>
      </w:r>
    </w:p>
    <w:p>
      <w:pPr>
        <w:pStyle w:val="Heading2"/>
      </w:pPr>
      <w:r>
        <w:t>4.7 Structured Data Q&amp;A</w:t>
      </w:r>
    </w:p>
    <w:p>
      <w:pPr>
        <w:spacing w:after="120"/>
      </w:pPr>
      <w:r>
        <w:rPr>
          <w:i w:val="0"/>
          <w:sz w:val="21"/>
        </w:rPr>
        <w:t>Quantitative questions over structured data (CSV/XLSX/tables) — spares, stock, readiness — return the computed figure and can reveal the contributing rows. A single answer can combine a structured value with an unstructured manual passage.</w:t>
      </w:r>
    </w:p>
    <w:p>
      <w:pPr>
        <w:pStyle w:val="Heading2"/>
      </w:pPr>
      <w:r>
        <w:t>4.8 Shared mechanism — Document Ingestion (Upload / API / Database)</w:t>
      </w:r>
    </w:p>
    <w:p>
      <w:pPr>
        <w:spacing w:after="120"/>
      </w:pPr>
      <w:r>
        <w:rPr>
          <w:i w:val="0"/>
          <w:sz w:val="21"/>
        </w:rPr>
        <w:t>The corpus is populated from three source types, all normalized into the same searchable chunk store.</w:t>
      </w:r>
    </w:p>
    <w:p>
      <w:pPr>
        <w:pStyle w:val="ListBullet"/>
        <w:spacing w:after="40"/>
      </w:pPr>
      <w:r>
        <w:rPr>
          <w:b/>
        </w:rPr>
        <w:t xml:space="preserve">Upload. </w:t>
      </w:r>
      <w:r>
        <w:t>Admin uploads documents (PDF, DOCX, PPTX, TXT, HTML) and datasets (CSV/XLSX); scanned/image PDFs are OCR'd.</w:t>
      </w:r>
    </w:p>
    <w:p>
      <w:pPr>
        <w:pStyle w:val="ListBullet"/>
        <w:spacing w:after="40"/>
      </w:pPr>
      <w:r>
        <w:rPr>
          <w:b/>
        </w:rPr>
        <w:t xml:space="preserve">API. </w:t>
      </w:r>
      <w:r>
        <w:t>The platform pulls documents/records from a source system's HTTP endpoint on a schedule.</w:t>
      </w:r>
    </w:p>
    <w:p>
      <w:pPr>
        <w:pStyle w:val="ListBullet"/>
        <w:spacing w:after="40"/>
      </w:pPr>
      <w:r>
        <w:rPr>
          <w:b/>
        </w:rPr>
        <w:t xml:space="preserve">Database. </w:t>
      </w:r>
      <w:r>
        <w:t>The platform reads structured records directly from a connected database for structured Q&amp;A.</w:t>
      </w:r>
    </w:p>
    <w:p>
      <w:pPr>
        <w:pStyle w:val="Heading3"/>
      </w:pPr>
      <w:r>
        <w:t>4.8.1 Ingestion pipeline</w:t>
      </w:r>
    </w:p>
    <w:p>
      <w:pPr>
        <w:spacing w:after="120"/>
      </w:pPr>
      <w:r>
        <w:rPr>
          <w:i w:val="0"/>
          <w:sz w:val="21"/>
        </w:rPr>
        <w:t>Parse -&gt; (OCR if needed) -&gt; chunk with structural metadata -&gt; embed via the gateway -&gt; index into the vector store and keyword index. Runs asynchronously on workers; incremental re-indexing on add/update/remove; per-file success/failure reporting on bulk loads.</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EAF0F6"/>
            <w:tcMar>
              <w:top w:w="80" w:type="dxa"/>
              <w:bottom w:w="80" w:type="dxa"/>
              <w:start w:w="140" w:type="dxa"/>
              <w:end w:w="140" w:type="dxa"/>
            </w:tcMar>
          </w:tcPr>
          <w:p>
            <w:r>
              <w:rPr>
                <w:b/>
                <w:color w:val="1F4E79"/>
                <w:sz w:val="19"/>
              </w:rPr>
              <w:t xml:space="preserve">Rules:  </w:t>
            </w:r>
            <w:r>
              <w:rPr>
                <w:sz w:val="19"/>
              </w:rPr>
              <w:t>Connectors (API/DB) are a trust boundary: credentials are stored in the secret store, connections are least-privilege and read-only, and every connector is validated with a test fetch on save. Document access tags/classification are captured at ingestion and enforced at retrieval (4.10).</w:t>
            </w:r>
          </w:p>
        </w:tc>
      </w:tr>
    </w:tbl>
    <w:p>
      <w:pPr>
        <w:spacing w:after="40"/>
      </w:pPr>
    </w:p>
    <w:p>
      <w:pPr>
        <w:pStyle w:val="Heading2"/>
      </w:pPr>
      <w:r>
        <w:t>4.9 Shared mechanism — Model Gateway (cloud &lt;-&gt; local swap)</w:t>
      </w:r>
    </w:p>
    <w:p>
      <w:pPr>
        <w:spacing w:after="120"/>
      </w:pPr>
      <w:r>
        <w:rPr>
          <w:i w:val="0"/>
          <w:sz w:val="21"/>
        </w:rPr>
        <w:t>All AI operations (generate, embed, rerank) go through one internal interface. The provider binding is configuration only — the application never calls a model SDK directly.</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F3F5F7"/>
            <w:tcMar>
              <w:top w:w="70" w:type="dxa"/>
              <w:bottom w:w="70" w:type="dxa"/>
              <w:start w:w="120" w:type="dxa"/>
              <w:end w:w="120" w:type="dxa"/>
            </w:tcMar>
          </w:tcPr>
          <w:p>
            <w:pPr>
              <w:spacing w:after="0"/>
            </w:pPr>
            <w:r>
              <w:rPr>
                <w:rFonts w:ascii="Consolas" w:hAnsi="Consolas"/>
                <w:color w:val="142A40"/>
                <w:sz w:val="17"/>
              </w:rPr>
              <w:t># gateway/base.py — the only place the app talks to AI models</w:t>
            </w:r>
          </w:p>
          <w:p>
            <w:pPr>
              <w:spacing w:after="0"/>
            </w:pPr>
            <w:r>
              <w:rPr>
                <w:rFonts w:ascii="Consolas" w:hAnsi="Consolas"/>
                <w:color w:val="142A40"/>
                <w:sz w:val="17"/>
              </w:rPr>
              <w:t>class ModelGateway(Protocol):</w:t>
            </w:r>
          </w:p>
          <w:p>
            <w:pPr>
              <w:spacing w:after="0"/>
            </w:pPr>
            <w:r>
              <w:rPr>
                <w:rFonts w:ascii="Consolas" w:hAnsi="Consolas"/>
                <w:color w:val="142A40"/>
                <w:sz w:val="17"/>
              </w:rPr>
              <w:t xml:space="preserve">    def generate(self, prompt: str, *, system: str | None = None,</w:t>
            </w:r>
          </w:p>
          <w:p>
            <w:pPr>
              <w:spacing w:after="0"/>
            </w:pPr>
            <w:r>
              <w:rPr>
                <w:rFonts w:ascii="Consolas" w:hAnsi="Consolas"/>
                <w:color w:val="142A40"/>
                <w:sz w:val="17"/>
              </w:rPr>
              <w:t xml:space="preserve">                 max_tokens: int = 1024, temperature: float = 0.0,</w:t>
            </w:r>
          </w:p>
          <w:p>
            <w:pPr>
              <w:spacing w:after="0"/>
            </w:pPr>
            <w:r>
              <w:rPr>
                <w:rFonts w:ascii="Consolas" w:hAnsi="Consolas"/>
                <w:color w:val="142A40"/>
                <w:sz w:val="17"/>
              </w:rPr>
              <w:t xml:space="preserve">                 stop: list[str] | None = None) -&gt; Completion: ...</w:t>
            </w:r>
          </w:p>
          <w:p>
            <w:pPr>
              <w:spacing w:after="0"/>
            </w:pPr>
            <w:r>
              <w:rPr>
                <w:rFonts w:ascii="Consolas" w:hAnsi="Consolas"/>
                <w:color w:val="142A40"/>
                <w:sz w:val="17"/>
              </w:rPr>
              <w:t xml:space="preserve">    def embed(self, texts: list[str]) -&gt; list[list[float]]: ...</w:t>
            </w:r>
          </w:p>
          <w:p>
            <w:pPr>
              <w:spacing w:after="0"/>
            </w:pPr>
            <w:r>
              <w:rPr>
                <w:rFonts w:ascii="Consolas" w:hAnsi="Consolas"/>
                <w:color w:val="142A40"/>
                <w:sz w:val="17"/>
              </w:rPr>
              <w:t xml:space="preserve">    def rerank(self, query: str, passages: list[str]) -&gt; list[float]: ...</w:t>
            </w:r>
          </w:p>
          <w:p>
            <w:pPr>
              <w:spacing w:after="0"/>
            </w:pPr>
            <w:r>
              <w:rPr>
                <w:rFonts w:ascii="Consolas" w:hAnsi="Consolas"/>
                <w:color w:val="142A40"/>
                <w:sz w:val="17"/>
              </w:rPr>
              <w:t xml:space="preserve"> </w:t>
            </w:r>
          </w:p>
          <w:p>
            <w:pPr>
              <w:spacing w:after="0"/>
            </w:pPr>
            <w:r>
              <w:rPr>
                <w:rFonts w:ascii="Consolas" w:hAnsi="Consolas"/>
                <w:color w:val="142A40"/>
                <w:sz w:val="17"/>
              </w:rPr>
              <w:t># Provider chosen by config only — no application code changes:</w:t>
            </w:r>
          </w:p>
          <w:p>
            <w:pPr>
              <w:spacing w:after="0"/>
            </w:pPr>
            <w:r>
              <w:rPr>
                <w:rFonts w:ascii="Consolas" w:hAnsi="Consolas"/>
                <w:color w:val="142A40"/>
                <w:sz w:val="17"/>
              </w:rPr>
              <w:t>#   MODEL_PROVIDER=cloud  -&gt; hosted API (demo)</w:t>
            </w:r>
          </w:p>
          <w:p>
            <w:pPr>
              <w:spacing w:after="0"/>
            </w:pPr>
            <w:r>
              <w:rPr>
                <w:rFonts w:ascii="Consolas" w:hAnsi="Consolas"/>
                <w:color w:val="142A40"/>
                <w:sz w:val="17"/>
              </w:rPr>
              <w:t>#   MODEL_PROVIDER=local  -&gt; vLLM / Ollama + local embed &amp; rerank (air-gapped)</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3061"/>
        <w:gridCol w:w="3061"/>
        <w:gridCol w:w="3061"/>
      </w:tblGrid>
      <w:tr>
        <w:tc>
          <w:tcPr>
            <w:tcW w:type="dxa" w:w="2448"/>
            <w:shd w:val="clear" w:color="auto" w:fill="1F4E79"/>
            <w:tcMar>
              <w:top w:w="40" w:type="dxa"/>
              <w:bottom w:w="40" w:type="dxa"/>
              <w:start w:w="80" w:type="dxa"/>
              <w:end w:w="80" w:type="dxa"/>
            </w:tcMar>
          </w:tcPr>
          <w:p>
            <w:r>
              <w:rPr>
                <w:rFonts w:ascii="Calibri" w:hAnsi="Calibri"/>
                <w:b/>
                <w:i w:val="0"/>
                <w:color w:val="FFFFFF"/>
                <w:sz w:val="18"/>
              </w:rPr>
              <w:t>Capability</w:t>
            </w:r>
          </w:p>
        </w:tc>
        <w:tc>
          <w:tcPr>
            <w:tcW w:type="dxa" w:w="3024"/>
            <w:shd w:val="clear" w:color="auto" w:fill="1F4E79"/>
            <w:tcMar>
              <w:top w:w="40" w:type="dxa"/>
              <w:bottom w:w="40" w:type="dxa"/>
              <w:start w:w="80" w:type="dxa"/>
              <w:end w:w="80" w:type="dxa"/>
            </w:tcMar>
          </w:tcPr>
          <w:p>
            <w:r>
              <w:rPr>
                <w:rFonts w:ascii="Calibri" w:hAnsi="Calibri"/>
                <w:b/>
                <w:i w:val="0"/>
                <w:color w:val="FFFFFF"/>
                <w:sz w:val="18"/>
              </w:rPr>
              <w:t>Demo (cloud-capable)</w:t>
            </w:r>
          </w:p>
        </w:tc>
        <w:tc>
          <w:tcPr>
            <w:tcW w:type="dxa" w:w="3744"/>
            <w:shd w:val="clear" w:color="auto" w:fill="1F4E79"/>
            <w:tcMar>
              <w:top w:w="40" w:type="dxa"/>
              <w:bottom w:w="40" w:type="dxa"/>
              <w:start w:w="80" w:type="dxa"/>
              <w:end w:w="80" w:type="dxa"/>
            </w:tcMar>
          </w:tcPr>
          <w:p>
            <w:r>
              <w:rPr>
                <w:rFonts w:ascii="Calibri" w:hAnsi="Calibri"/>
                <w:b/>
                <w:i w:val="0"/>
                <w:color w:val="FFFFFF"/>
                <w:sz w:val="18"/>
              </w:rPr>
              <w:t>Production (air-gapped, local)</w:t>
            </w:r>
          </w:p>
        </w:tc>
      </w:tr>
      <w:tr>
        <w:tc>
          <w:tcPr>
            <w:tcW w:type="dxa" w:w="2448"/>
            <w:tcMar>
              <w:top w:w="40" w:type="dxa"/>
              <w:bottom w:w="40" w:type="dxa"/>
              <w:start w:w="80" w:type="dxa"/>
              <w:end w:w="80" w:type="dxa"/>
            </w:tcMar>
          </w:tcPr>
          <w:p>
            <w:r>
              <w:rPr>
                <w:sz w:val="17"/>
              </w:rPr>
              <w:t>Answer generation (LLM)</w:t>
            </w:r>
          </w:p>
        </w:tc>
        <w:tc>
          <w:tcPr>
            <w:tcW w:type="dxa" w:w="3024"/>
            <w:tcMar>
              <w:top w:w="40" w:type="dxa"/>
              <w:bottom w:w="40" w:type="dxa"/>
              <w:start w:w="80" w:type="dxa"/>
              <w:end w:w="80" w:type="dxa"/>
            </w:tcMar>
          </w:tcPr>
          <w:p>
            <w:r>
              <w:rPr>
                <w:sz w:val="17"/>
              </w:rPr>
              <w:t>Hosted model (e.g., Claude Sonnet/Opus)</w:t>
            </w:r>
          </w:p>
        </w:tc>
        <w:tc>
          <w:tcPr>
            <w:tcW w:type="dxa" w:w="3744"/>
            <w:tcMar>
              <w:top w:w="40" w:type="dxa"/>
              <w:bottom w:w="40" w:type="dxa"/>
              <w:start w:w="80" w:type="dxa"/>
              <w:end w:w="80" w:type="dxa"/>
            </w:tcMar>
          </w:tcPr>
          <w:p>
            <w:r>
              <w:rPr>
                <w:sz w:val="17"/>
              </w:rPr>
              <w:t>Local open-weight LLM (Llama / Mistral / Qwen family) via vLLM/Ollama</w:t>
            </w:r>
          </w:p>
        </w:tc>
      </w:tr>
      <w:tr>
        <w:tc>
          <w:tcPr>
            <w:tcW w:type="dxa" w:w="2448"/>
            <w:tcMar>
              <w:top w:w="40" w:type="dxa"/>
              <w:bottom w:w="40" w:type="dxa"/>
              <w:start w:w="80" w:type="dxa"/>
              <w:end w:w="80" w:type="dxa"/>
            </w:tcMar>
            <w:shd w:val="clear" w:color="auto" w:fill="EAF0F6"/>
          </w:tcPr>
          <w:p>
            <w:r>
              <w:rPr>
                <w:sz w:val="17"/>
              </w:rPr>
              <w:t>Embeddings</w:t>
            </w:r>
          </w:p>
        </w:tc>
        <w:tc>
          <w:tcPr>
            <w:tcW w:type="dxa" w:w="3024"/>
            <w:tcMar>
              <w:top w:w="40" w:type="dxa"/>
              <w:bottom w:w="40" w:type="dxa"/>
              <w:start w:w="80" w:type="dxa"/>
              <w:end w:w="80" w:type="dxa"/>
            </w:tcMar>
            <w:shd w:val="clear" w:color="auto" w:fill="EAF0F6"/>
          </w:tcPr>
          <w:p>
            <w:r>
              <w:rPr>
                <w:sz w:val="17"/>
              </w:rPr>
              <w:t>Hosted embedding model</w:t>
            </w:r>
          </w:p>
        </w:tc>
        <w:tc>
          <w:tcPr>
            <w:tcW w:type="dxa" w:w="3744"/>
            <w:tcMar>
              <w:top w:w="40" w:type="dxa"/>
              <w:bottom w:w="40" w:type="dxa"/>
              <w:start w:w="80" w:type="dxa"/>
              <w:end w:w="80" w:type="dxa"/>
            </w:tcMar>
            <w:shd w:val="clear" w:color="auto" w:fill="EAF0F6"/>
          </w:tcPr>
          <w:p>
            <w:r>
              <w:rPr>
                <w:sz w:val="17"/>
              </w:rPr>
              <w:t>Local embedding model (BGE / E5)</w:t>
            </w:r>
          </w:p>
        </w:tc>
      </w:tr>
      <w:tr>
        <w:tc>
          <w:tcPr>
            <w:tcW w:type="dxa" w:w="2448"/>
            <w:tcMar>
              <w:top w:w="40" w:type="dxa"/>
              <w:bottom w:w="40" w:type="dxa"/>
              <w:start w:w="80" w:type="dxa"/>
              <w:end w:w="80" w:type="dxa"/>
            </w:tcMar>
          </w:tcPr>
          <w:p>
            <w:r>
              <w:rPr>
                <w:sz w:val="17"/>
              </w:rPr>
              <w:t>Reranking</w:t>
            </w:r>
          </w:p>
        </w:tc>
        <w:tc>
          <w:tcPr>
            <w:tcW w:type="dxa" w:w="3024"/>
            <w:tcMar>
              <w:top w:w="40" w:type="dxa"/>
              <w:bottom w:w="40" w:type="dxa"/>
              <w:start w:w="80" w:type="dxa"/>
              <w:end w:w="80" w:type="dxa"/>
            </w:tcMar>
          </w:tcPr>
          <w:p>
            <w:r>
              <w:rPr>
                <w:sz w:val="17"/>
              </w:rPr>
              <w:t>Hosted or local</w:t>
            </w:r>
          </w:p>
        </w:tc>
        <w:tc>
          <w:tcPr>
            <w:tcW w:type="dxa" w:w="3744"/>
            <w:tcMar>
              <w:top w:w="40" w:type="dxa"/>
              <w:bottom w:w="40" w:type="dxa"/>
              <w:start w:w="80" w:type="dxa"/>
              <w:end w:w="80" w:type="dxa"/>
            </w:tcMar>
          </w:tcPr>
          <w:p>
            <w:r>
              <w:rPr>
                <w:sz w:val="17"/>
              </w:rPr>
              <w:t>Local cross-encoder (BGE-reranker)</w:t>
            </w:r>
          </w:p>
        </w:tc>
      </w:tr>
      <w:tr>
        <w:tc>
          <w:tcPr>
            <w:tcW w:type="dxa" w:w="2448"/>
            <w:tcMar>
              <w:top w:w="40" w:type="dxa"/>
              <w:bottom w:w="40" w:type="dxa"/>
              <w:start w:w="80" w:type="dxa"/>
              <w:end w:w="80" w:type="dxa"/>
            </w:tcMar>
            <w:shd w:val="clear" w:color="auto" w:fill="EAF0F6"/>
          </w:tcPr>
          <w:p>
            <w:r>
              <w:rPr>
                <w:sz w:val="17"/>
              </w:rPr>
              <w:t>Vector store / OCR / identity</w:t>
            </w:r>
          </w:p>
        </w:tc>
        <w:tc>
          <w:tcPr>
            <w:tcW w:type="dxa" w:w="3024"/>
            <w:tcMar>
              <w:top w:w="40" w:type="dxa"/>
              <w:bottom w:w="40" w:type="dxa"/>
              <w:start w:w="80" w:type="dxa"/>
              <w:end w:w="80" w:type="dxa"/>
            </w:tcMar>
            <w:shd w:val="clear" w:color="auto" w:fill="EAF0F6"/>
          </w:tcPr>
          <w:p>
            <w:r>
              <w:rPr>
                <w:sz w:val="17"/>
              </w:rPr>
              <w:t>Self-hosted</w:t>
            </w:r>
          </w:p>
        </w:tc>
        <w:tc>
          <w:tcPr>
            <w:tcW w:type="dxa" w:w="3744"/>
            <w:tcMar>
              <w:top w:w="40" w:type="dxa"/>
              <w:bottom w:w="40" w:type="dxa"/>
              <w:start w:w="80" w:type="dxa"/>
              <w:end w:w="80" w:type="dxa"/>
            </w:tcMar>
            <w:shd w:val="clear" w:color="auto" w:fill="EAF0F6"/>
          </w:tcPr>
          <w:p>
            <w:r>
              <w:rPr>
                <w:sz w:val="17"/>
              </w:rPr>
              <w:t>Self-hosted (unchanged)</w:t>
            </w:r>
          </w:p>
        </w:tc>
      </w:tr>
      <w:tr>
        <w:tc>
          <w:tcPr>
            <w:tcW w:type="dxa" w:w="2448"/>
            <w:tcMar>
              <w:top w:w="40" w:type="dxa"/>
              <w:bottom w:w="40" w:type="dxa"/>
              <w:start w:w="80" w:type="dxa"/>
              <w:end w:w="80" w:type="dxa"/>
            </w:tcMar>
          </w:tcPr>
          <w:p>
            <w:r>
              <w:rPr>
                <w:sz w:val="17"/>
              </w:rPr>
              <w:t>Hosting</w:t>
            </w:r>
          </w:p>
        </w:tc>
        <w:tc>
          <w:tcPr>
            <w:tcW w:type="dxa" w:w="3024"/>
            <w:tcMar>
              <w:top w:w="40" w:type="dxa"/>
              <w:bottom w:w="40" w:type="dxa"/>
              <w:start w:w="80" w:type="dxa"/>
              <w:end w:w="80" w:type="dxa"/>
            </w:tcMar>
          </w:tcPr>
          <w:p>
            <w:r>
              <w:rPr>
                <w:sz w:val="17"/>
              </w:rPr>
              <w:t>On-prem or controlled cloud</w:t>
            </w:r>
          </w:p>
        </w:tc>
        <w:tc>
          <w:tcPr>
            <w:tcW w:type="dxa" w:w="3744"/>
            <w:tcMar>
              <w:top w:w="40" w:type="dxa"/>
              <w:bottom w:w="40" w:type="dxa"/>
              <w:start w:w="80" w:type="dxa"/>
              <w:end w:w="80" w:type="dxa"/>
            </w:tcMar>
          </w:tcPr>
          <w:p>
            <w:r>
              <w:rPr>
                <w:sz w:val="17"/>
              </w:rPr>
              <w:t>On-prem, no outbound network</w:t>
            </w:r>
          </w:p>
        </w:tc>
      </w:tr>
    </w:tbl>
    <w:p>
      <w:pPr>
        <w:spacing w:after="40"/>
      </w:pPr>
    </w:p>
    <w:p>
      <w:pPr>
        <w:pStyle w:val="Heading2"/>
      </w:pPr>
      <w:r>
        <w:t>4.10 Shared mechanism — Access Control &amp; Audit</w:t>
      </w:r>
    </w:p>
    <w:p>
      <w:pPr>
        <w:pStyle w:val="ListBullet"/>
        <w:spacing w:after="40"/>
      </w:pPr>
      <w:r>
        <w:t>Authentication via the org identity provider (OIDC/SAML), with local accounts as fallback.</w:t>
      </w:r>
    </w:p>
    <w:p>
      <w:pPr>
        <w:pStyle w:val="ListBullet"/>
        <w:spacing w:after="40"/>
      </w:pPr>
      <w:r>
        <w:t>Two roles enforced on every action: admin (upload and manage content, configuration) and user (query only).</w:t>
      </w:r>
    </w:p>
    <w:p>
      <w:pPr>
        <w:pStyle w:val="ListBullet"/>
        <w:spacing w:after="40"/>
      </w:pPr>
      <w:r>
        <w:t>Immutable audit log of every query, answer, document access, export and admin action.</w:t>
      </w:r>
    </w:p>
    <w:p>
      <w:pPr>
        <w:pStyle w:val="ListBullet"/>
        <w:spacing w:after="40"/>
      </w:pPr>
      <w:r>
        <w:t>Source-of-answer logging: any past answer can be re-verified against the exact documents used.</w:t>
      </w:r>
    </w:p>
    <w:p>
      <w:r>
        <w:br w:type="page"/>
      </w:r>
    </w:p>
    <w:p>
      <w:pPr>
        <w:pStyle w:val="Heading1"/>
      </w:pPr>
      <w:r>
        <w:t>5. Functional Requirements</w:t>
      </w:r>
    </w:p>
    <w:p>
      <w:pPr>
        <w:spacing w:after="120"/>
      </w:pPr>
      <w:r>
        <w:rPr>
          <w:i/>
          <w:sz w:val="21"/>
        </w:rPr>
        <w:t>Requirements are grouped by subsystem. Each is a testable statement (verb 'shall'); IDs (FR-5.x.y) are stable for traceability.</w:t>
      </w:r>
    </w:p>
    <w:p>
      <w:pPr>
        <w:pStyle w:val="Heading2"/>
      </w:pPr>
      <w:r>
        <w:t>5.1 Org onboarding &amp; admin console</w:t>
      </w:r>
    </w:p>
    <w:p>
      <w:pPr>
        <w:pStyle w:val="ListBullet"/>
        <w:spacing w:after="40"/>
      </w:pPr>
      <w:r>
        <w:rPr>
          <w:b/>
        </w:rPr>
        <w:t xml:space="preserve">FR-5.1.1 </w:t>
      </w:r>
      <w:r>
        <w:t xml:space="preserve"> The admin shall create the organization, collections, and role assignments from a console.</w:t>
      </w:r>
    </w:p>
    <w:p>
      <w:pPr>
        <w:pStyle w:val="ListBullet"/>
        <w:spacing w:after="40"/>
      </w:pPr>
      <w:r>
        <w:rPr>
          <w:b/>
        </w:rPr>
        <w:t xml:space="preserve">FR-5.1.2 </w:t>
      </w:r>
      <w:r>
        <w:t xml:space="preserve"> The admin shall configure ingestion sources (upload, API, database connectors).</w:t>
      </w:r>
    </w:p>
    <w:p>
      <w:pPr>
        <w:pStyle w:val="ListBullet"/>
        <w:spacing w:after="40"/>
      </w:pPr>
      <w:r>
        <w:rPr>
          <w:b/>
        </w:rPr>
        <w:t xml:space="preserve">FR-5.1.3 </w:t>
      </w:r>
      <w:r>
        <w:t xml:space="preserve"> The admin shall select the active model provider (cloud/local) without a code change or redeploy of application logic.</w:t>
      </w:r>
    </w:p>
    <w:p>
      <w:pPr>
        <w:pStyle w:val="ListBullet"/>
        <w:spacing w:after="40"/>
      </w:pPr>
      <w:r>
        <w:rPr>
          <w:b/>
        </w:rPr>
        <w:t xml:space="preserve">FR-5.1.4 </w:t>
      </w:r>
      <w:r>
        <w:t xml:space="preserve"> The admin shall manage report templates and dashboard definitions.</w:t>
      </w:r>
    </w:p>
    <w:p>
      <w:pPr>
        <w:pStyle w:val="Heading3"/>
      </w:pPr>
      <w:r>
        <w:t>5.1.1 Users, roles &amp; authentication</w:t>
      </w:r>
    </w:p>
    <w:p>
      <w:pPr>
        <w:pStyle w:val="ListBullet"/>
        <w:spacing w:after="40"/>
      </w:pPr>
      <w:r>
        <w:rPr>
          <w:b/>
        </w:rPr>
        <w:t xml:space="preserve">FR-5.1.5 </w:t>
      </w:r>
      <w:r>
        <w:t xml:space="preserve"> The system shall authenticate users via OIDC/SAML SSO, with a local-account fallback.</w:t>
      </w:r>
    </w:p>
    <w:p>
      <w:pPr>
        <w:pStyle w:val="ListBullet"/>
        <w:spacing w:after="40"/>
      </w:pPr>
      <w:r>
        <w:rPr>
          <w:b/>
        </w:rPr>
        <w:t xml:space="preserve">FR-5.1.6 </w:t>
      </w:r>
      <w:r>
        <w:t xml:space="preserve"> The system shall enforce two roles — admin and user — across all features (admins manage content and configuration; users query only).</w:t>
      </w:r>
    </w:p>
    <w:p>
      <w:pPr>
        <w:pStyle w:val="ListBullet"/>
        <w:spacing w:after="40"/>
      </w:pPr>
      <w:r>
        <w:rPr>
          <w:b/>
        </w:rPr>
        <w:t xml:space="preserve">FR-5.1.7 </w:t>
      </w:r>
      <w:r>
        <w:t xml:space="preserve"> The system shall restrict document upload, deletion and configuration to admins.</w:t>
      </w:r>
    </w:p>
    <w:p>
      <w:pPr>
        <w:pStyle w:val="Heading2"/>
      </w:pPr>
      <w:r>
        <w:t>5.2 Ingestion &amp; corpus management</w:t>
      </w:r>
    </w:p>
    <w:p>
      <w:pPr>
        <w:pStyle w:val="ListBullet"/>
        <w:spacing w:after="40"/>
      </w:pPr>
      <w:r>
        <w:rPr>
          <w:b/>
        </w:rPr>
        <w:t xml:space="preserve">FR-5.2.1 </w:t>
      </w:r>
      <w:r>
        <w:t xml:space="preserve"> The system shall ingest PDF, DOCX, PPTX, TXT, HTML and CSV/XLSX without manual reformatting.</w:t>
      </w:r>
    </w:p>
    <w:p>
      <w:pPr>
        <w:pStyle w:val="ListBullet"/>
        <w:spacing w:after="40"/>
      </w:pPr>
      <w:r>
        <w:rPr>
          <w:b/>
        </w:rPr>
        <w:t xml:space="preserve">FR-5.2.2 </w:t>
      </w:r>
      <w:r>
        <w:t xml:space="preserve"> The system shall OCR scanned/image-only PDFs and make them answerable with page-level citations.</w:t>
      </w:r>
    </w:p>
    <w:p>
      <w:pPr>
        <w:pStyle w:val="ListBullet"/>
        <w:spacing w:after="40"/>
      </w:pPr>
      <w:r>
        <w:rPr>
          <w:b/>
        </w:rPr>
        <w:t xml:space="preserve">FR-5.2.3 </w:t>
      </w:r>
      <w:r>
        <w:t xml:space="preserve"> The system shall capture metadata (title, type, revision, effective date, unit, classification) and make it filterable.</w:t>
      </w:r>
    </w:p>
    <w:p>
      <w:pPr>
        <w:pStyle w:val="ListBullet"/>
        <w:spacing w:after="40"/>
      </w:pPr>
      <w:r>
        <w:rPr>
          <w:b/>
        </w:rPr>
        <w:t xml:space="preserve">FR-5.2.4 </w:t>
      </w:r>
      <w:r>
        <w:t xml:space="preserve"> The system shall re-index incrementally on add/update/remove within the indexing SLA.</w:t>
      </w:r>
    </w:p>
    <w:p>
      <w:pPr>
        <w:pStyle w:val="ListBullet"/>
        <w:spacing w:after="40"/>
      </w:pPr>
      <w:r>
        <w:rPr>
          <w:b/>
        </w:rPr>
        <w:t xml:space="preserve">FR-5.2.5 </w:t>
      </w:r>
      <w:r>
        <w:t xml:space="preserve"> The system shall report per-file success/failure on bulk ingestion.</w:t>
      </w:r>
    </w:p>
    <w:p>
      <w:pPr>
        <w:pStyle w:val="Heading2"/>
      </w:pPr>
      <w:r>
        <w:t>5.3 Search &amp; AI answer engine</w:t>
      </w:r>
    </w:p>
    <w:p>
      <w:pPr>
        <w:pStyle w:val="ListBullet"/>
        <w:spacing w:after="40"/>
      </w:pPr>
      <w:r>
        <w:rPr>
          <w:b/>
        </w:rPr>
        <w:t xml:space="preserve">FR-5.3.1 </w:t>
      </w:r>
      <w:r>
        <w:t xml:space="preserve"> The engine shall accept natural-language questions and return an answer grounded only in retrieved passages.</w:t>
      </w:r>
    </w:p>
    <w:p>
      <w:pPr>
        <w:pStyle w:val="ListBullet"/>
        <w:spacing w:after="40"/>
      </w:pPr>
      <w:r>
        <w:rPr>
          <w:b/>
        </w:rPr>
        <w:t xml:space="preserve">FR-5.3.2 </w:t>
      </w:r>
      <w:r>
        <w:t xml:space="preserve"> The engine shall run hybrid retrieval (semantic + keyword) with cross-encoder reranking.</w:t>
      </w:r>
    </w:p>
    <w:p>
      <w:pPr>
        <w:pStyle w:val="ListBullet"/>
        <w:spacing w:after="40"/>
      </w:pPr>
      <w:r>
        <w:rPr>
          <w:b/>
        </w:rPr>
        <w:t xml:space="preserve">FR-5.3.3 </w:t>
      </w:r>
      <w:r>
        <w:t xml:space="preserve"> The engine shall attach resolvable citations (document, section, page) to every answer.</w:t>
      </w:r>
    </w:p>
    <w:p>
      <w:pPr>
        <w:pStyle w:val="ListBullet"/>
        <w:spacing w:after="40"/>
      </w:pPr>
      <w:r>
        <w:rPr>
          <w:b/>
        </w:rPr>
        <w:t xml:space="preserve">FR-5.3.4 </w:t>
      </w:r>
      <w:r>
        <w:t xml:space="preserve"> The engine shall abstain with an explicit 'insufficient sources' response when evidence is inadequate.</w:t>
      </w:r>
    </w:p>
    <w:p>
      <w:pPr>
        <w:pStyle w:val="ListBullet"/>
        <w:spacing w:after="40"/>
      </w:pPr>
      <w:r>
        <w:rPr>
          <w:b/>
        </w:rPr>
        <w:t xml:space="preserve">FR-5.3.5 </w:t>
      </w:r>
      <w:r>
        <w:t xml:space="preserve"> The engine shall support multi-turn context and query scoping (collection, type, unit, date).</w:t>
      </w:r>
    </w:p>
    <w:p>
      <w:pPr>
        <w:pStyle w:val="ListBullet"/>
        <w:spacing w:after="40"/>
      </w:pPr>
      <w:r>
        <w:rPr>
          <w:b/>
        </w:rPr>
        <w:t xml:space="preserve">FR-5.3.6 </w:t>
      </w:r>
      <w:r>
        <w:t xml:space="preserve"> The engine shall answer only for authenticated users.</w:t>
      </w:r>
    </w:p>
    <w:p>
      <w:pPr>
        <w:spacing w:after="120"/>
      </w:pPr>
      <w:r>
        <w:rPr>
          <w:i w:val="0"/>
          <w:sz w:val="21"/>
        </w:rPr>
        <w:t>Query API contract:</w:t>
      </w:r>
    </w:p>
    <w:tbl>
      <w:tblPr>
        <w:tblStyle w:val="TableGrid"/>
        <w:tblW w:type="auto" w:w="0"/>
        <w:tblLayout w:type="fixed"/>
        <w:tblLook w:firstColumn="1" w:firstRow="1" w:lastColumn="0" w:lastRow="0" w:noHBand="0" w:noVBand="1" w:val="04A0"/>
        <w:tblLayout w:type="fixed"/>
      </w:tblPr>
      <w:tblGrid>
        <w:gridCol w:w="9184"/>
      </w:tblGrid>
      <w:tr>
        <w:tc>
          <w:tcPr>
            <w:tcW w:type="dxa" w:w="9216"/>
            <w:shd w:val="clear" w:color="auto" w:fill="F3F5F7"/>
            <w:tcMar>
              <w:top w:w="70" w:type="dxa"/>
              <w:bottom w:w="70" w:type="dxa"/>
              <w:start w:w="120" w:type="dxa"/>
              <w:end w:w="120" w:type="dxa"/>
            </w:tcMar>
          </w:tcPr>
          <w:p>
            <w:pPr>
              <w:spacing w:after="0"/>
            </w:pPr>
            <w:r>
              <w:rPr>
                <w:rFonts w:ascii="Consolas" w:hAnsi="Consolas"/>
                <w:color w:val="142A40"/>
                <w:sz w:val="17"/>
              </w:rPr>
              <w:t>POST /api/v1/query</w:t>
            </w:r>
          </w:p>
          <w:p>
            <w:pPr>
              <w:spacing w:after="0"/>
            </w:pPr>
            <w:r>
              <w:rPr>
                <w:rFonts w:ascii="Consolas" w:hAnsi="Consolas"/>
                <w:color w:val="142A40"/>
                <w:sz w:val="17"/>
              </w:rPr>
              <w:t>{ "question": "corrective procedure for hydraulic pressure loss?",</w:t>
            </w:r>
          </w:p>
          <w:p>
            <w:pPr>
              <w:spacing w:after="0"/>
            </w:pPr>
            <w:r>
              <w:rPr>
                <w:rFonts w:ascii="Consolas" w:hAnsi="Consolas"/>
                <w:color w:val="142A40"/>
                <w:sz w:val="17"/>
              </w:rPr>
              <w:t xml:space="preserve">  "scope": { "collections": ["veh-recovery"], "doc_types": ["manual","sop"] } }</w:t>
            </w:r>
          </w:p>
          <w:p>
            <w:pPr>
              <w:spacing w:after="0"/>
            </w:pPr>
            <w:r>
              <w:rPr>
                <w:rFonts w:ascii="Consolas" w:hAnsi="Consolas"/>
                <w:color w:val="142A40"/>
                <w:sz w:val="17"/>
              </w:rPr>
              <w:t>-&gt; 200</w:t>
            </w:r>
          </w:p>
          <w:p>
            <w:pPr>
              <w:spacing w:after="0"/>
            </w:pPr>
            <w:r>
              <w:rPr>
                <w:rFonts w:ascii="Consolas" w:hAnsi="Consolas"/>
                <w:color w:val="142A40"/>
                <w:sz w:val="17"/>
              </w:rPr>
              <w:t>{ "answer": "...",</w:t>
            </w:r>
          </w:p>
          <w:p>
            <w:pPr>
              <w:spacing w:after="0"/>
            </w:pPr>
            <w:r>
              <w:rPr>
                <w:rFonts w:ascii="Consolas" w:hAnsi="Consolas"/>
                <w:color w:val="142A40"/>
                <w:sz w:val="17"/>
              </w:rPr>
              <w:t xml:space="preserve">  "citations": [ { "doc": "OM-VEH-001", "section": "4.3", "page": 37 } ],</w:t>
            </w:r>
          </w:p>
          <w:p>
            <w:pPr>
              <w:spacing w:after="0"/>
            </w:pPr>
            <w:r>
              <w:rPr>
                <w:rFonts w:ascii="Consolas" w:hAnsi="Consolas"/>
                <w:color w:val="142A40"/>
                <w:sz w:val="17"/>
              </w:rPr>
              <w:t xml:space="preserve">  "confidence": 0.86, "grounded": true }</w:t>
            </w:r>
          </w:p>
          <w:p>
            <w:pPr>
              <w:spacing w:after="0"/>
            </w:pPr>
            <w:r>
              <w:rPr>
                <w:rFonts w:ascii="Consolas" w:hAnsi="Consolas"/>
                <w:color w:val="142A40"/>
                <w:sz w:val="17"/>
              </w:rPr>
              <w:t># grounded=false and answer=null when evidence is insufficient (abstain)</w:t>
            </w:r>
          </w:p>
        </w:tc>
      </w:tr>
    </w:tbl>
    <w:p>
      <w:pPr>
        <w:spacing w:after="40"/>
      </w:pPr>
    </w:p>
    <w:p>
      <w:pPr>
        <w:pStyle w:val="Heading2"/>
      </w:pPr>
      <w:r>
        <w:t>5.4 Summarization &amp; report generation</w:t>
      </w:r>
    </w:p>
    <w:p>
      <w:pPr>
        <w:pStyle w:val="ListBullet"/>
        <w:spacing w:after="40"/>
      </w:pPr>
      <w:r>
        <w:rPr>
          <w:b/>
        </w:rPr>
        <w:t xml:space="preserve">FR-5.4.1 </w:t>
      </w:r>
      <w:r>
        <w:t xml:space="preserve"> The system shall summarize a single document or a topic across multiple documents, with citations.</w:t>
      </w:r>
    </w:p>
    <w:p>
      <w:pPr>
        <w:pStyle w:val="ListBullet"/>
        <w:spacing w:after="40"/>
      </w:pPr>
      <w:r>
        <w:rPr>
          <w:b/>
        </w:rPr>
        <w:t xml:space="preserve">FR-5.4.2 </w:t>
      </w:r>
      <w:r>
        <w:t xml:space="preserve"> The system shall generate reports from templates, pre-filled with cited values.</w:t>
      </w:r>
    </w:p>
    <w:p>
      <w:pPr>
        <w:pStyle w:val="ListBullet"/>
        <w:spacing w:after="40"/>
      </w:pPr>
      <w:r>
        <w:rPr>
          <w:b/>
        </w:rPr>
        <w:t xml:space="preserve">FR-5.4.3 </w:t>
      </w:r>
      <w:r>
        <w:t xml:space="preserve"> The user shall edit a generated draft before export.</w:t>
      </w:r>
    </w:p>
    <w:p>
      <w:pPr>
        <w:pStyle w:val="ListBullet"/>
        <w:spacing w:after="40"/>
      </w:pPr>
      <w:r>
        <w:rPr>
          <w:b/>
        </w:rPr>
        <w:t xml:space="preserve">FR-5.4.4 </w:t>
      </w:r>
      <w:r>
        <w:t xml:space="preserve"> The system shall export answers and reports to PDF and DOCX with citations intact.</w:t>
      </w:r>
    </w:p>
    <w:p>
      <w:pPr>
        <w:pStyle w:val="Heading2"/>
      </w:pPr>
      <w:r>
        <w:t>5.5 Dashboards &amp; analytics</w:t>
      </w:r>
    </w:p>
    <w:p>
      <w:pPr>
        <w:pStyle w:val="ListBullet"/>
        <w:spacing w:after="40"/>
      </w:pPr>
      <w:r>
        <w:rPr>
          <w:b/>
        </w:rPr>
        <w:t xml:space="preserve">FR-5.5.1 </w:t>
      </w:r>
      <w:r>
        <w:t xml:space="preserve"> The system shall render dashboards with correct aggregates over structured corpus data.</w:t>
      </w:r>
    </w:p>
    <w:p>
      <w:pPr>
        <w:pStyle w:val="ListBullet"/>
        <w:spacing w:after="40"/>
      </w:pPr>
      <w:r>
        <w:rPr>
          <w:b/>
        </w:rPr>
        <w:t xml:space="preserve">FR-5.5.2 </w:t>
      </w:r>
      <w:r>
        <w:t xml:space="preserve"> The system shall support filtering across all linked charts consistently.</w:t>
      </w:r>
    </w:p>
    <w:p>
      <w:pPr>
        <w:pStyle w:val="ListBullet"/>
        <w:spacing w:after="40"/>
      </w:pPr>
      <w:r>
        <w:rPr>
          <w:b/>
        </w:rPr>
        <w:t xml:space="preserve">FR-5.5.3 </w:t>
      </w:r>
      <w:r>
        <w:t xml:space="preserve"> The user shall drill down from a chart to the underlying source records.</w:t>
      </w:r>
    </w:p>
    <w:p>
      <w:pPr>
        <w:pStyle w:val="Heading2"/>
      </w:pPr>
      <w:r>
        <w:t>5.6 Audit &amp; observability</w:t>
      </w:r>
    </w:p>
    <w:p>
      <w:pPr>
        <w:pStyle w:val="ListBullet"/>
        <w:spacing w:after="40"/>
      </w:pPr>
      <w:r>
        <w:rPr>
          <w:b/>
        </w:rPr>
        <w:t xml:space="preserve">FR-5.6.1 </w:t>
      </w:r>
      <w:r>
        <w:t xml:space="preserve"> The system shall record an immutable audit event for every query, answer, access, export and admin action.</w:t>
      </w:r>
    </w:p>
    <w:p>
      <w:pPr>
        <w:pStyle w:val="ListBullet"/>
        <w:spacing w:after="40"/>
      </w:pPr>
      <w:r>
        <w:rPr>
          <w:b/>
        </w:rPr>
        <w:t xml:space="preserve">FR-5.6.2 </w:t>
      </w:r>
      <w:r>
        <w:t xml:space="preserve"> The audit log shall be searchable and exportable by administrators.</w:t>
      </w:r>
    </w:p>
    <w:p>
      <w:pPr>
        <w:pStyle w:val="ListBullet"/>
        <w:spacing w:after="40"/>
      </w:pPr>
      <w:r>
        <w:rPr>
          <w:b/>
        </w:rPr>
        <w:t xml:space="preserve">FR-5.6.3 </w:t>
      </w:r>
      <w:r>
        <w:t xml:space="preserve"> The system shall log the sources used for each answer for later verification.</w:t>
      </w:r>
    </w:p>
    <w:p>
      <w:pPr>
        <w:pStyle w:val="ListBullet"/>
        <w:spacing w:after="40"/>
      </w:pPr>
      <w:r>
        <w:rPr>
          <w:b/>
        </w:rPr>
        <w:t xml:space="preserve">FR-5.6.4 </w:t>
      </w:r>
      <w:r>
        <w:t xml:space="preserve"> The system shall expose health/usage metrics (latency, volumes, errors).</w:t>
      </w:r>
    </w:p>
    <w:p>
      <w:r>
        <w:br w:type="page"/>
      </w:r>
    </w:p>
    <w:p>
      <w:pPr>
        <w:pStyle w:val="Heading1"/>
      </w:pPr>
      <w:r>
        <w:t>6. Key User Flows</w:t>
      </w:r>
    </w:p>
    <w:p>
      <w:pPr>
        <w:pStyle w:val="Heading2"/>
      </w:pPr>
      <w:r>
        <w:t>6.1 Ask a knowledge question (autonomous, cited)</w:t>
      </w:r>
    </w:p>
    <w:p>
      <w:pPr>
        <w:pStyle w:val="ListNumber"/>
        <w:spacing w:after="40"/>
      </w:pPr>
      <w:r>
        <w:t>User submits a natural-language question in the web app.</w:t>
      </w:r>
    </w:p>
    <w:p>
      <w:pPr>
        <w:pStyle w:val="ListNumber"/>
        <w:spacing w:after="40"/>
      </w:pPr>
      <w:r>
        <w:t>API authenticates the user.</w:t>
      </w:r>
    </w:p>
    <w:p>
      <w:pPr>
        <w:pStyle w:val="ListNumber"/>
        <w:spacing w:after="40"/>
      </w:pPr>
      <w:r>
        <w:t>Hybrid retrieval + rerank select the supporting passages from the corpus.</w:t>
      </w:r>
    </w:p>
    <w:p>
      <w:pPr>
        <w:pStyle w:val="ListNumber"/>
        <w:spacing w:after="40"/>
      </w:pPr>
      <w:r>
        <w:t>The gateway generates an answer constrained to those passages; guardrails verify grounding.</w:t>
      </w:r>
    </w:p>
    <w:p>
      <w:pPr>
        <w:pStyle w:val="ListNumber"/>
        <w:spacing w:after="40"/>
      </w:pPr>
      <w:r>
        <w:t>The answer is returned with citations; the query, sources and answer are written to the audit log.</w:t>
      </w:r>
    </w:p>
    <w:p>
      <w:pPr>
        <w:pStyle w:val="Heading2"/>
      </w:pPr>
      <w:r>
        <w:t>6.2 Find a maintenance procedure</w:t>
      </w:r>
    </w:p>
    <w:p>
      <w:pPr>
        <w:pStyle w:val="ListNumber"/>
        <w:spacing w:after="40"/>
      </w:pPr>
      <w:r>
        <w:t>User asks for the corrective procedure for a specific fault.</w:t>
      </w:r>
    </w:p>
    <w:p>
      <w:pPr>
        <w:pStyle w:val="ListNumber"/>
        <w:spacing w:after="40"/>
      </w:pPr>
      <w:r>
        <w:t>The system returns step-by-step guidance, each step carrying a citation.</w:t>
      </w:r>
    </w:p>
    <w:p>
      <w:pPr>
        <w:pStyle w:val="ListNumber"/>
        <w:spacing w:after="40"/>
      </w:pPr>
      <w:r>
        <w:t>User opens a citation to confirm, then exports the cited procedure as a PDF work-card.</w:t>
      </w:r>
    </w:p>
    <w:p>
      <w:pPr>
        <w:pStyle w:val="Heading2"/>
      </w:pPr>
      <w:r>
        <w:t>6.3 Generate a report</w:t>
      </w:r>
    </w:p>
    <w:p>
      <w:pPr>
        <w:pStyle w:val="ListNumber"/>
        <w:spacing w:after="40"/>
      </w:pPr>
      <w:r>
        <w:t>User selects a template (e.g., inspection digest) and a scope.</w:t>
      </w:r>
    </w:p>
    <w:p>
      <w:pPr>
        <w:pStyle w:val="ListNumber"/>
        <w:spacing w:after="40"/>
      </w:pPr>
      <w:r>
        <w:t>The system drafts the report, pre-filled with cited figures and passages.</w:t>
      </w:r>
    </w:p>
    <w:p>
      <w:pPr>
        <w:pStyle w:val="ListNumber"/>
        <w:spacing w:after="40"/>
      </w:pPr>
      <w:r>
        <w:t>User edits the draft and exports to PDF/DOCX with the classification marking.</w:t>
      </w:r>
    </w:p>
    <w:p>
      <w:pPr>
        <w:pStyle w:val="Heading2"/>
      </w:pPr>
      <w:r>
        <w:t>6.4 Cross-document discovery</w:t>
      </w:r>
    </w:p>
    <w:p>
      <w:pPr>
        <w:pStyle w:val="ListNumber"/>
        <w:spacing w:after="40"/>
      </w:pPr>
      <w:r>
        <w:t>User asks a question spanning SOPs, maintenance records and historical logs.</w:t>
      </w:r>
    </w:p>
    <w:p>
      <w:pPr>
        <w:pStyle w:val="ListNumber"/>
        <w:spacing w:after="40"/>
      </w:pPr>
      <w:r>
        <w:t>Hybrid retrieval surfaces passages from all sources; the system composes one grounded answer.</w:t>
      </w:r>
    </w:p>
    <w:p>
      <w:pPr>
        <w:pStyle w:val="ListNumber"/>
        <w:spacing w:after="40"/>
      </w:pPr>
      <w:r>
        <w:t>User follows the citations to validate and shares the answer with the team.</w:t>
      </w:r>
    </w:p>
    <w:p>
      <w:pPr>
        <w:pStyle w:val="Heading2"/>
      </w:pPr>
      <w:r>
        <w:t>6.5 Org onboarding &amp; corpus ingestion</w:t>
      </w:r>
    </w:p>
    <w:p>
      <w:pPr>
        <w:pStyle w:val="ListNumber"/>
        <w:spacing w:after="40"/>
      </w:pPr>
      <w:r>
        <w:t>Admin creates the org, collections and roles; configures an ingestion source.</w:t>
      </w:r>
    </w:p>
    <w:p>
      <w:pPr>
        <w:pStyle w:val="ListNumber"/>
        <w:spacing w:after="40"/>
      </w:pPr>
      <w:r>
        <w:t>Documents are parsed, OCR'd if needed, chunked, embedded and indexed by workers.</w:t>
      </w:r>
    </w:p>
    <w:p>
      <w:pPr>
        <w:pStyle w:val="ListNumber"/>
        <w:spacing w:after="40"/>
      </w:pPr>
      <w:r>
        <w:t>New documents become answerable within the indexing SLA; a load report shows any failures.</w:t>
      </w:r>
    </w:p>
    <w:p>
      <w:pPr>
        <w:pStyle w:val="Heading2"/>
      </w:pPr>
      <w:r>
        <w:t>6.6 Out-of-corpus question (abstain)</w:t>
      </w:r>
    </w:p>
    <w:p>
      <w:pPr>
        <w:pStyle w:val="ListNumber"/>
        <w:spacing w:after="40"/>
      </w:pPr>
      <w:r>
        <w:t>User asks something the corpus does not cover.</w:t>
      </w:r>
    </w:p>
    <w:p>
      <w:pPr>
        <w:pStyle w:val="ListNumber"/>
        <w:spacing w:after="40"/>
      </w:pPr>
      <w:r>
        <w:t>Retrieval returns insufficient evidence.</w:t>
      </w:r>
    </w:p>
    <w:p>
      <w:pPr>
        <w:pStyle w:val="ListNumber"/>
        <w:spacing w:after="40"/>
      </w:pPr>
      <w:r>
        <w:t>The system responds 'insufficient sources' instead of fabricating an answer; the event is logged.</w:t>
      </w:r>
    </w:p>
    <w:p>
      <w:pPr>
        <w:pStyle w:val="Heading1"/>
      </w:pPr>
      <w:r>
        <w:t>7. Constraints &amp; Assumptions</w:t>
      </w:r>
    </w:p>
    <w:p>
      <w:pPr>
        <w:pStyle w:val="ListBullet"/>
        <w:spacing w:after="40"/>
      </w:pPr>
      <w:r>
        <w:rPr>
          <w:b/>
        </w:rPr>
        <w:t xml:space="preserve">Demonstration platform. </w:t>
      </w:r>
      <w:r>
        <w:t>Not a production-accredited system; it demonstrates feasibility and a reusable foundation.</w:t>
      </w:r>
    </w:p>
    <w:p>
      <w:pPr>
        <w:pStyle w:val="ListBullet"/>
        <w:spacing w:after="40"/>
      </w:pPr>
      <w:r>
        <w:rPr>
          <w:b/>
        </w:rPr>
        <w:t xml:space="preserve">Fictional data. </w:t>
      </w:r>
      <w:r>
        <w:t>All sample documents are realistic but non-sensitive and entirely fictional (modeled on Indian Army / Corps of EME styles).</w:t>
      </w:r>
    </w:p>
    <w:p>
      <w:pPr>
        <w:pStyle w:val="ListBullet"/>
        <w:spacing w:after="40"/>
      </w:pPr>
      <w:r>
        <w:rPr>
          <w:b/>
        </w:rPr>
        <w:t xml:space="preserve">Air-gap target. </w:t>
      </w:r>
      <w:r>
        <w:t>Production runs fully on-premise with no outbound network; all models, packages and images are provisioned locally.</w:t>
      </w:r>
    </w:p>
    <w:p>
      <w:pPr>
        <w:pStyle w:val="ListBullet"/>
        <w:spacing w:after="40"/>
      </w:pPr>
      <w:r>
        <w:rPr>
          <w:b/>
        </w:rPr>
        <w:t xml:space="preserve">Cloud &lt;-&gt; local. </w:t>
      </w:r>
      <w:r>
        <w:t>Only the AI provider changes between demo and production, via config behind the model gateway; the app, data model and UX are identical.</w:t>
      </w:r>
    </w:p>
    <w:p>
      <w:pPr>
        <w:pStyle w:val="ListBullet"/>
        <w:spacing w:after="40"/>
      </w:pPr>
      <w:r>
        <w:rPr>
          <w:b/>
        </w:rPr>
        <w:t xml:space="preserve">Security posture. </w:t>
      </w:r>
      <w:r>
        <w:t>Encryption in transit and at rest, secret store, least privilege, role-based access (admin/user), immutable audit; aligned to DPDP Act 2023, CERT-In directions and MoD/DRDO guidance as a target posture (not a certification).</w:t>
      </w:r>
    </w:p>
    <w:p>
      <w:pPr>
        <w:pStyle w:val="ListBullet"/>
        <w:spacing w:after="40"/>
      </w:pPr>
      <w:r>
        <w:rPr>
          <w:b/>
        </w:rPr>
        <w:t xml:space="preserve">Deployment. </w:t>
      </w:r>
      <w:r>
        <w:t>Containerized: Docker Compose for demo, Kubernetes/Helm with an internal registry for on-prem/air-gapped production.</w:t>
      </w:r>
    </w:p>
    <w:p>
      <w:pPr>
        <w:pStyle w:val="ListBullet"/>
        <w:spacing w:after="40"/>
      </w:pPr>
      <w:r>
        <w:rPr>
          <w:b/>
        </w:rPr>
        <w:t xml:space="preserve">Reference stack. </w:t>
      </w:r>
      <w:r>
        <w:t>React/TypeScript web; FastAPI + async workers; Qdrant (vectors) + OpenSearch (BM25); PostgreSQL; MinIO (objects); Keycloak (identity). Recommended, not mandated.</w:t>
      </w:r>
    </w:p>
    <w:p>
      <w:pPr>
        <w:pStyle w:val="ListBullet"/>
        <w:spacing w:after="40"/>
      </w:pPr>
      <w:r>
        <w:rPr>
          <w:b/>
        </w:rPr>
        <w:t xml:space="preserve">Evaluation. </w:t>
      </w:r>
      <w:r>
        <w:t>Quality is measured on a curated golden Q&amp;A set over the sample corpus; the harness runs offline (air-gap capable).</w:t>
      </w:r>
    </w:p>
    <w:p>
      <w:pPr>
        <w:pStyle w:val="ListBullet"/>
        <w:spacing w:after="40"/>
      </w:pPr>
      <w:r>
        <w:rPr>
          <w:b/>
        </w:rPr>
        <w:t xml:space="preserve">Golden set required. </w:t>
      </w:r>
      <w:r>
        <w:t>The demo depends on a prepared sample corpus and golden questions with known answers and source locations.</w:t>
      </w:r>
    </w:p>
    <w:p>
      <w:pPr>
        <w:pStyle w:val="ListBullet"/>
        <w:spacing w:after="40"/>
      </w:pPr>
      <w:r>
        <w:rPr>
          <w:b/>
        </w:rPr>
        <w:t xml:space="preserve">Hardware (production). </w:t>
      </w:r>
      <w:r>
        <w:t>Local model serving needs on-prem GPUs sized to the chosen open-weight model.</w:t>
      </w:r>
    </w:p>
    <w:sectPr w:rsidR="00FC693F" w:rsidRPr="0006063C" w:rsidSect="00034616">
      <w:footerReference w:type="default" r:id="rId9"/>
      <w:pgSz w:w="11906" w:h="16838"/>
      <w:pgMar w:top="1304"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6"/>
      </w:rPr>
      <w:t xml:space="preserve">DKIP POC Spec v1.0   |   UNCLASSIFIED // FOR DEMONSTRATION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