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B2A4A"/>
          <w:sz w:val="40"/>
        </w:rPr>
        <w:t>Defense AI Learning Management System</w:t>
      </w:r>
    </w:p>
    <w:p>
      <w:r>
        <w:rPr>
          <w:rFonts w:ascii="Calibri" w:hAnsi="Calibri"/>
          <w:b w:val="0"/>
          <w:i w:val="0"/>
          <w:color w:val="1F4E79"/>
          <w:sz w:val="23"/>
        </w:rPr>
        <w:t>A complete AI-powered LMS — upload materials, auto-generate subjects &amp; courses, learn with an in-lesson doubt-clearing chatbot and interactive 3D, and track progress (POC).</w:t>
      </w:r>
    </w:p>
    <w:p>
      <w:pPr>
        <w:pBdr>
          <w:bottom w:val="single" w:sz="6" w:space="6" w:color="1F4E79"/>
        </w:pBdr>
      </w:pPr>
      <w:r>
        <w:rPr>
          <w:color w:val="595959"/>
          <w:sz w:val="17"/>
        </w:rPr>
        <w:t>Version 1.0  ·  17 July 2026  ·  UNCLASSIFIED // FOR DEMONSTRATION  ·  Internal engineering spec  ·  POC 2 (Defense AI LMS)</w:t>
      </w:r>
    </w:p>
    <w:p>
      <w:pPr>
        <w:spacing w:after="80"/>
      </w:pPr>
    </w:p>
    <w:p>
      <w:pPr>
        <w:pStyle w:val="Heading1"/>
      </w:pPr>
      <w:r>
        <w:t>1. Overview</w:t>
      </w:r>
    </w:p>
    <w:p>
      <w:pPr>
        <w:pStyle w:val="Heading2"/>
      </w:pPr>
      <w:r>
        <w:t>1.1 Problem</w:t>
      </w:r>
    </w:p>
    <w:p>
      <w:pPr>
        <w:spacing w:after="120"/>
      </w:pPr>
      <w:r>
        <w:rPr>
          <w:i w:val="0"/>
          <w:sz w:val="21"/>
        </w:rPr>
        <w:t>Military training material — books, manuals, SOPs, technical documents — is large, static and siloed. Learners have no single place to study it as structured courses, get their doubts cleared instantly, or visualize the equipment they are learning about. Building courses and assessments from raw material is slow and manual, and there is no easy way to track who has learned what. Existing tools mostly store and display documents; they do not turn material into organized, trackable, interactive learning.</w:t>
      </w:r>
    </w:p>
    <w:p>
      <w:pPr>
        <w:pStyle w:val="Heading2"/>
      </w:pPr>
      <w:r>
        <w:t>1.2 Solution</w:t>
      </w:r>
    </w:p>
    <w:p>
      <w:pPr>
        <w:spacing w:after="120"/>
      </w:pPr>
      <w:r>
        <w:rPr>
          <w:i w:val="0"/>
          <w:sz w:val="21"/>
        </w:rPr>
        <w:t>A complete, self-contained AI Learning Management System. An admin uploads the books and materials; the platform uses AI to split the content into subjects and generate a structured course for each — learning objectives, modules, lessons, a glossary and a quiz bank — which the admin reviews and publishes. Learners browse a course catalog organized by subject, enrol, and study self-paced. An in-lesson doubt-clearing chatbot answers any question grounded in the course material, with citations. Where a lesson's topic suits it, an interactive 3D model (from a preloaded library) is shown with annotated components. The platform tracks progress and completion across subjects and courses. It runs on-premise, and its AI providers swap from cloud to local behind a single model gateway with no application-code change.</w:t>
      </w:r>
    </w:p>
    <w:p>
      <w:pPr>
        <w:pStyle w:val="Heading2"/>
      </w:pPr>
      <w:r>
        <w:t>1.3 POC Goal</w:t>
      </w:r>
    </w:p>
    <w:p>
      <w:pPr>
        <w:spacing w:after="120"/>
      </w:pPr>
      <w:r>
        <w:rPr>
          <w:i w:val="0"/>
          <w:sz w:val="21"/>
        </w:rPr>
        <w:t>Demonstrate the full LMS loop with fictional materials and five preloaded 3D models: an admin uploads materials and the platform auto-generates subjects and courses; a learner enrols, studies lessons (with interactive 3D where suitable), asks the chatbot to clear doubts, and takes auto-generated quizzes; progress and completion are tracked; and the admin sees analytics. The AI provider must be switchable from cloud to local without application-code change. The POC is a demonstration platform, not a production-accredited system.</w:t>
      </w:r>
    </w:p>
    <w:p>
      <w:pPr>
        <w:pStyle w:val="Heading1"/>
      </w:pPr>
      <w:r>
        <w:t>2. Goals &amp; Success Metrics</w:t>
      </w:r>
    </w:p>
    <w:p>
      <w:pPr>
        <w:pStyle w:val="Heading2"/>
      </w:pPr>
      <w:r>
        <w:t>2.1 Product goals</w:t>
      </w:r>
    </w:p>
    <w:p>
      <w:pPr>
        <w:pStyle w:val="ListBullet"/>
        <w:spacing w:after="40"/>
      </w:pPr>
      <w:r>
        <w:rPr>
          <w:b/>
        </w:rPr>
        <w:t xml:space="preserve">Materials -&gt; courses, automatically. </w:t>
      </w:r>
      <w:r>
        <w:t>Uploaded books are split into subjects and turned into structured, reviewable courses.</w:t>
      </w:r>
    </w:p>
    <w:p>
      <w:pPr>
        <w:pStyle w:val="ListBullet"/>
        <w:spacing w:after="40"/>
      </w:pPr>
      <w:r>
        <w:rPr>
          <w:b/>
        </w:rPr>
        <w:t xml:space="preserve">Complete LMS. </w:t>
      </w:r>
      <w:r>
        <w:t>Catalog, enrolment, self-paced delivery, assessment, progress and completion in one platform.</w:t>
      </w:r>
    </w:p>
    <w:p>
      <w:pPr>
        <w:pStyle w:val="ListBullet"/>
        <w:spacing w:after="40"/>
      </w:pPr>
      <w:r>
        <w:rPr>
          <w:b/>
        </w:rPr>
        <w:t xml:space="preserve">Clear doubts instantly. </w:t>
      </w:r>
      <w:r>
        <w:t>An in-lesson chatbot answers questions grounded in the course material, with citations.</w:t>
      </w:r>
    </w:p>
    <w:p>
      <w:pPr>
        <w:pStyle w:val="ListBullet"/>
        <w:spacing w:after="40"/>
      </w:pPr>
      <w:r>
        <w:rPr>
          <w:b/>
        </w:rPr>
        <w:t xml:space="preserve">Learn visually. </w:t>
      </w:r>
      <w:r>
        <w:t>Interactive 3D appears where the topic suits it, drawn from a preloaded model library.</w:t>
      </w:r>
    </w:p>
    <w:p>
      <w:pPr>
        <w:pStyle w:val="ListBullet"/>
        <w:spacing w:after="40"/>
      </w:pPr>
      <w:r>
        <w:rPr>
          <w:b/>
        </w:rPr>
        <w:t xml:space="preserve">Track learning. </w:t>
      </w:r>
      <w:r>
        <w:t>Per-learner progress and completion across subjects and courses.</w:t>
      </w:r>
    </w:p>
    <w:p>
      <w:pPr>
        <w:pStyle w:val="ListBullet"/>
        <w:spacing w:after="40"/>
      </w:pPr>
      <w:r>
        <w:rPr>
          <w:b/>
        </w:rPr>
        <w:t xml:space="preserve">Air-gap ready. </w:t>
      </w:r>
      <w:r>
        <w:t>Swap cloud AI for local models behind the gateway with zero code change; assets served locally.</w:t>
      </w:r>
    </w:p>
    <w:p>
      <w:pPr>
        <w:spacing w:after="120"/>
      </w:pPr>
      <w:r>
        <w:rPr>
          <w:i w:val="0"/>
          <w:sz w:val="21"/>
        </w:rPr>
        <w:t>Success metrics (measured on the offline golden set, Section 7):</w:t>
      </w:r>
    </w:p>
    <w:tbl>
      <w:tblPr>
        <w:tblStyle w:val="TableGrid"/>
        <w:tblW w:type="auto" w:w="0"/>
        <w:jc w:val="center"/>
        <w:tblLayout w:type="fixed"/>
        <w:tblLook w:firstColumn="1" w:firstRow="1" w:lastColumn="0" w:lastRow="0" w:noHBand="0" w:noVBand="1" w:val="04A0"/>
        <w:tblLayout w:type="fixed"/>
      </w:tblPr>
      <w:tblGrid>
        <w:gridCol w:w="3061"/>
        <w:gridCol w:w="3061"/>
        <w:gridCol w:w="3061"/>
      </w:tblGrid>
      <w:tr>
        <w:tc>
          <w:tcPr>
            <w:tcW w:type="dxa" w:w="2448"/>
            <w:shd w:val="clear" w:color="auto" w:fill="1F4E79"/>
            <w:tcMar>
              <w:top w:w="40" w:type="dxa"/>
              <w:bottom w:w="40" w:type="dxa"/>
              <w:start w:w="80" w:type="dxa"/>
              <w:end w:w="80" w:type="dxa"/>
            </w:tcMar>
          </w:tcPr>
          <w:p>
            <w:r>
              <w:rPr>
                <w:rFonts w:ascii="Calibri" w:hAnsi="Calibri"/>
                <w:b/>
                <w:i w:val="0"/>
                <w:color w:val="FFFFFF"/>
                <w:sz w:val="18"/>
              </w:rPr>
              <w:t>Metric</w:t>
            </w:r>
          </w:p>
        </w:tc>
        <w:tc>
          <w:tcPr>
            <w:tcW w:type="dxa" w:w="3888"/>
            <w:shd w:val="clear" w:color="auto" w:fill="1F4E79"/>
            <w:tcMar>
              <w:top w:w="40" w:type="dxa"/>
              <w:bottom w:w="40" w:type="dxa"/>
              <w:start w:w="80" w:type="dxa"/>
              <w:end w:w="80" w:type="dxa"/>
            </w:tcMar>
          </w:tcPr>
          <w:p>
            <w:r>
              <w:rPr>
                <w:rFonts w:ascii="Calibri" w:hAnsi="Calibri"/>
                <w:b/>
                <w:i w:val="0"/>
                <w:color w:val="FFFFFF"/>
                <w:sz w:val="18"/>
              </w:rPr>
              <w:t>Definition</w:t>
            </w:r>
          </w:p>
        </w:tc>
        <w:tc>
          <w:tcPr>
            <w:tcW w:type="dxa" w:w="2880"/>
            <w:shd w:val="clear" w:color="auto" w:fill="1F4E79"/>
            <w:tcMar>
              <w:top w:w="40" w:type="dxa"/>
              <w:bottom w:w="40" w:type="dxa"/>
              <w:start w:w="80" w:type="dxa"/>
              <w:end w:w="80" w:type="dxa"/>
            </w:tcMar>
          </w:tcPr>
          <w:p>
            <w:r>
              <w:rPr>
                <w:rFonts w:ascii="Calibri" w:hAnsi="Calibri"/>
                <w:b/>
                <w:i w:val="0"/>
                <w:color w:val="FFFFFF"/>
                <w:sz w:val="18"/>
              </w:rPr>
              <w:t>POC target</w:t>
            </w:r>
          </w:p>
        </w:tc>
      </w:tr>
      <w:tr>
        <w:tc>
          <w:tcPr>
            <w:tcW w:type="dxa" w:w="2448"/>
            <w:tcMar>
              <w:top w:w="40" w:type="dxa"/>
              <w:bottom w:w="40" w:type="dxa"/>
              <w:start w:w="80" w:type="dxa"/>
              <w:end w:w="80" w:type="dxa"/>
            </w:tcMar>
          </w:tcPr>
          <w:p>
            <w:r>
              <w:rPr>
                <w:sz w:val="17"/>
              </w:rPr>
              <w:t>Auto-course quality</w:t>
            </w:r>
          </w:p>
        </w:tc>
        <w:tc>
          <w:tcPr>
            <w:tcW w:type="dxa" w:w="3888"/>
            <w:tcMar>
              <w:top w:w="40" w:type="dxa"/>
              <w:bottom w:w="40" w:type="dxa"/>
              <w:start w:w="80" w:type="dxa"/>
              <w:end w:w="80" w:type="dxa"/>
            </w:tcMar>
          </w:tcPr>
          <w:p>
            <w:r>
              <w:rPr>
                <w:sz w:val="17"/>
              </w:rPr>
              <w:t>Materials split into coherent subjects &amp; courses</w:t>
            </w:r>
          </w:p>
        </w:tc>
        <w:tc>
          <w:tcPr>
            <w:tcW w:type="dxa" w:w="2880"/>
            <w:tcMar>
              <w:top w:w="40" w:type="dxa"/>
              <w:bottom w:w="40" w:type="dxa"/>
              <w:start w:w="80" w:type="dxa"/>
              <w:end w:w="80" w:type="dxa"/>
            </w:tcMar>
          </w:tcPr>
          <w:p>
            <w:r>
              <w:rPr>
                <w:sz w:val="17"/>
              </w:rPr>
              <w:t>Reviewer-approved on the sample materials</w:t>
            </w:r>
          </w:p>
        </w:tc>
      </w:tr>
      <w:tr>
        <w:tc>
          <w:tcPr>
            <w:tcW w:type="dxa" w:w="2448"/>
            <w:tcMar>
              <w:top w:w="40" w:type="dxa"/>
              <w:bottom w:w="40" w:type="dxa"/>
              <w:start w:w="80" w:type="dxa"/>
              <w:end w:w="80" w:type="dxa"/>
            </w:tcMar>
            <w:shd w:val="clear" w:color="auto" w:fill="EAF0F6"/>
          </w:tcPr>
          <w:p>
            <w:r>
              <w:rPr>
                <w:sz w:val="17"/>
              </w:rPr>
              <w:t>Chatbot faithfulness</w:t>
            </w:r>
          </w:p>
        </w:tc>
        <w:tc>
          <w:tcPr>
            <w:tcW w:type="dxa" w:w="3888"/>
            <w:tcMar>
              <w:top w:w="40" w:type="dxa"/>
              <w:bottom w:w="40" w:type="dxa"/>
              <w:start w:w="80" w:type="dxa"/>
              <w:end w:w="80" w:type="dxa"/>
            </w:tcMar>
            <w:shd w:val="clear" w:color="auto" w:fill="EAF0F6"/>
          </w:tcPr>
          <w:p>
            <w:r>
              <w:rPr>
                <w:sz w:val="17"/>
              </w:rPr>
              <w:t>Answer grounded in course material, cited</w:t>
            </w:r>
          </w:p>
        </w:tc>
        <w:tc>
          <w:tcPr>
            <w:tcW w:type="dxa" w:w="2880"/>
            <w:tcMar>
              <w:top w:w="40" w:type="dxa"/>
              <w:bottom w:w="40" w:type="dxa"/>
              <w:start w:w="80" w:type="dxa"/>
              <w:end w:w="80" w:type="dxa"/>
            </w:tcMar>
            <w:shd w:val="clear" w:color="auto" w:fill="EAF0F6"/>
          </w:tcPr>
          <w:p>
            <w:r>
              <w:rPr>
                <w:sz w:val="17"/>
              </w:rPr>
              <w:t>High majority fully grounded</w:t>
            </w:r>
          </w:p>
        </w:tc>
      </w:tr>
      <w:tr>
        <w:tc>
          <w:tcPr>
            <w:tcW w:type="dxa" w:w="2448"/>
            <w:tcMar>
              <w:top w:w="40" w:type="dxa"/>
              <w:bottom w:w="40" w:type="dxa"/>
              <w:start w:w="80" w:type="dxa"/>
              <w:end w:w="80" w:type="dxa"/>
            </w:tcMar>
          </w:tcPr>
          <w:p>
            <w:r>
              <w:rPr>
                <w:sz w:val="17"/>
              </w:rPr>
              <w:t>Quiz validity</w:t>
            </w:r>
          </w:p>
        </w:tc>
        <w:tc>
          <w:tcPr>
            <w:tcW w:type="dxa" w:w="3888"/>
            <w:tcMar>
              <w:top w:w="40" w:type="dxa"/>
              <w:bottom w:w="40" w:type="dxa"/>
              <w:start w:w="80" w:type="dxa"/>
              <w:end w:w="80" w:type="dxa"/>
            </w:tcMar>
          </w:tcPr>
          <w:p>
            <w:r>
              <w:rPr>
                <w:sz w:val="17"/>
              </w:rPr>
              <w:t>Generated question is correct and answerable</w:t>
            </w:r>
          </w:p>
        </w:tc>
        <w:tc>
          <w:tcPr>
            <w:tcW w:type="dxa" w:w="2880"/>
            <w:tcMar>
              <w:top w:w="40" w:type="dxa"/>
              <w:bottom w:w="40" w:type="dxa"/>
              <w:start w:w="80" w:type="dxa"/>
              <w:end w:w="80" w:type="dxa"/>
            </w:tcMar>
          </w:tcPr>
          <w:p>
            <w:r>
              <w:rPr>
                <w:sz w:val="17"/>
              </w:rPr>
              <w:t>Reviewer-approved questions meet quality bar</w:t>
            </w:r>
          </w:p>
        </w:tc>
      </w:tr>
      <w:tr>
        <w:tc>
          <w:tcPr>
            <w:tcW w:type="dxa" w:w="2448"/>
            <w:tcMar>
              <w:top w:w="40" w:type="dxa"/>
              <w:bottom w:w="40" w:type="dxa"/>
              <w:start w:w="80" w:type="dxa"/>
              <w:end w:w="80" w:type="dxa"/>
            </w:tcMar>
            <w:shd w:val="clear" w:color="auto" w:fill="EAF0F6"/>
          </w:tcPr>
          <w:p>
            <w:r>
              <w:rPr>
                <w:sz w:val="17"/>
              </w:rPr>
              <w:t>Abstention correctness</w:t>
            </w:r>
          </w:p>
        </w:tc>
        <w:tc>
          <w:tcPr>
            <w:tcW w:type="dxa" w:w="3888"/>
            <w:tcMar>
              <w:top w:w="40" w:type="dxa"/>
              <w:bottom w:w="40" w:type="dxa"/>
              <w:start w:w="80" w:type="dxa"/>
              <w:end w:w="80" w:type="dxa"/>
            </w:tcMar>
            <w:shd w:val="clear" w:color="auto" w:fill="EAF0F6"/>
          </w:tcPr>
          <w:p>
            <w:r>
              <w:rPr>
                <w:sz w:val="17"/>
              </w:rPr>
              <w:t>Chatbot declines when content is uncovered</w:t>
            </w:r>
          </w:p>
        </w:tc>
        <w:tc>
          <w:tcPr>
            <w:tcW w:type="dxa" w:w="2880"/>
            <w:tcMar>
              <w:top w:w="40" w:type="dxa"/>
              <w:bottom w:w="40" w:type="dxa"/>
              <w:start w:w="80" w:type="dxa"/>
              <w:end w:w="80" w:type="dxa"/>
            </w:tcMar>
            <w:shd w:val="clear" w:color="auto" w:fill="EAF0F6"/>
          </w:tcPr>
          <w:p>
            <w:r>
              <w:rPr>
                <w:sz w:val="17"/>
              </w:rPr>
              <w:t>Out-of-scope questions refused, not fabricated</w:t>
            </w:r>
          </w:p>
        </w:tc>
      </w:tr>
      <w:tr>
        <w:tc>
          <w:tcPr>
            <w:tcW w:type="dxa" w:w="2448"/>
            <w:tcMar>
              <w:top w:w="40" w:type="dxa"/>
              <w:bottom w:w="40" w:type="dxa"/>
              <w:start w:w="80" w:type="dxa"/>
              <w:end w:w="80" w:type="dxa"/>
            </w:tcMar>
          </w:tcPr>
          <w:p>
            <w:r>
              <w:rPr>
                <w:sz w:val="17"/>
              </w:rPr>
              <w:t>3D time-to-interactive</w:t>
            </w:r>
          </w:p>
        </w:tc>
        <w:tc>
          <w:tcPr>
            <w:tcW w:type="dxa" w:w="3888"/>
            <w:tcMar>
              <w:top w:w="40" w:type="dxa"/>
              <w:bottom w:w="40" w:type="dxa"/>
              <w:start w:w="80" w:type="dxa"/>
              <w:end w:w="80" w:type="dxa"/>
            </w:tcMar>
          </w:tcPr>
          <w:p>
            <w:r>
              <w:rPr>
                <w:sz w:val="17"/>
              </w:rPr>
              <w:t>Model load to interactive</w:t>
            </w:r>
          </w:p>
        </w:tc>
        <w:tc>
          <w:tcPr>
            <w:tcW w:type="dxa" w:w="2880"/>
            <w:tcMar>
              <w:top w:w="40" w:type="dxa"/>
              <w:bottom w:w="40" w:type="dxa"/>
              <w:start w:w="80" w:type="dxa"/>
              <w:end w:w="80" w:type="dxa"/>
            </w:tcMar>
          </w:tcPr>
          <w:p>
            <w:r>
              <w:rPr>
                <w:sz w:val="17"/>
              </w:rPr>
              <w:t>Within agreed target on demo hardware</w:t>
            </w:r>
          </w:p>
        </w:tc>
      </w:tr>
      <w:tr>
        <w:tc>
          <w:tcPr>
            <w:tcW w:type="dxa" w:w="2448"/>
            <w:tcMar>
              <w:top w:w="40" w:type="dxa"/>
              <w:bottom w:w="40" w:type="dxa"/>
              <w:start w:w="80" w:type="dxa"/>
              <w:end w:w="80" w:type="dxa"/>
            </w:tcMar>
            <w:shd w:val="clear" w:color="auto" w:fill="EAF0F6"/>
          </w:tcPr>
          <w:p>
            <w:r>
              <w:rPr>
                <w:sz w:val="17"/>
              </w:rPr>
              <w:t>Progress accuracy</w:t>
            </w:r>
          </w:p>
        </w:tc>
        <w:tc>
          <w:tcPr>
            <w:tcW w:type="dxa" w:w="3888"/>
            <w:tcMar>
              <w:top w:w="40" w:type="dxa"/>
              <w:bottom w:w="40" w:type="dxa"/>
              <w:start w:w="80" w:type="dxa"/>
              <w:end w:w="80" w:type="dxa"/>
            </w:tcMar>
            <w:shd w:val="clear" w:color="auto" w:fill="EAF0F6"/>
          </w:tcPr>
          <w:p>
            <w:r>
              <w:rPr>
                <w:sz w:val="17"/>
              </w:rPr>
              <w:t>Dashboard reflects actual completion</w:t>
            </w:r>
          </w:p>
        </w:tc>
        <w:tc>
          <w:tcPr>
            <w:tcW w:type="dxa" w:w="2880"/>
            <w:tcMar>
              <w:top w:w="40" w:type="dxa"/>
              <w:bottom w:w="40" w:type="dxa"/>
              <w:start w:w="80" w:type="dxa"/>
              <w:end w:w="80" w:type="dxa"/>
            </w:tcMar>
            <w:shd w:val="clear" w:color="auto" w:fill="EAF0F6"/>
          </w:tcPr>
          <w:p>
            <w:r>
              <w:rPr>
                <w:sz w:val="17"/>
              </w:rPr>
              <w:t>Progress &amp; completion match on test runs</w:t>
            </w:r>
          </w:p>
        </w:tc>
      </w:tr>
    </w:tbl>
    <w:p>
      <w:pPr>
        <w:spacing w:after="40"/>
      </w:pPr>
    </w:p>
    <w:p>
      <w:pPr>
        <w:pStyle w:val="Heading2"/>
      </w:pPr>
      <w:r>
        <w:t>2.2 Non-goals (POC)</w:t>
      </w:r>
    </w:p>
    <w:p>
      <w:pPr>
        <w:pStyle w:val="ListBullet"/>
        <w:spacing w:after="40"/>
      </w:pPr>
      <w:r>
        <w:t>Admin-uploaded 3D assets (the POC ships a fixed library of five preloaded models).</w:t>
      </w:r>
    </w:p>
    <w:p>
      <w:pPr>
        <w:pStyle w:val="ListBullet"/>
        <w:spacing w:after="40"/>
      </w:pPr>
      <w:r>
        <w:t>Full physics simulation or VR/AR headset delivery (browser 3D only).</w:t>
      </w:r>
    </w:p>
    <w:p>
      <w:pPr>
        <w:pStyle w:val="ListBullet"/>
        <w:spacing w:after="40"/>
      </w:pPr>
      <w:r>
        <w:t>Integration with / dependency on an external LMS (this is a self-contained LMS; export to another LMS is a future option).</w:t>
      </w:r>
    </w:p>
    <w:p>
      <w:pPr>
        <w:pStyle w:val="ListBullet"/>
        <w:spacing w:after="40"/>
      </w:pPr>
      <w:r>
        <w:t>Authoring beyond the uploaded sample materials.</w:t>
      </w:r>
    </w:p>
    <w:p>
      <w:pPr>
        <w:pStyle w:val="ListBullet"/>
        <w:spacing w:after="40"/>
      </w:pPr>
      <w:r>
        <w:t>Production security accreditation (target posture documented, not certified).</w:t>
      </w:r>
    </w:p>
    <w:p>
      <w:pPr>
        <w:pStyle w:val="Heading1"/>
      </w:pPr>
      <w:r>
        <w:t>3. Users &amp; Roles</w:t>
      </w:r>
    </w:p>
    <w:p>
      <w:pPr>
        <w:spacing w:after="120"/>
      </w:pPr>
      <w:r>
        <w:rPr>
          <w:i w:val="0"/>
          <w:sz w:val="21"/>
        </w:rPr>
        <w:t>The platform has two roles.</w:t>
      </w:r>
    </w:p>
    <w:tbl>
      <w:tblPr>
        <w:tblStyle w:val="TableGrid"/>
        <w:tblW w:type="auto" w:w="0"/>
        <w:jc w:val="center"/>
        <w:tblLayout w:type="fixed"/>
        <w:tblLook w:firstColumn="1" w:firstRow="1" w:lastColumn="0" w:lastRow="0" w:noHBand="0" w:noVBand="1" w:val="04A0"/>
        <w:tblLayout w:type="fixed"/>
      </w:tblPr>
      <w:tblGrid>
        <w:gridCol w:w="3061"/>
        <w:gridCol w:w="3061"/>
        <w:gridCol w:w="3061"/>
      </w:tblGrid>
      <w:tr>
        <w:tc>
          <w:tcPr>
            <w:tcW w:type="dxa" w:w="1584"/>
            <w:shd w:val="clear" w:color="auto" w:fill="1F4E79"/>
            <w:tcMar>
              <w:top w:w="40" w:type="dxa"/>
              <w:bottom w:w="40" w:type="dxa"/>
              <w:start w:w="80" w:type="dxa"/>
              <w:end w:w="80" w:type="dxa"/>
            </w:tcMar>
          </w:tcPr>
          <w:p>
            <w:r>
              <w:rPr>
                <w:rFonts w:ascii="Calibri" w:hAnsi="Calibri"/>
                <w:b/>
                <w:i w:val="0"/>
                <w:color w:val="FFFFFF"/>
                <w:sz w:val="19"/>
              </w:rPr>
              <w:t>Role</w:t>
            </w:r>
          </w:p>
        </w:tc>
        <w:tc>
          <w:tcPr>
            <w:tcW w:type="dxa" w:w="2736"/>
            <w:shd w:val="clear" w:color="auto" w:fill="1F4E79"/>
            <w:tcMar>
              <w:top w:w="40" w:type="dxa"/>
              <w:bottom w:w="40" w:type="dxa"/>
              <w:start w:w="80" w:type="dxa"/>
              <w:end w:w="80" w:type="dxa"/>
            </w:tcMar>
          </w:tcPr>
          <w:p>
            <w:r>
              <w:rPr>
                <w:rFonts w:ascii="Calibri" w:hAnsi="Calibri"/>
                <w:b/>
                <w:i w:val="0"/>
                <w:color w:val="FFFFFF"/>
                <w:sz w:val="19"/>
              </w:rPr>
              <w:t>Who they are</w:t>
            </w:r>
          </w:p>
        </w:tc>
        <w:tc>
          <w:tcPr>
            <w:tcW w:type="dxa" w:w="4896"/>
            <w:shd w:val="clear" w:color="auto" w:fill="1F4E79"/>
            <w:tcMar>
              <w:top w:w="40" w:type="dxa"/>
              <w:bottom w:w="40" w:type="dxa"/>
              <w:start w:w="80" w:type="dxa"/>
              <w:end w:w="80" w:type="dxa"/>
            </w:tcMar>
          </w:tcPr>
          <w:p>
            <w:r>
              <w:rPr>
                <w:rFonts w:ascii="Calibri" w:hAnsi="Calibri"/>
                <w:b/>
                <w:i w:val="0"/>
                <w:color w:val="FFFFFF"/>
                <w:sz w:val="19"/>
              </w:rPr>
              <w:t>What they do</w:t>
            </w:r>
          </w:p>
        </w:tc>
      </w:tr>
      <w:tr>
        <w:tc>
          <w:tcPr>
            <w:tcW w:type="dxa" w:w="1584"/>
            <w:tcMar>
              <w:top w:w="40" w:type="dxa"/>
              <w:bottom w:w="40" w:type="dxa"/>
              <w:start w:w="80" w:type="dxa"/>
              <w:end w:w="80" w:type="dxa"/>
            </w:tcMar>
          </w:tcPr>
          <w:p>
            <w:r>
              <w:rPr>
                <w:sz w:val="18"/>
              </w:rPr>
              <w:t>Admin</w:t>
            </w:r>
          </w:p>
        </w:tc>
        <w:tc>
          <w:tcPr>
            <w:tcW w:type="dxa" w:w="2736"/>
            <w:tcMar>
              <w:top w:w="40" w:type="dxa"/>
              <w:bottom w:w="40" w:type="dxa"/>
              <w:start w:w="80" w:type="dxa"/>
              <w:end w:w="80" w:type="dxa"/>
            </w:tcMar>
          </w:tcPr>
          <w:p>
            <w:r>
              <w:rPr>
                <w:sz w:val="18"/>
              </w:rPr>
              <w:t>Runs the LMS and its content</w:t>
            </w:r>
          </w:p>
        </w:tc>
        <w:tc>
          <w:tcPr>
            <w:tcW w:type="dxa" w:w="4896"/>
            <w:tcMar>
              <w:top w:w="40" w:type="dxa"/>
              <w:bottom w:w="40" w:type="dxa"/>
              <w:start w:w="80" w:type="dxa"/>
              <w:end w:w="80" w:type="dxa"/>
            </w:tcMar>
          </w:tcPr>
          <w:p>
            <w:r>
              <w:rPr>
                <w:sz w:val="18"/>
              </w:rPr>
              <w:t>Uploads materials, reviews and publishes the auto-generated subjects/courses and quizzes, associates a preloaded 3D model with a lesson where suitable, configures the model provider, and reviews analytics and audit</w:t>
            </w:r>
          </w:p>
        </w:tc>
      </w:tr>
      <w:tr>
        <w:tc>
          <w:tcPr>
            <w:tcW w:type="dxa" w:w="1584"/>
            <w:tcMar>
              <w:top w:w="40" w:type="dxa"/>
              <w:bottom w:w="40" w:type="dxa"/>
              <w:start w:w="80" w:type="dxa"/>
              <w:end w:w="80" w:type="dxa"/>
            </w:tcMar>
            <w:shd w:val="clear" w:color="auto" w:fill="EAF0F6"/>
          </w:tcPr>
          <w:p>
            <w:r>
              <w:rPr>
                <w:sz w:val="18"/>
              </w:rPr>
              <w:t>Learner</w:t>
            </w:r>
          </w:p>
        </w:tc>
        <w:tc>
          <w:tcPr>
            <w:tcW w:type="dxa" w:w="2736"/>
            <w:tcMar>
              <w:top w:w="40" w:type="dxa"/>
              <w:bottom w:w="40" w:type="dxa"/>
              <w:start w:w="80" w:type="dxa"/>
              <w:end w:w="80" w:type="dxa"/>
            </w:tcMar>
            <w:shd w:val="clear" w:color="auto" w:fill="EAF0F6"/>
          </w:tcPr>
          <w:p>
            <w:r>
              <w:rPr>
                <w:sz w:val="18"/>
              </w:rPr>
              <w:t>Studies on the LMS</w:t>
            </w:r>
          </w:p>
        </w:tc>
        <w:tc>
          <w:tcPr>
            <w:tcW w:type="dxa" w:w="4896"/>
            <w:tcMar>
              <w:top w:w="40" w:type="dxa"/>
              <w:bottom w:w="40" w:type="dxa"/>
              <w:start w:w="80" w:type="dxa"/>
              <w:end w:w="80" w:type="dxa"/>
            </w:tcMar>
            <w:shd w:val="clear" w:color="auto" w:fill="EAF0F6"/>
          </w:tcPr>
          <w:p>
            <w:r>
              <w:rPr>
                <w:sz w:val="18"/>
              </w:rPr>
              <w:t>Browses the catalog, enrols in courses, studies lessons (with 3D where shown), asks the doubt-clearing chatbot, takes quizzes, and tracks their progress</w:t>
            </w:r>
          </w:p>
        </w:tc>
      </w:tr>
    </w:tbl>
    <w:p>
      <w:pPr>
        <w:spacing w:after="40"/>
      </w:pPr>
    </w:p>
    <w:p>
      <w:pPr>
        <w:pStyle w:val="Heading1"/>
      </w:pPr>
      <w:r>
        <w:t>4. Core Capabilities (pillars + shared mechanisms)</w:t>
      </w:r>
    </w:p>
    <w:p>
      <w:pPr>
        <w:spacing w:after="120"/>
      </w:pPr>
      <w:r>
        <w:rPr>
          <w:i w:val="0"/>
          <w:sz w:val="21"/>
        </w:rPr>
        <w:t>Seven capability pillars (4.1–4.7) sit on three shared mechanisms — the content ingestion &amp; AI structuring pipeline (4.8), the model gateway (4.9), and access control &amp; audit (4.10).</w:t>
      </w:r>
    </w:p>
    <w:p>
      <w:pPr>
        <w:pStyle w:val="Heading2"/>
      </w:pPr>
      <w:r>
        <w:t>4.1 Material Upload &amp; AI Course Generation</w:t>
      </w:r>
    </w:p>
    <w:p>
      <w:pPr>
        <w:spacing w:after="120"/>
      </w:pPr>
      <w:r>
        <w:rPr>
          <w:i w:val="0"/>
          <w:sz w:val="21"/>
        </w:rPr>
        <w:t>The admin uploads the books and materials (PDF/DOCX/PPTX, OCR'd if scanned). The platform analyzes the content, splits it into subjects, and generates a structured course for each subject. The admin reviews, edits and publishes; nothing goes live automatically.</w:t>
      </w:r>
    </w:p>
    <w:p>
      <w:pPr>
        <w:pStyle w:val="Heading3"/>
      </w:pPr>
      <w:r>
        <w:t>4.1.1 Auto-subject splitting &amp; course structure</w:t>
      </w:r>
    </w:p>
    <w:p>
      <w:pPr>
        <w:pStyle w:val="ListBullet"/>
        <w:spacing w:after="40"/>
      </w:pPr>
      <w:r>
        <w:t>Content is classified and segmented by topic into subjects (e.g., Vehicle Mechanics, Field Communications, Weapon Handling).</w:t>
      </w:r>
    </w:p>
    <w:p>
      <w:pPr>
        <w:pStyle w:val="ListBullet"/>
        <w:spacing w:after="40"/>
      </w:pPr>
      <w:r>
        <w:t>Each subject becomes a course with an ordered structure: modules -&gt; lessons.</w:t>
      </w:r>
    </w:p>
    <w:p>
      <w:pPr>
        <w:pStyle w:val="ListBullet"/>
        <w:spacing w:after="40"/>
      </w:pPr>
      <w:r>
        <w:t>Each lesson links back to its source material (document, section, page) for provenance and citations.</w:t>
      </w:r>
    </w:p>
    <w:p>
      <w:pPr>
        <w:pStyle w:val="ListBullet"/>
        <w:spacing w:after="40"/>
      </w:pPr>
      <w:r>
        <w:t>Where a lesson's topic matches a preloaded 3D model (4.4), the model is attached to that lesson.</w:t>
      </w:r>
    </w:p>
    <w:p>
      <w:pPr>
        <w:pStyle w:val="Heading3"/>
      </w:pPr>
      <w:r>
        <w:t>4.1.2 Generated course anatomy</w:t>
      </w:r>
    </w:p>
    <w:p>
      <w:pPr>
        <w:spacing w:after="120"/>
      </w:pPr>
      <w:r>
        <w:rPr>
          <w:i w:val="0"/>
          <w:sz w:val="21"/>
        </w:rPr>
        <w:t>Each generated course carries learning objectives, ordered modules and lessons, a glossary of key terms, and a quiz bank. The generated structure is data the admin can edit:</w:t>
      </w:r>
    </w:p>
    <w:tbl>
      <w:tblPr>
        <w:tblStyle w:val="TableGrid"/>
        <w:tblW w:type="auto" w:w="0"/>
        <w:tblLayout w:type="fixed"/>
        <w:tblLook w:firstColumn="1" w:firstRow="1" w:lastColumn="0" w:lastRow="0" w:noHBand="0" w:noVBand="1" w:val="04A0"/>
        <w:tblLayout w:type="fixed"/>
      </w:tblPr>
      <w:tblGrid>
        <w:gridCol w:w="9184"/>
      </w:tblGrid>
      <w:tr>
        <w:tc>
          <w:tcPr>
            <w:tcW w:type="dxa" w:w="9216"/>
            <w:shd w:val="clear" w:color="auto" w:fill="F3F5F7"/>
            <w:tcMar>
              <w:top w:w="70" w:type="dxa"/>
              <w:bottom w:w="70" w:type="dxa"/>
              <w:start w:w="120" w:type="dxa"/>
              <w:end w:w="120" w:type="dxa"/>
            </w:tcMar>
          </w:tcPr>
          <w:p>
            <w:pPr>
              <w:spacing w:after="0"/>
            </w:pPr>
            <w:r>
              <w:rPr>
                <w:rFonts w:ascii="Consolas" w:hAnsi="Consolas"/>
                <w:color w:val="142A40"/>
                <w:sz w:val="17"/>
              </w:rPr>
              <w:t>// generated course structure (admin reviews &amp; edits before publish)</w:t>
            </w:r>
          </w:p>
          <w:p>
            <w:pPr>
              <w:spacing w:after="0"/>
            </w:pPr>
            <w:r>
              <w:rPr>
                <w:rFonts w:ascii="Consolas" w:hAnsi="Consolas"/>
                <w:color w:val="142A40"/>
                <w:sz w:val="17"/>
              </w:rPr>
              <w:t>{</w:t>
            </w:r>
          </w:p>
          <w:p>
            <w:pPr>
              <w:spacing w:after="0"/>
            </w:pPr>
            <w:r>
              <w:rPr>
                <w:rFonts w:ascii="Consolas" w:hAnsi="Consolas"/>
                <w:color w:val="142A40"/>
                <w:sz w:val="17"/>
              </w:rPr>
              <w:t xml:space="preserve">  "subject": "Vehicle Mechanics",</w:t>
            </w:r>
          </w:p>
          <w:p>
            <w:pPr>
              <w:spacing w:after="0"/>
            </w:pPr>
            <w:r>
              <w:rPr>
                <w:rFonts w:ascii="Consolas" w:hAnsi="Consolas"/>
                <w:color w:val="142A40"/>
                <w:sz w:val="17"/>
              </w:rPr>
              <w:t xml:space="preserve">  "course": {</w:t>
            </w:r>
          </w:p>
          <w:p>
            <w:pPr>
              <w:spacing w:after="0"/>
            </w:pPr>
            <w:r>
              <w:rPr>
                <w:rFonts w:ascii="Consolas" w:hAnsi="Consolas"/>
                <w:color w:val="142A40"/>
                <w:sz w:val="17"/>
              </w:rPr>
              <w:t xml:space="preserve">    "id": "crs-veh-mech", "title": "Vehicle Mechanics - Fundamentals",</w:t>
            </w:r>
          </w:p>
          <w:p>
            <w:pPr>
              <w:spacing w:after="0"/>
            </w:pPr>
            <w:r>
              <w:rPr>
                <w:rFonts w:ascii="Consolas" w:hAnsi="Consolas"/>
                <w:color w:val="142A40"/>
                <w:sz w:val="17"/>
              </w:rPr>
              <w:t xml:space="preserve">    "objectives": ["Identify major assemblies", "Perform first-line checks"],</w:t>
            </w:r>
          </w:p>
          <w:p>
            <w:pPr>
              <w:spacing w:after="0"/>
            </w:pPr>
            <w:r>
              <w:rPr>
                <w:rFonts w:ascii="Consolas" w:hAnsi="Consolas"/>
                <w:color w:val="142A40"/>
                <w:sz w:val="17"/>
              </w:rPr>
              <w:t xml:space="preserve">    "modules": [</w:t>
            </w:r>
          </w:p>
          <w:p>
            <w:pPr>
              <w:spacing w:after="0"/>
            </w:pPr>
            <w:r>
              <w:rPr>
                <w:rFonts w:ascii="Consolas" w:hAnsi="Consolas"/>
                <w:color w:val="142A40"/>
                <w:sz w:val="17"/>
              </w:rPr>
              <w:t xml:space="preserve">      { "title": "Powerpack", "lessons": [</w:t>
            </w:r>
          </w:p>
          <w:p>
            <w:pPr>
              <w:spacing w:after="0"/>
            </w:pPr>
            <w:r>
              <w:rPr>
                <w:rFonts w:ascii="Consolas" w:hAnsi="Consolas"/>
                <w:color w:val="142A40"/>
                <w:sz w:val="17"/>
              </w:rPr>
              <w:t xml:space="preserve">          { "id": "les-engine-01", "title": "Engine overview",</w:t>
            </w:r>
          </w:p>
          <w:p>
            <w:pPr>
              <w:spacing w:after="0"/>
            </w:pPr>
            <w:r>
              <w:rPr>
                <w:rFonts w:ascii="Consolas" w:hAnsi="Consolas"/>
                <w:color w:val="142A40"/>
                <w:sz w:val="17"/>
              </w:rPr>
              <w:t xml:space="preserve">            "sourceRef": { "doc": "BOOK-VEH-01", "section": "2.1", "page": 18 },</w:t>
            </w:r>
          </w:p>
          <w:p>
            <w:pPr>
              <w:spacing w:after="0"/>
            </w:pPr>
            <w:r>
              <w:rPr>
                <w:rFonts w:ascii="Consolas" w:hAnsi="Consolas"/>
                <w:color w:val="142A40"/>
                <w:sz w:val="17"/>
              </w:rPr>
              <w:t xml:space="preserve">            "model3d": "engine-cutaway" },        // 3D attached where suitable</w:t>
            </w:r>
          </w:p>
          <w:p>
            <w:pPr>
              <w:spacing w:after="0"/>
            </w:pPr>
            <w:r>
              <w:rPr>
                <w:rFonts w:ascii="Consolas" w:hAnsi="Consolas"/>
                <w:color w:val="142A40"/>
                <w:sz w:val="17"/>
              </w:rPr>
              <w:t xml:space="preserve">          { "id": "les-cooling-01", "title": "Cooling system",</w:t>
            </w:r>
          </w:p>
          <w:p>
            <w:pPr>
              <w:spacing w:after="0"/>
            </w:pPr>
            <w:r>
              <w:rPr>
                <w:rFonts w:ascii="Consolas" w:hAnsi="Consolas"/>
                <w:color w:val="142A40"/>
                <w:sz w:val="17"/>
              </w:rPr>
              <w:t xml:space="preserve">            "sourceRef": { "doc": "BOOK-VEH-01", "section": "2.4", "page": 41 } }</w:t>
            </w:r>
          </w:p>
          <w:p>
            <w:pPr>
              <w:spacing w:after="0"/>
            </w:pPr>
            <w:r>
              <w:rPr>
                <w:rFonts w:ascii="Consolas" w:hAnsi="Consolas"/>
                <w:color w:val="142A40"/>
                <w:sz w:val="17"/>
              </w:rPr>
              <w:t xml:space="preserve">      ]}</w:t>
            </w:r>
          </w:p>
          <w:p>
            <w:pPr>
              <w:spacing w:after="0"/>
            </w:pPr>
            <w:r>
              <w:rPr>
                <w:rFonts w:ascii="Consolas" w:hAnsi="Consolas"/>
                <w:color w:val="142A40"/>
                <w:sz w:val="17"/>
              </w:rPr>
              <w:t xml:space="preserve">    ],</w:t>
            </w:r>
          </w:p>
          <w:p>
            <w:pPr>
              <w:spacing w:after="0"/>
            </w:pPr>
            <w:r>
              <w:rPr>
                <w:rFonts w:ascii="Consolas" w:hAnsi="Consolas"/>
                <w:color w:val="142A40"/>
                <w:sz w:val="17"/>
              </w:rPr>
              <w:t xml:space="preserve">    "glossary": 24, "quizBank": 12</w:t>
            </w:r>
          </w:p>
          <w:p>
            <w:pPr>
              <w:spacing w:after="0"/>
            </w:pPr>
            <w:r>
              <w:rPr>
                <w:rFonts w:ascii="Consolas" w:hAnsi="Consolas"/>
                <w:color w:val="142A40"/>
                <w:sz w:val="17"/>
              </w:rPr>
              <w:t xml:space="preserve">  }</w:t>
            </w:r>
          </w:p>
          <w:p>
            <w:pPr>
              <w:spacing w:after="0"/>
            </w:pPr>
            <w:r>
              <w:rPr>
                <w:rFonts w:ascii="Consolas" w:hAnsi="Consolas"/>
                <w:color w:val="142A40"/>
                <w:sz w:val="17"/>
              </w:rPr>
              <w:t>}</w:t>
            </w:r>
          </w:p>
        </w:tc>
      </w:tr>
    </w:tbl>
    <w:p>
      <w:pPr>
        <w:spacing w:after="40"/>
      </w:pPr>
    </w:p>
    <w:tbl>
      <w:tblPr>
        <w:tblStyle w:val="TableGrid"/>
        <w:tblW w:type="auto" w:w="0"/>
        <w:tblLayout w:type="fixed"/>
        <w:tblLook w:firstColumn="1" w:firstRow="1" w:lastColumn="0" w:lastRow="0" w:noHBand="0" w:noVBand="1" w:val="04A0"/>
        <w:tblLayout w:type="fixed"/>
      </w:tblPr>
      <w:tblGrid>
        <w:gridCol w:w="9184"/>
      </w:tblGrid>
      <w:tr>
        <w:tc>
          <w:tcPr>
            <w:tcW w:type="dxa" w:w="9216"/>
            <w:shd w:val="clear" w:color="auto" w:fill="EAF0F6"/>
            <w:tcMar>
              <w:top w:w="80" w:type="dxa"/>
              <w:bottom w:w="80" w:type="dxa"/>
              <w:start w:w="140" w:type="dxa"/>
              <w:end w:w="140" w:type="dxa"/>
            </w:tcMar>
          </w:tcPr>
          <w:p>
            <w:r>
              <w:rPr>
                <w:b/>
                <w:color w:val="1F4E79"/>
                <w:sz w:val="19"/>
              </w:rPr>
              <w:t xml:space="preserve">Rules:  </w:t>
            </w:r>
            <w:r>
              <w:rPr>
                <w:sz w:val="19"/>
              </w:rPr>
              <w:t>Auto-generated subjects, courses and quizzes are drafts: an admin must review, edit and approve before publish. Provenance is preserved (lesson -&gt; source section). Courses are versioned and can be published/unpublished.</w:t>
            </w:r>
          </w:p>
        </w:tc>
      </w:tr>
    </w:tbl>
    <w:p>
      <w:pPr>
        <w:spacing w:after="40"/>
      </w:pPr>
    </w:p>
    <w:p>
      <w:pPr>
        <w:pStyle w:val="Heading2"/>
      </w:pPr>
      <w:r>
        <w:t>4.2 Course Catalog, Subjects &amp; Enrolment</w:t>
      </w:r>
    </w:p>
    <w:p>
      <w:pPr>
        <w:pStyle w:val="ListBullet"/>
        <w:spacing w:after="40"/>
      </w:pPr>
      <w:r>
        <w:t>A catalog presents published courses grouped by subject, with objectives and a short description.</w:t>
      </w:r>
    </w:p>
    <w:p>
      <w:pPr>
        <w:pStyle w:val="ListBullet"/>
        <w:spacing w:after="40"/>
      </w:pPr>
      <w:r>
        <w:t>Learners self-enrol, or an admin assigns a course/cohort.</w:t>
      </w:r>
    </w:p>
    <w:p>
      <w:pPr>
        <w:pStyle w:val="ListBullet"/>
        <w:spacing w:after="40"/>
      </w:pPr>
      <w:r>
        <w:t>The course page shows its modules and lessons, the learner's progress, and a resume point.</w:t>
      </w:r>
    </w:p>
    <w:p>
      <w:pPr>
        <w:pStyle w:val="Heading2"/>
      </w:pPr>
      <w:r>
        <w:t>4.3 Learning Delivery</w:t>
      </w:r>
    </w:p>
    <w:p>
      <w:pPr>
        <w:pStyle w:val="ListBullet"/>
        <w:spacing w:after="40"/>
      </w:pPr>
      <w:r>
        <w:t>Lessons are delivered in a guided flow (text, media, 3D where present, then a check/quiz).</w:t>
      </w:r>
    </w:p>
    <w:p>
      <w:pPr>
        <w:pStyle w:val="ListBullet"/>
        <w:spacing w:after="40"/>
      </w:pPr>
      <w:r>
        <w:t>Lesson completion is tracked; learners resume from where they left off.</w:t>
      </w:r>
    </w:p>
    <w:p>
      <w:pPr>
        <w:pStyle w:val="ListBullet"/>
        <w:spacing w:after="40"/>
      </w:pPr>
      <w:r>
        <w:t>Self-paced navigation with a recommended sequence; responsive on desktop and tablet.</w:t>
      </w:r>
    </w:p>
    <w:p>
      <w:pPr>
        <w:pStyle w:val="Heading2"/>
      </w:pPr>
      <w:r>
        <w:t>4.4 Interactive 3D Equipment Visualization</w:t>
      </w:r>
    </w:p>
    <w:p>
      <w:pPr>
        <w:spacing w:after="120"/>
      </w:pPr>
      <w:r>
        <w:rPr>
          <w:i w:val="0"/>
          <w:sz w:val="21"/>
        </w:rPr>
        <w:t>Where a lesson's topic suits it, the lesson shows an interactive 3D model with annotated components. For the POC the platform ships a fixed library of five preloaded, licence-clear 3D models; admins associate a model with a lesson but do not upload 3D assets.</w:t>
      </w:r>
    </w:p>
    <w:p>
      <w:pPr>
        <w:pStyle w:val="Heading3"/>
      </w:pPr>
      <w:r>
        <w:t>4.4.1 Preloaded 3D library (POC)</w:t>
      </w:r>
    </w:p>
    <w:tbl>
      <w:tblPr>
        <w:tblStyle w:val="TableGrid"/>
        <w:tblW w:type="auto" w:w="0"/>
        <w:jc w:val="center"/>
        <w:tblLayout w:type="fixed"/>
        <w:tblLook w:firstColumn="1" w:firstRow="1" w:lastColumn="0" w:lastRow="0" w:noHBand="0" w:noVBand="1" w:val="04A0"/>
        <w:tblLayout w:type="fixed"/>
      </w:tblPr>
      <w:tblGrid>
        <w:gridCol w:w="4592"/>
        <w:gridCol w:w="4592"/>
      </w:tblGrid>
      <w:tr>
        <w:tc>
          <w:tcPr>
            <w:tcW w:type="dxa" w:w="3312"/>
            <w:shd w:val="clear" w:color="auto" w:fill="1F4E79"/>
            <w:tcMar>
              <w:top w:w="40" w:type="dxa"/>
              <w:bottom w:w="40" w:type="dxa"/>
              <w:start w:w="80" w:type="dxa"/>
              <w:end w:w="80" w:type="dxa"/>
            </w:tcMar>
          </w:tcPr>
          <w:p>
            <w:r>
              <w:rPr>
                <w:rFonts w:ascii="Calibri" w:hAnsi="Calibri"/>
                <w:b/>
                <w:i w:val="0"/>
                <w:color w:val="FFFFFF"/>
                <w:sz w:val="19"/>
              </w:rPr>
              <w:t>Preloaded model</w:t>
            </w:r>
          </w:p>
        </w:tc>
        <w:tc>
          <w:tcPr>
            <w:tcW w:type="dxa" w:w="5904"/>
            <w:shd w:val="clear" w:color="auto" w:fill="1F4E79"/>
            <w:tcMar>
              <w:top w:w="40" w:type="dxa"/>
              <w:bottom w:w="40" w:type="dxa"/>
              <w:start w:w="80" w:type="dxa"/>
              <w:end w:w="80" w:type="dxa"/>
            </w:tcMar>
          </w:tcPr>
          <w:p>
            <w:r>
              <w:rPr>
                <w:rFonts w:ascii="Calibri" w:hAnsi="Calibri"/>
                <w:b/>
                <w:i w:val="0"/>
                <w:color w:val="FFFFFF"/>
                <w:sz w:val="19"/>
              </w:rPr>
              <w:t>Suitable for (example subject / lesson)</w:t>
            </w:r>
          </w:p>
        </w:tc>
      </w:tr>
      <w:tr>
        <w:tc>
          <w:tcPr>
            <w:tcW w:type="dxa" w:w="3312"/>
            <w:tcMar>
              <w:top w:w="40" w:type="dxa"/>
              <w:bottom w:w="40" w:type="dxa"/>
              <w:start w:w="80" w:type="dxa"/>
              <w:end w:w="80" w:type="dxa"/>
            </w:tcMar>
          </w:tcPr>
          <w:p>
            <w:r>
              <w:rPr>
                <w:sz w:val="18"/>
              </w:rPr>
              <w:t>Utility / recovery vehicle</w:t>
            </w:r>
          </w:p>
        </w:tc>
        <w:tc>
          <w:tcPr>
            <w:tcW w:type="dxa" w:w="5904"/>
            <w:tcMar>
              <w:top w:w="40" w:type="dxa"/>
              <w:bottom w:w="40" w:type="dxa"/>
              <w:start w:w="80" w:type="dxa"/>
              <w:end w:w="80" w:type="dxa"/>
            </w:tcMar>
          </w:tcPr>
          <w:p>
            <w:r>
              <w:rPr>
                <w:sz w:val="18"/>
              </w:rPr>
              <w:t>Vehicle mechanics — assemblies, first-line checks</w:t>
            </w:r>
          </w:p>
        </w:tc>
      </w:tr>
      <w:tr>
        <w:tc>
          <w:tcPr>
            <w:tcW w:type="dxa" w:w="3312"/>
            <w:tcMar>
              <w:top w:w="40" w:type="dxa"/>
              <w:bottom w:w="40" w:type="dxa"/>
              <w:start w:w="80" w:type="dxa"/>
              <w:end w:w="80" w:type="dxa"/>
            </w:tcMar>
            <w:shd w:val="clear" w:color="auto" w:fill="EAF0F6"/>
          </w:tcPr>
          <w:p>
            <w:r>
              <w:rPr>
                <w:sz w:val="18"/>
              </w:rPr>
              <w:t>Engine / powerpack (cutaway)</w:t>
            </w:r>
          </w:p>
        </w:tc>
        <w:tc>
          <w:tcPr>
            <w:tcW w:type="dxa" w:w="5904"/>
            <w:tcMar>
              <w:top w:w="40" w:type="dxa"/>
              <w:bottom w:w="40" w:type="dxa"/>
              <w:start w:w="80" w:type="dxa"/>
              <w:end w:w="80" w:type="dxa"/>
            </w:tcMar>
            <w:shd w:val="clear" w:color="auto" w:fill="EAF0F6"/>
          </w:tcPr>
          <w:p>
            <w:r>
              <w:rPr>
                <w:sz w:val="18"/>
              </w:rPr>
              <w:t>Powerpack — engine overview, cooling, lubrication</w:t>
            </w:r>
          </w:p>
        </w:tc>
      </w:tr>
      <w:tr>
        <w:tc>
          <w:tcPr>
            <w:tcW w:type="dxa" w:w="3312"/>
            <w:tcMar>
              <w:top w:w="40" w:type="dxa"/>
              <w:bottom w:w="40" w:type="dxa"/>
              <w:start w:w="80" w:type="dxa"/>
              <w:end w:w="80" w:type="dxa"/>
            </w:tcMar>
          </w:tcPr>
          <w:p>
            <w:r>
              <w:rPr>
                <w:sz w:val="18"/>
              </w:rPr>
              <w:t>Portable generator set</w:t>
            </w:r>
          </w:p>
        </w:tc>
        <w:tc>
          <w:tcPr>
            <w:tcW w:type="dxa" w:w="5904"/>
            <w:tcMar>
              <w:top w:w="40" w:type="dxa"/>
              <w:bottom w:w="40" w:type="dxa"/>
              <w:start w:w="80" w:type="dxa"/>
              <w:end w:w="80" w:type="dxa"/>
            </w:tcMar>
          </w:tcPr>
          <w:p>
            <w:r>
              <w:rPr>
                <w:sz w:val="18"/>
              </w:rPr>
              <w:t>Field power — generator operation &amp; maintenance</w:t>
            </w:r>
          </w:p>
        </w:tc>
      </w:tr>
      <w:tr>
        <w:tc>
          <w:tcPr>
            <w:tcW w:type="dxa" w:w="3312"/>
            <w:tcMar>
              <w:top w:w="40" w:type="dxa"/>
              <w:bottom w:w="40" w:type="dxa"/>
              <w:start w:w="80" w:type="dxa"/>
              <w:end w:w="80" w:type="dxa"/>
            </w:tcMar>
            <w:shd w:val="clear" w:color="auto" w:fill="EAF0F6"/>
          </w:tcPr>
          <w:p>
            <w:r>
              <w:rPr>
                <w:sz w:val="18"/>
              </w:rPr>
              <w:t>Field radio / transceiver</w:t>
            </w:r>
          </w:p>
        </w:tc>
        <w:tc>
          <w:tcPr>
            <w:tcW w:type="dxa" w:w="5904"/>
            <w:tcMar>
              <w:top w:w="40" w:type="dxa"/>
              <w:bottom w:w="40" w:type="dxa"/>
              <w:start w:w="80" w:type="dxa"/>
              <w:end w:w="80" w:type="dxa"/>
            </w:tcMar>
            <w:shd w:val="clear" w:color="auto" w:fill="EAF0F6"/>
          </w:tcPr>
          <w:p>
            <w:r>
              <w:rPr>
                <w:sz w:val="18"/>
              </w:rPr>
              <w:t>Field communications — controls &amp; connectors</w:t>
            </w:r>
          </w:p>
        </w:tc>
      </w:tr>
      <w:tr>
        <w:tc>
          <w:tcPr>
            <w:tcW w:type="dxa" w:w="3312"/>
            <w:tcMar>
              <w:top w:w="40" w:type="dxa"/>
              <w:bottom w:w="40" w:type="dxa"/>
              <w:start w:w="80" w:type="dxa"/>
              <w:end w:w="80" w:type="dxa"/>
            </w:tcMar>
          </w:tcPr>
          <w:p>
            <w:r>
              <w:rPr>
                <w:sz w:val="18"/>
              </w:rPr>
              <w:t>Small-arms trainer (generic rifle)</w:t>
            </w:r>
          </w:p>
        </w:tc>
        <w:tc>
          <w:tcPr>
            <w:tcW w:type="dxa" w:w="5904"/>
            <w:tcMar>
              <w:top w:w="40" w:type="dxa"/>
              <w:bottom w:w="40" w:type="dxa"/>
              <w:start w:w="80" w:type="dxa"/>
              <w:end w:w="80" w:type="dxa"/>
            </w:tcMar>
          </w:tcPr>
          <w:p>
            <w:r>
              <w:rPr>
                <w:sz w:val="18"/>
              </w:rPr>
              <w:t>Weapon handling — parts, assembly, safety</w:t>
            </w:r>
          </w:p>
        </w:tc>
      </w:tr>
    </w:tbl>
    <w:p>
      <w:pPr>
        <w:spacing w:after="40"/>
      </w:pPr>
    </w:p>
    <w:p>
      <w:pPr>
        <w:pStyle w:val="Heading3"/>
      </w:pPr>
      <w:r>
        <w:t>4.4.2 Hotspots &amp; component explainer</w:t>
      </w:r>
    </w:p>
    <w:p>
      <w:pPr>
        <w:spacing w:after="120"/>
      </w:pPr>
      <w:r>
        <w:rPr>
          <w:i w:val="0"/>
          <w:sz w:val="21"/>
        </w:rPr>
        <w:t>Models carry hotspots that map a 3D point to a named component and its source reference. Selecting a component highlights it and returns a grounded, cited explanation.</w:t>
      </w:r>
    </w:p>
    <w:tbl>
      <w:tblPr>
        <w:tblStyle w:val="TableGrid"/>
        <w:tblW w:type="auto" w:w="0"/>
        <w:tblLayout w:type="fixed"/>
        <w:tblLook w:firstColumn="1" w:firstRow="1" w:lastColumn="0" w:lastRow="0" w:noHBand="0" w:noVBand="1" w:val="04A0"/>
        <w:tblLayout w:type="fixed"/>
      </w:tblPr>
      <w:tblGrid>
        <w:gridCol w:w="9184"/>
      </w:tblGrid>
      <w:tr>
        <w:tc>
          <w:tcPr>
            <w:tcW w:type="dxa" w:w="9216"/>
            <w:shd w:val="clear" w:color="auto" w:fill="F3F5F7"/>
            <w:tcMar>
              <w:top w:w="70" w:type="dxa"/>
              <w:bottom w:w="70" w:type="dxa"/>
              <w:start w:w="120" w:type="dxa"/>
              <w:end w:w="120" w:type="dxa"/>
            </w:tcMar>
          </w:tcPr>
          <w:p>
            <w:pPr>
              <w:spacing w:after="0"/>
            </w:pPr>
            <w:r>
              <w:rPr>
                <w:rFonts w:ascii="Consolas" w:hAnsi="Consolas"/>
                <w:color w:val="142A40"/>
                <w:sz w:val="17"/>
              </w:rPr>
              <w:t>// hotspot map stored per preloaded 3D model (data, not code)</w:t>
            </w:r>
          </w:p>
          <w:p>
            <w:pPr>
              <w:spacing w:after="0"/>
            </w:pPr>
            <w:r>
              <w:rPr>
                <w:rFonts w:ascii="Consolas" w:hAnsi="Consolas"/>
                <w:color w:val="142A40"/>
                <w:sz w:val="17"/>
              </w:rPr>
              <w:t>{</w:t>
            </w:r>
          </w:p>
          <w:p>
            <w:pPr>
              <w:spacing w:after="0"/>
            </w:pPr>
            <w:r>
              <w:rPr>
                <w:rFonts w:ascii="Consolas" w:hAnsi="Consolas"/>
                <w:color w:val="142A40"/>
                <w:sz w:val="17"/>
              </w:rPr>
              <w:t xml:space="preserve">  "modelId": "engine-cutaway",</w:t>
            </w:r>
          </w:p>
          <w:p>
            <w:pPr>
              <w:spacing w:after="0"/>
            </w:pPr>
            <w:r>
              <w:rPr>
                <w:rFonts w:ascii="Consolas" w:hAnsi="Consolas"/>
                <w:color w:val="142A40"/>
                <w:sz w:val="17"/>
              </w:rPr>
              <w:t xml:space="preserve">  "hotspots": [</w:t>
            </w:r>
          </w:p>
          <w:p>
            <w:pPr>
              <w:spacing w:after="0"/>
            </w:pPr>
            <w:r>
              <w:rPr>
                <w:rFonts w:ascii="Consolas" w:hAnsi="Consolas"/>
                <w:color w:val="142A40"/>
                <w:sz w:val="17"/>
              </w:rPr>
              <w:t xml:space="preserve">    { "id": "hs-01", "component": "Coolant pump",</w:t>
            </w:r>
          </w:p>
          <w:p>
            <w:pPr>
              <w:spacing w:after="0"/>
            </w:pPr>
            <w:r>
              <w:rPr>
                <w:rFonts w:ascii="Consolas" w:hAnsi="Consolas"/>
                <w:color w:val="142A40"/>
                <w:sz w:val="17"/>
              </w:rPr>
              <w:t xml:space="preserve">      "position": [0.30, 0.85, -0.12],</w:t>
            </w:r>
          </w:p>
          <w:p>
            <w:pPr>
              <w:spacing w:after="0"/>
            </w:pPr>
            <w:r>
              <w:rPr>
                <w:rFonts w:ascii="Consolas" w:hAnsi="Consolas"/>
                <w:color w:val="142A40"/>
                <w:sz w:val="17"/>
              </w:rPr>
              <w:t xml:space="preserve">      "sourceRef": { "doc": "BOOK-VEH-01", "section": "2.4", "page": 41 } }</w:t>
            </w:r>
          </w:p>
          <w:p>
            <w:pPr>
              <w:spacing w:after="0"/>
            </w:pPr>
            <w:r>
              <w:rPr>
                <w:rFonts w:ascii="Consolas" w:hAnsi="Consolas"/>
                <w:color w:val="142A40"/>
                <w:sz w:val="17"/>
              </w:rPr>
              <w:t xml:space="preserve">  ]</w:t>
            </w:r>
          </w:p>
          <w:p>
            <w:pPr>
              <w:spacing w:after="0"/>
            </w:pPr>
            <w:r>
              <w:rPr>
                <w:rFonts w:ascii="Consolas" w:hAnsi="Consolas"/>
                <w:color w:val="142A40"/>
                <w:sz w:val="17"/>
              </w:rPr>
              <w:t>}</w:t>
            </w:r>
          </w:p>
        </w:tc>
      </w:tr>
    </w:tbl>
    <w:p>
      <w:pPr>
        <w:spacing w:after="40"/>
      </w:pPr>
    </w:p>
    <w:p>
      <w:pPr>
        <w:pStyle w:val="Heading3"/>
      </w:pPr>
      <w:r>
        <w:t>4.4.3 Rendering &amp; performance</w:t>
      </w:r>
    </w:p>
    <w:p>
      <w:pPr>
        <w:pStyle w:val="ListBullet"/>
        <w:spacing w:after="40"/>
      </w:pPr>
      <w:r>
        <w:t>Rendered with WebGL (React Three Fiber / three.js): rotate/pan/zoom, component highlight, preset views.</w:t>
      </w:r>
    </w:p>
    <w:p>
      <w:pPr>
        <w:pStyle w:val="ListBullet"/>
        <w:spacing w:after="40"/>
      </w:pPr>
      <w:r>
        <w:t>Preloaded assets are pre-optimized (compressed glTF/GLB, LODs) to meet the load-time target.</w:t>
      </w:r>
    </w:p>
    <w:p>
      <w:pPr>
        <w:pStyle w:val="ListBullet"/>
        <w:spacing w:after="40"/>
      </w:pPr>
      <w:r>
        <w:t>All assets are served locally (no external CDN) so the viewer works fully air-gapped.</w:t>
      </w:r>
    </w:p>
    <w:p>
      <w:pPr>
        <w:pStyle w:val="ListBullet"/>
        <w:spacing w:after="40"/>
      </w:pPr>
      <w:r>
        <w:t>Graceful degradation to images/diagrams where 3D is unsupported on the device.</w:t>
      </w:r>
    </w:p>
    <w:p>
      <w:pPr>
        <w:pStyle w:val="Heading2"/>
      </w:pPr>
      <w:r>
        <w:t>4.5 Doubt-Clearing AI Chatbot (grounded)</w:t>
      </w:r>
    </w:p>
    <w:p>
      <w:pPr>
        <w:spacing w:after="120"/>
      </w:pPr>
      <w:r>
        <w:rPr>
          <w:i w:val="0"/>
          <w:sz w:val="21"/>
        </w:rPr>
        <w:t>Every course and lesson has a chatbot the learner can ask any doubt or query. It answers from the course's own material, is aware of the current lesson for context, cites its sources, and holds a multi-turn conversation.</w:t>
      </w:r>
    </w:p>
    <w:tbl>
      <w:tblPr>
        <w:tblStyle w:val="TableGrid"/>
        <w:tblW w:type="auto" w:w="0"/>
        <w:tblLayout w:type="fixed"/>
        <w:tblLook w:firstColumn="1" w:firstRow="1" w:lastColumn="0" w:lastRow="0" w:noHBand="0" w:noVBand="1" w:val="04A0"/>
        <w:tblLayout w:type="fixed"/>
      </w:tblPr>
      <w:tblGrid>
        <w:gridCol w:w="9184"/>
      </w:tblGrid>
      <w:tr>
        <w:tc>
          <w:tcPr>
            <w:tcW w:type="dxa" w:w="9216"/>
            <w:shd w:val="clear" w:color="auto" w:fill="EAF0F6"/>
            <w:tcMar>
              <w:top w:w="80" w:type="dxa"/>
              <w:bottom w:w="80" w:type="dxa"/>
              <w:start w:w="140" w:type="dxa"/>
              <w:end w:w="140" w:type="dxa"/>
            </w:tcMar>
          </w:tcPr>
          <w:p>
            <w:r>
              <w:rPr>
                <w:b/>
                <w:color w:val="1F4E79"/>
                <w:sz w:val="19"/>
              </w:rPr>
              <w:t xml:space="preserve">Rules:  </w:t>
            </w:r>
            <w:r>
              <w:rPr>
                <w:sz w:val="19"/>
              </w:rPr>
              <w:t>The chatbot answers only from the enrolled course's material and cites it. It uses the current lesson as context for follow-ups. If the material does not cover the question, it says so and points to related lessons rather than fabricating an answer.</w:t>
            </w:r>
          </w:p>
        </w:tc>
      </w:tr>
    </w:tbl>
    <w:p>
      <w:pPr>
        <w:spacing w:after="40"/>
      </w:pPr>
    </w:p>
    <w:tbl>
      <w:tblPr>
        <w:tblStyle w:val="TableGrid"/>
        <w:tblW w:type="auto" w:w="0"/>
        <w:tblLayout w:type="fixed"/>
        <w:tblLook w:firstColumn="1" w:firstRow="1" w:lastColumn="0" w:lastRow="0" w:noHBand="0" w:noVBand="1" w:val="04A0"/>
        <w:tblLayout w:type="fixed"/>
      </w:tblPr>
      <w:tblGrid>
        <w:gridCol w:w="9184"/>
      </w:tblGrid>
      <w:tr>
        <w:tc>
          <w:tcPr>
            <w:tcW w:type="dxa" w:w="9216"/>
            <w:shd w:val="clear" w:color="auto" w:fill="F3F5F7"/>
            <w:tcMar>
              <w:top w:w="70" w:type="dxa"/>
              <w:bottom w:w="70" w:type="dxa"/>
              <w:start w:w="120" w:type="dxa"/>
              <w:end w:w="120" w:type="dxa"/>
            </w:tcMar>
          </w:tcPr>
          <w:p>
            <w:pPr>
              <w:spacing w:after="0"/>
            </w:pPr>
            <w:r>
              <w:rPr>
                <w:rFonts w:ascii="Consolas" w:hAnsi="Consolas"/>
                <w:color w:val="142A40"/>
                <w:sz w:val="17"/>
              </w:rPr>
              <w:t>POST /api/v1/chat</w:t>
            </w:r>
          </w:p>
          <w:p>
            <w:pPr>
              <w:spacing w:after="0"/>
            </w:pPr>
            <w:r>
              <w:rPr>
                <w:rFonts w:ascii="Consolas" w:hAnsi="Consolas"/>
                <w:color w:val="142A40"/>
                <w:sz w:val="17"/>
              </w:rPr>
              <w:t>{ "courseId": "crs-veh-mech", "lessonId": "les-cooling-01",</w:t>
            </w:r>
          </w:p>
          <w:p>
            <w:pPr>
              <w:spacing w:after="0"/>
            </w:pPr>
            <w:r>
              <w:rPr>
                <w:rFonts w:ascii="Consolas" w:hAnsi="Consolas"/>
                <w:color w:val="142A40"/>
                <w:sz w:val="17"/>
              </w:rPr>
              <w:t xml:space="preserve">  "question": "why does the engine overheat at idle?" }</w:t>
            </w:r>
          </w:p>
          <w:p>
            <w:pPr>
              <w:spacing w:after="0"/>
            </w:pPr>
            <w:r>
              <w:rPr>
                <w:rFonts w:ascii="Consolas" w:hAnsi="Consolas"/>
                <w:color w:val="142A40"/>
                <w:sz w:val="17"/>
              </w:rPr>
              <w:t>-&gt; 200</w:t>
            </w:r>
          </w:p>
          <w:p>
            <w:pPr>
              <w:spacing w:after="0"/>
            </w:pPr>
            <w:r>
              <w:rPr>
                <w:rFonts w:ascii="Consolas" w:hAnsi="Consolas"/>
                <w:color w:val="142A40"/>
                <w:sz w:val="17"/>
              </w:rPr>
              <w:t>{ "answer": "...",</w:t>
            </w:r>
          </w:p>
          <w:p>
            <w:pPr>
              <w:spacing w:after="0"/>
            </w:pPr>
            <w:r>
              <w:rPr>
                <w:rFonts w:ascii="Consolas" w:hAnsi="Consolas"/>
                <w:color w:val="142A40"/>
                <w:sz w:val="17"/>
              </w:rPr>
              <w:t xml:space="preserve">  "citations": [ { "doc": "BOOK-VEH-01", "section": "2.4", "page": 41 } ],</w:t>
            </w:r>
          </w:p>
          <w:p>
            <w:pPr>
              <w:spacing w:after="0"/>
            </w:pPr>
            <w:r>
              <w:rPr>
                <w:rFonts w:ascii="Consolas" w:hAnsi="Consolas"/>
                <w:color w:val="142A40"/>
                <w:sz w:val="17"/>
              </w:rPr>
              <w:t xml:space="preserve">  "grounded": true }   // grounded=false -&gt; abstains, answer=null</w:t>
            </w:r>
          </w:p>
        </w:tc>
      </w:tr>
    </w:tbl>
    <w:p>
      <w:pPr>
        <w:spacing w:after="40"/>
      </w:pPr>
    </w:p>
    <w:p>
      <w:pPr>
        <w:pStyle w:val="Heading2"/>
      </w:pPr>
      <w:r>
        <w:t>4.6 Automated Quizzes &amp; Assessment</w:t>
      </w:r>
    </w:p>
    <w:p>
      <w:pPr>
        <w:pStyle w:val="ListBullet"/>
        <w:spacing w:after="40"/>
      </w:pPr>
      <w:r>
        <w:t>Quizzes are generated per module from its content: MCQ, true/false, short answer.</w:t>
      </w:r>
    </w:p>
    <w:p>
      <w:pPr>
        <w:pStyle w:val="ListBullet"/>
        <w:spacing w:after="40"/>
      </w:pPr>
      <w:r>
        <w:t>Each question has a difficulty (basic/intermediate/advanced), a correct answer and a grounded rationale.</w:t>
      </w:r>
    </w:p>
    <w:p>
      <w:pPr>
        <w:pStyle w:val="ListBullet"/>
        <w:spacing w:after="40"/>
      </w:pPr>
      <w:r>
        <w:t>Admins review, edit, approve or reject questions before a quiz is delivered.</w:t>
      </w:r>
    </w:p>
    <w:p>
      <w:pPr>
        <w:pStyle w:val="ListBullet"/>
        <w:spacing w:after="40"/>
      </w:pPr>
      <w:r>
        <w:t>Objective questions are auto-graded; scores feed the learner's progress.</w:t>
      </w:r>
    </w:p>
    <w:p>
      <w:pPr>
        <w:pStyle w:val="Heading2"/>
      </w:pPr>
      <w:r>
        <w:t>4.7 Progress Tracking &amp; Analytics</w:t>
      </w:r>
    </w:p>
    <w:p>
      <w:pPr>
        <w:pStyle w:val="ListBullet"/>
        <w:spacing w:after="40"/>
      </w:pPr>
      <w:r>
        <w:t>Per-learner progress: lessons completed, quiz scores, time on task, course completion %, subject mastery.</w:t>
      </w:r>
    </w:p>
    <w:p>
      <w:pPr>
        <w:pStyle w:val="ListBullet"/>
        <w:spacing w:after="40"/>
      </w:pPr>
      <w:r>
        <w:t>Learner dashboard: enrolled courses, progress, resume points, and completion records/certificates.</w:t>
      </w:r>
    </w:p>
    <w:p>
      <w:pPr>
        <w:pStyle w:val="ListBullet"/>
        <w:spacing w:after="40"/>
      </w:pPr>
      <w:r>
        <w:t>Admin analytics: cohort progress across courses/subjects, and the weakest topics/components.</w:t>
      </w:r>
    </w:p>
    <w:p>
      <w:pPr>
        <w:pStyle w:val="ListBullet"/>
        <w:spacing w:after="40"/>
      </w:pPr>
      <w:r>
        <w:t>Export of progress and results.</w:t>
      </w:r>
    </w:p>
    <w:p>
      <w:pPr>
        <w:pStyle w:val="Heading2"/>
      </w:pPr>
      <w:r>
        <w:t>4.8 Shared mechanism — Content Ingestion &amp; AI Structuring</w:t>
      </w:r>
    </w:p>
    <w:p>
      <w:pPr>
        <w:spacing w:after="120"/>
      </w:pPr>
      <w:r>
        <w:rPr>
          <w:i w:val="0"/>
          <w:sz w:val="21"/>
        </w:rPr>
        <w:t>The pipeline behind 4.1: parse -&gt; (OCR if needed) -&gt; classify &amp; segment into subjects -&gt; generate course structure, lessons, glossary and quiz bank -&gt; chunk with structural metadata -&gt; embed and index for the chatbot's retrieval. Runs asynchronously on workers; incremental re-processing on new uploads; per-file success/failure reporting.</w:t>
      </w:r>
    </w:p>
    <w:p>
      <w:pPr>
        <w:pStyle w:val="Heading2"/>
      </w:pPr>
      <w:r>
        <w:t>4.9 Shared mechanism — Model Gateway (cloud &lt;-&gt; local swap)</w:t>
      </w:r>
    </w:p>
    <w:p>
      <w:pPr>
        <w:spacing w:after="120"/>
      </w:pPr>
      <w:r>
        <w:rPr>
          <w:i w:val="0"/>
          <w:sz w:val="21"/>
        </w:rPr>
        <w:t>All AI operations — course generation, chatbot answers, component explanations, quiz generation, embeddings and reranking — go through one internal interface. Provider binding is configuration only; the application never calls a model SDK directly.</w:t>
      </w:r>
    </w:p>
    <w:tbl>
      <w:tblPr>
        <w:tblStyle w:val="TableGrid"/>
        <w:tblW w:type="auto" w:w="0"/>
        <w:tblLayout w:type="fixed"/>
        <w:tblLook w:firstColumn="1" w:firstRow="1" w:lastColumn="0" w:lastRow="0" w:noHBand="0" w:noVBand="1" w:val="04A0"/>
        <w:tblLayout w:type="fixed"/>
      </w:tblPr>
      <w:tblGrid>
        <w:gridCol w:w="9184"/>
      </w:tblGrid>
      <w:tr>
        <w:tc>
          <w:tcPr>
            <w:tcW w:type="dxa" w:w="9216"/>
            <w:shd w:val="clear" w:color="auto" w:fill="F3F5F7"/>
            <w:tcMar>
              <w:top w:w="70" w:type="dxa"/>
              <w:bottom w:w="70" w:type="dxa"/>
              <w:start w:w="120" w:type="dxa"/>
              <w:end w:w="120" w:type="dxa"/>
            </w:tcMar>
          </w:tcPr>
          <w:p>
            <w:pPr>
              <w:spacing w:after="0"/>
            </w:pPr>
            <w:r>
              <w:rPr>
                <w:rFonts w:ascii="Consolas" w:hAnsi="Consolas"/>
                <w:color w:val="142A40"/>
                <w:sz w:val="17"/>
              </w:rPr>
              <w:t># gateway/base.py — the only place the app talks to AI models</w:t>
            </w:r>
          </w:p>
          <w:p>
            <w:pPr>
              <w:spacing w:after="0"/>
            </w:pPr>
            <w:r>
              <w:rPr>
                <w:rFonts w:ascii="Consolas" w:hAnsi="Consolas"/>
                <w:color w:val="142A40"/>
                <w:sz w:val="17"/>
              </w:rPr>
              <w:t>class ModelGateway(Protocol):</w:t>
            </w:r>
          </w:p>
          <w:p>
            <w:pPr>
              <w:spacing w:after="0"/>
            </w:pPr>
            <w:r>
              <w:rPr>
                <w:rFonts w:ascii="Consolas" w:hAnsi="Consolas"/>
                <w:color w:val="142A40"/>
                <w:sz w:val="17"/>
              </w:rPr>
              <w:t xml:space="preserve">    def generate(self, prompt: str, *, system: str | None = None,</w:t>
            </w:r>
          </w:p>
          <w:p>
            <w:pPr>
              <w:spacing w:after="0"/>
            </w:pPr>
            <w:r>
              <w:rPr>
                <w:rFonts w:ascii="Consolas" w:hAnsi="Consolas"/>
                <w:color w:val="142A40"/>
                <w:sz w:val="17"/>
              </w:rPr>
              <w:t xml:space="preserve">                 max_tokens: int = 1024, temperature: float = 0.0,</w:t>
            </w:r>
          </w:p>
          <w:p>
            <w:pPr>
              <w:spacing w:after="0"/>
            </w:pPr>
            <w:r>
              <w:rPr>
                <w:rFonts w:ascii="Consolas" w:hAnsi="Consolas"/>
                <w:color w:val="142A40"/>
                <w:sz w:val="17"/>
              </w:rPr>
              <w:t xml:space="preserve">                 stop: list[str] | None = None) -&gt; Completion: ...</w:t>
            </w:r>
          </w:p>
          <w:p>
            <w:pPr>
              <w:spacing w:after="0"/>
            </w:pPr>
            <w:r>
              <w:rPr>
                <w:rFonts w:ascii="Consolas" w:hAnsi="Consolas"/>
                <w:color w:val="142A40"/>
                <w:sz w:val="17"/>
              </w:rPr>
              <w:t xml:space="preserve">    def embed(self, texts: list[str]) -&gt; list[list[float]]: ...</w:t>
            </w:r>
          </w:p>
          <w:p>
            <w:pPr>
              <w:spacing w:after="0"/>
            </w:pPr>
            <w:r>
              <w:rPr>
                <w:rFonts w:ascii="Consolas" w:hAnsi="Consolas"/>
                <w:color w:val="142A40"/>
                <w:sz w:val="17"/>
              </w:rPr>
              <w:t xml:space="preserve">    def rerank(self, query: str, passages: list[str]) -&gt; list[float]: ...</w:t>
            </w:r>
          </w:p>
          <w:p>
            <w:pPr>
              <w:spacing w:after="0"/>
            </w:pPr>
            <w:r>
              <w:rPr>
                <w:rFonts w:ascii="Consolas" w:hAnsi="Consolas"/>
                <w:color w:val="142A40"/>
                <w:sz w:val="17"/>
              </w:rPr>
              <w:t xml:space="preserve"> </w:t>
            </w:r>
          </w:p>
          <w:p>
            <w:pPr>
              <w:spacing w:after="0"/>
            </w:pPr>
            <w:r>
              <w:rPr>
                <w:rFonts w:ascii="Consolas" w:hAnsi="Consolas"/>
                <w:color w:val="142A40"/>
                <w:sz w:val="17"/>
              </w:rPr>
              <w:t>#   MODEL_PROVIDER=cloud  -&gt; hosted API (demo)</w:t>
            </w:r>
          </w:p>
          <w:p>
            <w:pPr>
              <w:spacing w:after="0"/>
            </w:pPr>
            <w:r>
              <w:rPr>
                <w:rFonts w:ascii="Consolas" w:hAnsi="Consolas"/>
                <w:color w:val="142A40"/>
                <w:sz w:val="17"/>
              </w:rPr>
              <w:t>#   MODEL_PROVIDER=local  -&gt; vLLM / Ollama + local embed &amp; rerank (air-gapped)</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3061"/>
        <w:gridCol w:w="3061"/>
        <w:gridCol w:w="3061"/>
      </w:tblGrid>
      <w:tr>
        <w:tc>
          <w:tcPr>
            <w:tcW w:type="dxa" w:w="2736"/>
            <w:shd w:val="clear" w:color="auto" w:fill="1F4E79"/>
            <w:tcMar>
              <w:top w:w="40" w:type="dxa"/>
              <w:bottom w:w="40" w:type="dxa"/>
              <w:start w:w="80" w:type="dxa"/>
              <w:end w:w="80" w:type="dxa"/>
            </w:tcMar>
          </w:tcPr>
          <w:p>
            <w:r>
              <w:rPr>
                <w:rFonts w:ascii="Calibri" w:hAnsi="Calibri"/>
                <w:b/>
                <w:i w:val="0"/>
                <w:color w:val="FFFFFF"/>
                <w:sz w:val="18"/>
              </w:rPr>
              <w:t>Capability</w:t>
            </w:r>
          </w:p>
        </w:tc>
        <w:tc>
          <w:tcPr>
            <w:tcW w:type="dxa" w:w="2880"/>
            <w:shd w:val="clear" w:color="auto" w:fill="1F4E79"/>
            <w:tcMar>
              <w:top w:w="40" w:type="dxa"/>
              <w:bottom w:w="40" w:type="dxa"/>
              <w:start w:w="80" w:type="dxa"/>
              <w:end w:w="80" w:type="dxa"/>
            </w:tcMar>
          </w:tcPr>
          <w:p>
            <w:r>
              <w:rPr>
                <w:rFonts w:ascii="Calibri" w:hAnsi="Calibri"/>
                <w:b/>
                <w:i w:val="0"/>
                <w:color w:val="FFFFFF"/>
                <w:sz w:val="18"/>
              </w:rPr>
              <w:t>Demo (cloud-capable)</w:t>
            </w:r>
          </w:p>
        </w:tc>
        <w:tc>
          <w:tcPr>
            <w:tcW w:type="dxa" w:w="3600"/>
            <w:shd w:val="clear" w:color="auto" w:fill="1F4E79"/>
            <w:tcMar>
              <w:top w:w="40" w:type="dxa"/>
              <w:bottom w:w="40" w:type="dxa"/>
              <w:start w:w="80" w:type="dxa"/>
              <w:end w:w="80" w:type="dxa"/>
            </w:tcMar>
          </w:tcPr>
          <w:p>
            <w:r>
              <w:rPr>
                <w:rFonts w:ascii="Calibri" w:hAnsi="Calibri"/>
                <w:b/>
                <w:i w:val="0"/>
                <w:color w:val="FFFFFF"/>
                <w:sz w:val="18"/>
              </w:rPr>
              <w:t>Production (air-gapped, local)</w:t>
            </w:r>
          </w:p>
        </w:tc>
      </w:tr>
      <w:tr>
        <w:tc>
          <w:tcPr>
            <w:tcW w:type="dxa" w:w="2736"/>
            <w:tcMar>
              <w:top w:w="40" w:type="dxa"/>
              <w:bottom w:w="40" w:type="dxa"/>
              <w:start w:w="80" w:type="dxa"/>
              <w:end w:w="80" w:type="dxa"/>
            </w:tcMar>
          </w:tcPr>
          <w:p>
            <w:r>
              <w:rPr>
                <w:sz w:val="17"/>
              </w:rPr>
              <w:t>Course-gen / chatbot / quiz LLM</w:t>
            </w:r>
          </w:p>
        </w:tc>
        <w:tc>
          <w:tcPr>
            <w:tcW w:type="dxa" w:w="2880"/>
            <w:tcMar>
              <w:top w:w="40" w:type="dxa"/>
              <w:bottom w:w="40" w:type="dxa"/>
              <w:start w:w="80" w:type="dxa"/>
              <w:end w:w="80" w:type="dxa"/>
            </w:tcMar>
          </w:tcPr>
          <w:p>
            <w:r>
              <w:rPr>
                <w:sz w:val="17"/>
              </w:rPr>
              <w:t>Hosted model (e.g., Claude Sonnet/Opus)</w:t>
            </w:r>
          </w:p>
        </w:tc>
        <w:tc>
          <w:tcPr>
            <w:tcW w:type="dxa" w:w="3600"/>
            <w:tcMar>
              <w:top w:w="40" w:type="dxa"/>
              <w:bottom w:w="40" w:type="dxa"/>
              <w:start w:w="80" w:type="dxa"/>
              <w:end w:w="80" w:type="dxa"/>
            </w:tcMar>
          </w:tcPr>
          <w:p>
            <w:r>
              <w:rPr>
                <w:sz w:val="17"/>
              </w:rPr>
              <w:t>Local open-weight LLM (Llama / Mistral / Qwen family) via vLLM/Ollama</w:t>
            </w:r>
          </w:p>
        </w:tc>
      </w:tr>
      <w:tr>
        <w:tc>
          <w:tcPr>
            <w:tcW w:type="dxa" w:w="2736"/>
            <w:tcMar>
              <w:top w:w="40" w:type="dxa"/>
              <w:bottom w:w="40" w:type="dxa"/>
              <w:start w:w="80" w:type="dxa"/>
              <w:end w:w="80" w:type="dxa"/>
            </w:tcMar>
            <w:shd w:val="clear" w:color="auto" w:fill="EAF0F6"/>
          </w:tcPr>
          <w:p>
            <w:r>
              <w:rPr>
                <w:sz w:val="17"/>
              </w:rPr>
              <w:t>Embeddings</w:t>
            </w:r>
          </w:p>
        </w:tc>
        <w:tc>
          <w:tcPr>
            <w:tcW w:type="dxa" w:w="2880"/>
            <w:tcMar>
              <w:top w:w="40" w:type="dxa"/>
              <w:bottom w:w="40" w:type="dxa"/>
              <w:start w:w="80" w:type="dxa"/>
              <w:end w:w="80" w:type="dxa"/>
            </w:tcMar>
            <w:shd w:val="clear" w:color="auto" w:fill="EAF0F6"/>
          </w:tcPr>
          <w:p>
            <w:r>
              <w:rPr>
                <w:sz w:val="17"/>
              </w:rPr>
              <w:t>Hosted embedding model</w:t>
            </w:r>
          </w:p>
        </w:tc>
        <w:tc>
          <w:tcPr>
            <w:tcW w:type="dxa" w:w="3600"/>
            <w:tcMar>
              <w:top w:w="40" w:type="dxa"/>
              <w:bottom w:w="40" w:type="dxa"/>
              <w:start w:w="80" w:type="dxa"/>
              <w:end w:w="80" w:type="dxa"/>
            </w:tcMar>
            <w:shd w:val="clear" w:color="auto" w:fill="EAF0F6"/>
          </w:tcPr>
          <w:p>
            <w:r>
              <w:rPr>
                <w:sz w:val="17"/>
              </w:rPr>
              <w:t>Local embedding model (BGE / E5)</w:t>
            </w:r>
          </w:p>
        </w:tc>
      </w:tr>
      <w:tr>
        <w:tc>
          <w:tcPr>
            <w:tcW w:type="dxa" w:w="2736"/>
            <w:tcMar>
              <w:top w:w="40" w:type="dxa"/>
              <w:bottom w:w="40" w:type="dxa"/>
              <w:start w:w="80" w:type="dxa"/>
              <w:end w:w="80" w:type="dxa"/>
            </w:tcMar>
          </w:tcPr>
          <w:p>
            <w:r>
              <w:rPr>
                <w:sz w:val="17"/>
              </w:rPr>
              <w:t>3D assets</w:t>
            </w:r>
          </w:p>
        </w:tc>
        <w:tc>
          <w:tcPr>
            <w:tcW w:type="dxa" w:w="2880"/>
            <w:tcMar>
              <w:top w:w="40" w:type="dxa"/>
              <w:bottom w:w="40" w:type="dxa"/>
              <w:start w:w="80" w:type="dxa"/>
              <w:end w:w="80" w:type="dxa"/>
            </w:tcMar>
          </w:tcPr>
          <w:p>
            <w:r>
              <w:rPr>
                <w:sz w:val="17"/>
              </w:rPr>
              <w:t>Local</w:t>
            </w:r>
          </w:p>
        </w:tc>
        <w:tc>
          <w:tcPr>
            <w:tcW w:type="dxa" w:w="3600"/>
            <w:tcMar>
              <w:top w:w="40" w:type="dxa"/>
              <w:bottom w:w="40" w:type="dxa"/>
              <w:start w:w="80" w:type="dxa"/>
              <w:end w:w="80" w:type="dxa"/>
            </w:tcMar>
          </w:tcPr>
          <w:p>
            <w:r>
              <w:rPr>
                <w:sz w:val="17"/>
              </w:rPr>
              <w:t>Local object store, no CDN (unchanged)</w:t>
            </w:r>
          </w:p>
        </w:tc>
      </w:tr>
      <w:tr>
        <w:tc>
          <w:tcPr>
            <w:tcW w:type="dxa" w:w="2736"/>
            <w:tcMar>
              <w:top w:w="40" w:type="dxa"/>
              <w:bottom w:w="40" w:type="dxa"/>
              <w:start w:w="80" w:type="dxa"/>
              <w:end w:w="80" w:type="dxa"/>
            </w:tcMar>
            <w:shd w:val="clear" w:color="auto" w:fill="EAF0F6"/>
          </w:tcPr>
          <w:p>
            <w:r>
              <w:rPr>
                <w:sz w:val="17"/>
              </w:rPr>
              <w:t>Hosting</w:t>
            </w:r>
          </w:p>
        </w:tc>
        <w:tc>
          <w:tcPr>
            <w:tcW w:type="dxa" w:w="2880"/>
            <w:tcMar>
              <w:top w:w="40" w:type="dxa"/>
              <w:bottom w:w="40" w:type="dxa"/>
              <w:start w:w="80" w:type="dxa"/>
              <w:end w:w="80" w:type="dxa"/>
            </w:tcMar>
            <w:shd w:val="clear" w:color="auto" w:fill="EAF0F6"/>
          </w:tcPr>
          <w:p>
            <w:r>
              <w:rPr>
                <w:sz w:val="17"/>
              </w:rPr>
              <w:t>On-prem or controlled cloud</w:t>
            </w:r>
          </w:p>
        </w:tc>
        <w:tc>
          <w:tcPr>
            <w:tcW w:type="dxa" w:w="3600"/>
            <w:tcMar>
              <w:top w:w="40" w:type="dxa"/>
              <w:bottom w:w="40" w:type="dxa"/>
              <w:start w:w="80" w:type="dxa"/>
              <w:end w:w="80" w:type="dxa"/>
            </w:tcMar>
            <w:shd w:val="clear" w:color="auto" w:fill="EAF0F6"/>
          </w:tcPr>
          <w:p>
            <w:r>
              <w:rPr>
                <w:sz w:val="17"/>
              </w:rPr>
              <w:t>On-prem, no outbound network</w:t>
            </w:r>
          </w:p>
        </w:tc>
      </w:tr>
    </w:tbl>
    <w:p>
      <w:pPr>
        <w:spacing w:after="40"/>
      </w:pPr>
    </w:p>
    <w:p>
      <w:pPr>
        <w:pStyle w:val="Heading2"/>
      </w:pPr>
      <w:r>
        <w:t>4.10 Shared mechanism — Access Control &amp; Audit</w:t>
      </w:r>
    </w:p>
    <w:p>
      <w:pPr>
        <w:pStyle w:val="ListBullet"/>
        <w:spacing w:after="40"/>
      </w:pPr>
      <w:r>
        <w:t>Authentication via the org identity provider (OIDC/SAML), with local accounts as fallback.</w:t>
      </w:r>
    </w:p>
    <w:p>
      <w:pPr>
        <w:pStyle w:val="ListBullet"/>
        <w:spacing w:after="40"/>
      </w:pPr>
      <w:r>
        <w:t>Two roles enforced on every action: admin (manage content, publish, configure) and learner (study, ask, take quizzes).</w:t>
      </w:r>
    </w:p>
    <w:p>
      <w:pPr>
        <w:pStyle w:val="ListBullet"/>
        <w:spacing w:after="40"/>
      </w:pPr>
      <w:r>
        <w:t>Immutable audit log of chatbot interactions, quiz attempts, enrolments, publishes and admin actions.</w:t>
      </w:r>
    </w:p>
    <w:p>
      <w:pPr>
        <w:pStyle w:val="ListBullet"/>
        <w:spacing w:after="40"/>
      </w:pPr>
      <w:r>
        <w:t>Learning records retained per policy; searchable and exportable.</w:t>
      </w:r>
    </w:p>
    <w:p>
      <w:r>
        <w:br w:type="page"/>
      </w:r>
    </w:p>
    <w:p>
      <w:pPr>
        <w:pStyle w:val="Heading1"/>
      </w:pPr>
      <w:r>
        <w:t>5. Functional Requirements</w:t>
      </w:r>
    </w:p>
    <w:p>
      <w:pPr>
        <w:spacing w:after="120"/>
      </w:pPr>
      <w:r>
        <w:rPr>
          <w:i/>
          <w:sz w:val="21"/>
        </w:rPr>
        <w:t>Requirements are grouped by subsystem. Each is a testable statement (verb 'shall'); IDs (FR-5.x.y) are stable for traceability.</w:t>
      </w:r>
    </w:p>
    <w:p>
      <w:pPr>
        <w:pStyle w:val="Heading2"/>
      </w:pPr>
      <w:r>
        <w:t>5.1 Admin console &amp; onboarding</w:t>
      </w:r>
    </w:p>
    <w:p>
      <w:pPr>
        <w:pStyle w:val="ListBullet"/>
        <w:spacing w:after="40"/>
      </w:pPr>
      <w:r>
        <w:rPr>
          <w:b/>
        </w:rPr>
        <w:t xml:space="preserve">FR-5.1.1 </w:t>
      </w:r>
      <w:r>
        <w:t xml:space="preserve"> The admin shall create the organization, cohorts and role assignments from a console.</w:t>
      </w:r>
    </w:p>
    <w:p>
      <w:pPr>
        <w:pStyle w:val="ListBullet"/>
        <w:spacing w:after="40"/>
      </w:pPr>
      <w:r>
        <w:rPr>
          <w:b/>
        </w:rPr>
        <w:t xml:space="preserve">FR-5.1.2 </w:t>
      </w:r>
      <w:r>
        <w:t xml:space="preserve"> The admin shall upload materials and manage the resulting subjects, courses and quizzes.</w:t>
      </w:r>
    </w:p>
    <w:p>
      <w:pPr>
        <w:pStyle w:val="ListBullet"/>
        <w:spacing w:after="40"/>
      </w:pPr>
      <w:r>
        <w:rPr>
          <w:b/>
        </w:rPr>
        <w:t xml:space="preserve">FR-5.1.3 </w:t>
      </w:r>
      <w:r>
        <w:t xml:space="preserve"> The admin shall select the active model provider (cloud/local) without a code change or redeploy of application logic.</w:t>
      </w:r>
    </w:p>
    <w:p>
      <w:pPr>
        <w:pStyle w:val="ListBullet"/>
        <w:spacing w:after="40"/>
      </w:pPr>
      <w:r>
        <w:rPr>
          <w:b/>
        </w:rPr>
        <w:t xml:space="preserve">FR-5.1.4 </w:t>
      </w:r>
      <w:r>
        <w:t xml:space="preserve"> The admin shall associate a preloaded 3D model with a lesson; the admin shall not upload 3D assets in the POC.</w:t>
      </w:r>
    </w:p>
    <w:p>
      <w:pPr>
        <w:pStyle w:val="Heading3"/>
      </w:pPr>
      <w:r>
        <w:t>5.1.1 Users, roles &amp; authentication</w:t>
      </w:r>
    </w:p>
    <w:p>
      <w:pPr>
        <w:pStyle w:val="ListBullet"/>
        <w:spacing w:after="40"/>
      </w:pPr>
      <w:r>
        <w:rPr>
          <w:b/>
        </w:rPr>
        <w:t xml:space="preserve">FR-5.1.5 </w:t>
      </w:r>
      <w:r>
        <w:t xml:space="preserve"> The system shall authenticate users via OIDC/SAML SSO, with a local-account fallback.</w:t>
      </w:r>
    </w:p>
    <w:p>
      <w:pPr>
        <w:pStyle w:val="ListBullet"/>
        <w:spacing w:after="40"/>
      </w:pPr>
      <w:r>
        <w:rPr>
          <w:b/>
        </w:rPr>
        <w:t xml:space="preserve">FR-5.1.6 </w:t>
      </w:r>
      <w:r>
        <w:t xml:space="preserve"> The system shall enforce two roles — admin (manage) and learner (study).</w:t>
      </w:r>
    </w:p>
    <w:p>
      <w:pPr>
        <w:pStyle w:val="Heading2"/>
      </w:pPr>
      <w:r>
        <w:t>5.2 Material upload &amp; AI course generation</w:t>
      </w:r>
    </w:p>
    <w:p>
      <w:pPr>
        <w:pStyle w:val="ListBullet"/>
        <w:spacing w:after="40"/>
      </w:pPr>
      <w:r>
        <w:rPr>
          <w:b/>
        </w:rPr>
        <w:t xml:space="preserve">FR-5.2.1 </w:t>
      </w:r>
      <w:r>
        <w:t xml:space="preserve"> The system shall ingest PDF/DOCX/PPTX materials, OCR'ing scanned pages.</w:t>
      </w:r>
    </w:p>
    <w:p>
      <w:pPr>
        <w:pStyle w:val="ListBullet"/>
        <w:spacing w:after="40"/>
      </w:pPr>
      <w:r>
        <w:rPr>
          <w:b/>
        </w:rPr>
        <w:t xml:space="preserve">FR-5.2.2 </w:t>
      </w:r>
      <w:r>
        <w:t xml:space="preserve"> The system shall split uploaded content into subjects automatically.</w:t>
      </w:r>
    </w:p>
    <w:p>
      <w:pPr>
        <w:pStyle w:val="ListBullet"/>
        <w:spacing w:after="40"/>
      </w:pPr>
      <w:r>
        <w:rPr>
          <w:b/>
        </w:rPr>
        <w:t xml:space="preserve">FR-5.2.3 </w:t>
      </w:r>
      <w:r>
        <w:t xml:space="preserve"> The system shall generate a structured course per subject (objectives, ordered modules and lessons, glossary).</w:t>
      </w:r>
    </w:p>
    <w:p>
      <w:pPr>
        <w:pStyle w:val="ListBullet"/>
        <w:spacing w:after="40"/>
      </w:pPr>
      <w:r>
        <w:rPr>
          <w:b/>
        </w:rPr>
        <w:t xml:space="preserve">FR-5.2.4 </w:t>
      </w:r>
      <w:r>
        <w:t xml:space="preserve"> The system shall generate a quiz bank per module.</w:t>
      </w:r>
    </w:p>
    <w:p>
      <w:pPr>
        <w:pStyle w:val="ListBullet"/>
        <w:spacing w:after="40"/>
      </w:pPr>
      <w:r>
        <w:rPr>
          <w:b/>
        </w:rPr>
        <w:t xml:space="preserve">FR-5.2.5 </w:t>
      </w:r>
      <w:r>
        <w:t xml:space="preserve"> The admin shall review, edit and approve generated subjects, courses and quizzes before publish; the system shall preserve provenance (lesson -&gt; source) and version courses.</w:t>
      </w:r>
    </w:p>
    <w:p>
      <w:pPr>
        <w:pStyle w:val="Heading2"/>
      </w:pPr>
      <w:r>
        <w:t>5.3 Course catalog, subjects &amp; enrolment</w:t>
      </w:r>
    </w:p>
    <w:p>
      <w:pPr>
        <w:pStyle w:val="ListBullet"/>
        <w:spacing w:after="40"/>
      </w:pPr>
      <w:r>
        <w:rPr>
          <w:b/>
        </w:rPr>
        <w:t xml:space="preserve">FR-5.3.1 </w:t>
      </w:r>
      <w:r>
        <w:t xml:space="preserve"> The system shall present a catalog of published courses grouped by subject.</w:t>
      </w:r>
    </w:p>
    <w:p>
      <w:pPr>
        <w:pStyle w:val="ListBullet"/>
        <w:spacing w:after="40"/>
      </w:pPr>
      <w:r>
        <w:rPr>
          <w:b/>
        </w:rPr>
        <w:t xml:space="preserve">FR-5.3.2 </w:t>
      </w:r>
      <w:r>
        <w:t xml:space="preserve"> A learner shall self-enrol, and an admin shall be able to assign a course/cohort.</w:t>
      </w:r>
    </w:p>
    <w:p>
      <w:pPr>
        <w:pStyle w:val="ListBullet"/>
        <w:spacing w:after="40"/>
      </w:pPr>
      <w:r>
        <w:rPr>
          <w:b/>
        </w:rPr>
        <w:t xml:space="preserve">FR-5.3.3 </w:t>
      </w:r>
      <w:r>
        <w:t xml:space="preserve"> The course page shall show modules, lessons, objectives, the learner's progress and a resume point.</w:t>
      </w:r>
    </w:p>
    <w:p>
      <w:pPr>
        <w:pStyle w:val="Heading2"/>
      </w:pPr>
      <w:r>
        <w:t>5.4 Learning delivery &amp; 3D visualization</w:t>
      </w:r>
    </w:p>
    <w:p>
      <w:pPr>
        <w:pStyle w:val="ListBullet"/>
        <w:spacing w:after="40"/>
      </w:pPr>
      <w:r>
        <w:rPr>
          <w:b/>
        </w:rPr>
        <w:t xml:space="preserve">FR-5.4.1 </w:t>
      </w:r>
      <w:r>
        <w:t xml:space="preserve"> The system shall deliver lessons in a guided flow and record lesson completion with resume.</w:t>
      </w:r>
    </w:p>
    <w:p>
      <w:pPr>
        <w:pStyle w:val="ListBullet"/>
        <w:spacing w:after="40"/>
      </w:pPr>
      <w:r>
        <w:rPr>
          <w:b/>
        </w:rPr>
        <w:t xml:space="preserve">FR-5.4.2 </w:t>
      </w:r>
      <w:r>
        <w:t xml:space="preserve"> The system shall render an interactive 3D model on a lesson where a suitable preloaded model is associated.</w:t>
      </w:r>
    </w:p>
    <w:p>
      <w:pPr>
        <w:pStyle w:val="ListBullet"/>
        <w:spacing w:after="40"/>
      </w:pPr>
      <w:r>
        <w:rPr>
          <w:b/>
        </w:rPr>
        <w:t xml:space="preserve">FR-5.4.3 </w:t>
      </w:r>
      <w:r>
        <w:t xml:space="preserve"> The 3D viewer shall support rotate/pan/zoom, hotspot selection, component highlight and preset views.</w:t>
      </w:r>
    </w:p>
    <w:p>
      <w:pPr>
        <w:pStyle w:val="ListBullet"/>
        <w:spacing w:after="40"/>
      </w:pPr>
      <w:r>
        <w:rPr>
          <w:b/>
        </w:rPr>
        <w:t xml:space="preserve">FR-5.4.4 </w:t>
      </w:r>
      <w:r>
        <w:t xml:space="preserve"> The POC shall include a library of at least five preloaded, licence-clear 3D models.</w:t>
      </w:r>
    </w:p>
    <w:p>
      <w:pPr>
        <w:pStyle w:val="ListBullet"/>
        <w:spacing w:after="40"/>
      </w:pPr>
      <w:r>
        <w:rPr>
          <w:b/>
        </w:rPr>
        <w:t xml:space="preserve">FR-5.4.5 </w:t>
      </w:r>
      <w:r>
        <w:t xml:space="preserve"> The viewer shall degrade gracefully to images/diagrams where 3D is unsupported.</w:t>
      </w:r>
    </w:p>
    <w:p>
      <w:pPr>
        <w:pStyle w:val="Heading2"/>
      </w:pPr>
      <w:r>
        <w:t>5.5 Doubt-clearing chatbot &amp; tutor engine</w:t>
      </w:r>
    </w:p>
    <w:p>
      <w:pPr>
        <w:pStyle w:val="ListBullet"/>
        <w:spacing w:after="40"/>
      </w:pPr>
      <w:r>
        <w:rPr>
          <w:b/>
        </w:rPr>
        <w:t xml:space="preserve">FR-5.5.1 </w:t>
      </w:r>
      <w:r>
        <w:t xml:space="preserve"> The chatbot shall answer learner questions grounded in the course material, with citations, over multiple turns.</w:t>
      </w:r>
    </w:p>
    <w:p>
      <w:pPr>
        <w:pStyle w:val="ListBullet"/>
        <w:spacing w:after="40"/>
      </w:pPr>
      <w:r>
        <w:rPr>
          <w:b/>
        </w:rPr>
        <w:t xml:space="preserve">FR-5.5.2 </w:t>
      </w:r>
      <w:r>
        <w:t xml:space="preserve"> The chatbot shall use the current course/lesson as context for follow-up questions.</w:t>
      </w:r>
    </w:p>
    <w:p>
      <w:pPr>
        <w:pStyle w:val="ListBullet"/>
        <w:spacing w:after="40"/>
      </w:pPr>
      <w:r>
        <w:rPr>
          <w:b/>
        </w:rPr>
        <w:t xml:space="preserve">FR-5.5.3 </w:t>
      </w:r>
      <w:r>
        <w:t xml:space="preserve"> The component explainer shall explain a selected 3D component from the source material, with a citation.</w:t>
      </w:r>
    </w:p>
    <w:p>
      <w:pPr>
        <w:pStyle w:val="ListBullet"/>
        <w:spacing w:after="40"/>
      </w:pPr>
      <w:r>
        <w:rPr>
          <w:b/>
        </w:rPr>
        <w:t xml:space="preserve">FR-5.5.4 </w:t>
      </w:r>
      <w:r>
        <w:t xml:space="preserve"> The chatbot shall abstain/redirect when the material does not cover the question, rather than fabricate.</w:t>
      </w:r>
    </w:p>
    <w:p>
      <w:pPr>
        <w:pStyle w:val="Heading2"/>
      </w:pPr>
      <w:r>
        <w:t>5.6 Quizzes &amp; assessment</w:t>
      </w:r>
    </w:p>
    <w:p>
      <w:pPr>
        <w:pStyle w:val="ListBullet"/>
        <w:spacing w:after="40"/>
      </w:pPr>
      <w:r>
        <w:rPr>
          <w:b/>
        </w:rPr>
        <w:t xml:space="preserve">FR-5.6.1 </w:t>
      </w:r>
      <w:r>
        <w:t xml:space="preserve"> The system shall generate questions (MCQ, true/false, short answer) with difficulty, a correct answer and a grounded rationale.</w:t>
      </w:r>
    </w:p>
    <w:p>
      <w:pPr>
        <w:pStyle w:val="ListBullet"/>
        <w:spacing w:after="40"/>
      </w:pPr>
      <w:r>
        <w:rPr>
          <w:b/>
        </w:rPr>
        <w:t xml:space="preserve">FR-5.6.2 </w:t>
      </w:r>
      <w:r>
        <w:t xml:space="preserve"> Admins shall review, edit, approve or reject questions before a quiz is delivered.</w:t>
      </w:r>
    </w:p>
    <w:p>
      <w:pPr>
        <w:pStyle w:val="ListBullet"/>
        <w:spacing w:after="40"/>
      </w:pPr>
      <w:r>
        <w:rPr>
          <w:b/>
        </w:rPr>
        <w:t xml:space="preserve">FR-5.6.3 </w:t>
      </w:r>
      <w:r>
        <w:t xml:space="preserve"> The system shall auto-grade objective questions and record scores.</w:t>
      </w:r>
    </w:p>
    <w:p>
      <w:pPr>
        <w:pStyle w:val="Heading2"/>
      </w:pPr>
      <w:r>
        <w:t>5.7 Progress tracking &amp; analytics</w:t>
      </w:r>
    </w:p>
    <w:p>
      <w:pPr>
        <w:pStyle w:val="ListBullet"/>
        <w:spacing w:after="40"/>
      </w:pPr>
      <w:r>
        <w:rPr>
          <w:b/>
        </w:rPr>
        <w:t xml:space="preserve">FR-5.7.1 </w:t>
      </w:r>
      <w:r>
        <w:t xml:space="preserve"> The system shall track per-learner progress: lessons completed, quiz scores, time, course completion % and subject mastery.</w:t>
      </w:r>
    </w:p>
    <w:p>
      <w:pPr>
        <w:pStyle w:val="ListBullet"/>
        <w:spacing w:after="40"/>
      </w:pPr>
      <w:r>
        <w:rPr>
          <w:b/>
        </w:rPr>
        <w:t xml:space="preserve">FR-5.7.2 </w:t>
      </w:r>
      <w:r>
        <w:t xml:space="preserve"> The learner dashboard shall show enrolled courses, progress and resume points.</w:t>
      </w:r>
    </w:p>
    <w:p>
      <w:pPr>
        <w:pStyle w:val="ListBullet"/>
        <w:spacing w:after="40"/>
      </w:pPr>
      <w:r>
        <w:rPr>
          <w:b/>
        </w:rPr>
        <w:t xml:space="preserve">FR-5.7.3 </w:t>
      </w:r>
      <w:r>
        <w:t xml:space="preserve"> The system shall mark a course complete and issue a completion record when its criteria are met.</w:t>
      </w:r>
    </w:p>
    <w:p>
      <w:pPr>
        <w:pStyle w:val="ListBullet"/>
        <w:spacing w:after="40"/>
      </w:pPr>
      <w:r>
        <w:rPr>
          <w:b/>
        </w:rPr>
        <w:t xml:space="preserve">FR-5.7.4 </w:t>
      </w:r>
      <w:r>
        <w:t xml:space="preserve"> The admin dashboard shall show cohort progress across courses/subjects and surface the weakest topics; results shall be exportable.</w:t>
      </w:r>
    </w:p>
    <w:p>
      <w:pPr>
        <w:pStyle w:val="ListBullet"/>
        <w:spacing w:after="40"/>
      </w:pPr>
      <w:r>
        <w:rPr>
          <w:b/>
        </w:rPr>
        <w:t xml:space="preserve">FR-5.7.5 </w:t>
      </w:r>
      <w:r>
        <w:t xml:space="preserve"> The system shall record an immutable audit event for chatbot interactions, quiz attempts, enrolments, publishes and admin actions.</w:t>
      </w:r>
    </w:p>
    <w:p>
      <w:r>
        <w:br w:type="page"/>
      </w:r>
    </w:p>
    <w:p>
      <w:pPr>
        <w:pStyle w:val="Heading1"/>
      </w:pPr>
      <w:r>
        <w:t>6. Key User Flows</w:t>
      </w:r>
    </w:p>
    <w:p>
      <w:pPr>
        <w:pStyle w:val="Heading2"/>
      </w:pPr>
      <w:r>
        <w:t>6.1 Admin uploads materials -&gt; subjects &amp; courses are generated</w:t>
      </w:r>
    </w:p>
    <w:p>
      <w:pPr>
        <w:pStyle w:val="ListNumber"/>
        <w:spacing w:after="40"/>
      </w:pPr>
      <w:r>
        <w:t>Admin uploads the books/materials.</w:t>
      </w:r>
    </w:p>
    <w:p>
      <w:pPr>
        <w:pStyle w:val="ListNumber"/>
        <w:spacing w:after="40"/>
      </w:pPr>
      <w:r>
        <w:t>The platform OCRs them if needed, then analyzes and splits the content into subjects.</w:t>
      </w:r>
    </w:p>
    <w:p>
      <w:pPr>
        <w:pStyle w:val="ListNumber"/>
        <w:spacing w:after="40"/>
      </w:pPr>
      <w:r>
        <w:t>For each subject it generates a course (objectives, modules, lessons, glossary, quiz bank) and attaches a preloaded 3D model to lessons where suitable.</w:t>
      </w:r>
    </w:p>
    <w:p>
      <w:pPr>
        <w:pStyle w:val="ListNumber"/>
        <w:spacing w:after="40"/>
      </w:pPr>
      <w:r>
        <w:t>Admin reviews, edits and publishes; the courses appear in the catalog grouped by subject.</w:t>
      </w:r>
    </w:p>
    <w:p>
      <w:pPr>
        <w:pStyle w:val="Heading2"/>
      </w:pPr>
      <w:r>
        <w:t>6.2 Learner browses the catalog &amp; enrols</w:t>
      </w:r>
    </w:p>
    <w:p>
      <w:pPr>
        <w:pStyle w:val="ListNumber"/>
        <w:spacing w:after="40"/>
      </w:pPr>
      <w:r>
        <w:t>Learner opens the catalog and filters by subject.</w:t>
      </w:r>
    </w:p>
    <w:p>
      <w:pPr>
        <w:pStyle w:val="ListNumber"/>
        <w:spacing w:after="40"/>
      </w:pPr>
      <w:r>
        <w:t>Learner opens a course, reviews its objectives and modules, and enrols (or is assigned by an admin).</w:t>
      </w:r>
    </w:p>
    <w:p>
      <w:pPr>
        <w:pStyle w:val="ListNumber"/>
        <w:spacing w:after="40"/>
      </w:pPr>
      <w:r>
        <w:t>The course appears on the learner's dashboard with progress at zero.</w:t>
      </w:r>
    </w:p>
    <w:p>
      <w:pPr>
        <w:pStyle w:val="Heading2"/>
      </w:pPr>
      <w:r>
        <w:t>6.3 Learner takes a lesson (with 3D where suitable)</w:t>
      </w:r>
    </w:p>
    <w:p>
      <w:pPr>
        <w:pStyle w:val="ListNumber"/>
        <w:spacing w:after="40"/>
      </w:pPr>
      <w:r>
        <w:t>Learner opens the next lesson; text and media are shown, and an interactive 3D model if the topic suits it.</w:t>
      </w:r>
    </w:p>
    <w:p>
      <w:pPr>
        <w:pStyle w:val="ListNumber"/>
        <w:spacing w:after="40"/>
      </w:pPr>
      <w:r>
        <w:t>Learner rotates the model and clicks a component; the component explainer returns a grounded, cited explanation.</w:t>
      </w:r>
    </w:p>
    <w:p>
      <w:pPr>
        <w:pStyle w:val="ListNumber"/>
        <w:spacing w:after="40"/>
      </w:pPr>
      <w:r>
        <w:t>Lesson completion is recorded and progress advances.</w:t>
      </w:r>
    </w:p>
    <w:p>
      <w:pPr>
        <w:pStyle w:val="Heading2"/>
      </w:pPr>
      <w:r>
        <w:t>6.4 Learner asks the doubt-clearing chatbot</w:t>
      </w:r>
    </w:p>
    <w:p>
      <w:pPr>
        <w:pStyle w:val="ListNumber"/>
        <w:spacing w:after="40"/>
      </w:pPr>
      <w:r>
        <w:t>Learner opens the chatbot from within a lesson and asks a doubt.</w:t>
      </w:r>
    </w:p>
    <w:p>
      <w:pPr>
        <w:pStyle w:val="ListNumber"/>
        <w:spacing w:after="40"/>
      </w:pPr>
      <w:r>
        <w:t>The engine retrieves the relevant course material and answers within it, using the current lesson as context.</w:t>
      </w:r>
    </w:p>
    <w:p>
      <w:pPr>
        <w:pStyle w:val="ListNumber"/>
        <w:spacing w:after="40"/>
      </w:pPr>
      <w:r>
        <w:t>The answer is shown with a citation; if the material does not cover it, the chatbot says so and points to related lessons.</w:t>
      </w:r>
    </w:p>
    <w:p>
      <w:pPr>
        <w:pStyle w:val="Heading2"/>
      </w:pPr>
      <w:r>
        <w:t>6.5 Learner takes a quiz (graded, progress updated)</w:t>
      </w:r>
    </w:p>
    <w:p>
      <w:pPr>
        <w:pStyle w:val="ListNumber"/>
        <w:spacing w:after="40"/>
      </w:pPr>
      <w:r>
        <w:t>Learner starts the module quiz built from the admin-approved question bank.</w:t>
      </w:r>
    </w:p>
    <w:p>
      <w:pPr>
        <w:pStyle w:val="ListNumber"/>
        <w:spacing w:after="40"/>
      </w:pPr>
      <w:r>
        <w:t>Objective questions are auto-graded; the score and completion are recorded.</w:t>
      </w:r>
    </w:p>
    <w:p>
      <w:pPr>
        <w:pStyle w:val="ListNumber"/>
        <w:spacing w:after="40"/>
      </w:pPr>
      <w:r>
        <w:t>Progress and subject mastery update on the learner's dashboard.</w:t>
      </w:r>
    </w:p>
    <w:p>
      <w:pPr>
        <w:pStyle w:val="Heading2"/>
      </w:pPr>
      <w:r>
        <w:t>6.6 Progress &amp; completion</w:t>
      </w:r>
    </w:p>
    <w:p>
      <w:pPr>
        <w:pStyle w:val="ListNumber"/>
        <w:spacing w:after="40"/>
      </w:pPr>
      <w:r>
        <w:t>Learner tracks progress across enrolled courses on their dashboard and resumes where they left off.</w:t>
      </w:r>
    </w:p>
    <w:p>
      <w:pPr>
        <w:pStyle w:val="ListNumber"/>
        <w:spacing w:after="40"/>
      </w:pPr>
      <w:r>
        <w:t>On meeting a course's criteria, the platform marks it complete and issues a completion record.</w:t>
      </w:r>
    </w:p>
    <w:p>
      <w:pPr>
        <w:pStyle w:val="ListNumber"/>
        <w:spacing w:after="40"/>
      </w:pPr>
      <w:r>
        <w:t>Admin views cohort analytics — progress by course/subject and the weakest topics — and exports results.</w:t>
      </w:r>
    </w:p>
    <w:p>
      <w:pPr>
        <w:pStyle w:val="Heading1"/>
      </w:pPr>
      <w:r>
        <w:t>7. Constraints &amp; Assumptions</w:t>
      </w:r>
    </w:p>
    <w:p>
      <w:pPr>
        <w:pStyle w:val="ListBullet"/>
        <w:spacing w:after="40"/>
      </w:pPr>
      <w:r>
        <w:rPr>
          <w:b/>
        </w:rPr>
        <w:t xml:space="preserve">Complete, self-contained LMS. </w:t>
      </w:r>
      <w:r>
        <w:t>The POC is a full LMS in its own right, not an add-on to an external LMS; exporting to another LMS is a future option, out of POC scope.</w:t>
      </w:r>
    </w:p>
    <w:p>
      <w:pPr>
        <w:pStyle w:val="ListBullet"/>
        <w:spacing w:after="40"/>
      </w:pPr>
      <w:r>
        <w:rPr>
          <w:b/>
        </w:rPr>
        <w:t xml:space="preserve">3D is preloaded, not uploaded. </w:t>
      </w:r>
      <w:r>
        <w:t>The POC ships a fixed library of five licence-clear 3D models; admins associate a model with a lesson but do not upload 3D. 3D appears only where a lesson's topic suits it.</w:t>
      </w:r>
    </w:p>
    <w:p>
      <w:pPr>
        <w:pStyle w:val="ListBullet"/>
        <w:spacing w:after="40"/>
      </w:pPr>
      <w:r>
        <w:rPr>
          <w:b/>
        </w:rPr>
        <w:t xml:space="preserve">Fictional content. </w:t>
      </w:r>
      <w:r>
        <w:t>All materials are realistic but non-sensitive and fictional; 3D models are open-source/royalty-free with recorded attribution.</w:t>
      </w:r>
    </w:p>
    <w:p>
      <w:pPr>
        <w:pStyle w:val="ListBullet"/>
        <w:spacing w:after="40"/>
      </w:pPr>
      <w:r>
        <w:rPr>
          <w:b/>
        </w:rPr>
        <w:t xml:space="preserve">Air-gap target. </w:t>
      </w:r>
      <w:r>
        <w:t>Production runs on-premise with no outbound network; models and 3D assets are served locally.</w:t>
      </w:r>
    </w:p>
    <w:p>
      <w:pPr>
        <w:pStyle w:val="ListBullet"/>
        <w:spacing w:after="40"/>
      </w:pPr>
      <w:r>
        <w:rPr>
          <w:b/>
        </w:rPr>
        <w:t xml:space="preserve">Cloud &lt;-&gt; local. </w:t>
      </w:r>
      <w:r>
        <w:t>Only the AI provider changes between demo and production, via config behind the model gateway; the LMS, courses, chatbot, 3D viewer and progress tracking are identical.</w:t>
      </w:r>
    </w:p>
    <w:p>
      <w:pPr>
        <w:pStyle w:val="ListBullet"/>
        <w:spacing w:after="40"/>
      </w:pPr>
      <w:r>
        <w:rPr>
          <w:b/>
        </w:rPr>
        <w:t xml:space="preserve">Grounded AI. </w:t>
      </w:r>
      <w:r>
        <w:t>Course generation, chatbot answers, component explanations and quiz rationales are grounded in the source material; the chatbot abstains rather than fabricates.</w:t>
      </w:r>
    </w:p>
    <w:p>
      <w:pPr>
        <w:pStyle w:val="ListBullet"/>
        <w:spacing w:after="40"/>
      </w:pPr>
      <w:r>
        <w:rPr>
          <w:b/>
        </w:rPr>
        <w:t xml:space="preserve">Human-in-the-loop. </w:t>
      </w:r>
      <w:r>
        <w:t>Auto-generated subjects, courses and quizzes are drafts; an admin reviews and approves before publish.</w:t>
      </w:r>
    </w:p>
    <w:p>
      <w:pPr>
        <w:pStyle w:val="ListBullet"/>
        <w:spacing w:after="40"/>
      </w:pPr>
      <w:r>
        <w:rPr>
          <w:b/>
        </w:rPr>
        <w:t xml:space="preserve">Security posture. </w:t>
      </w:r>
      <w:r>
        <w:t>Encryption in transit and at rest, secret store, role-based access (admin/learner), immutable audit; aligned to DPDP Act 2023, CERT-In directions and MoD/DRDO guidance as a target posture (not a certification).</w:t>
      </w:r>
    </w:p>
    <w:p>
      <w:pPr>
        <w:pStyle w:val="ListBullet"/>
        <w:spacing w:after="40"/>
      </w:pPr>
      <w:r>
        <w:rPr>
          <w:b/>
        </w:rPr>
        <w:t xml:space="preserve">Reference stack. </w:t>
      </w:r>
      <w:r>
        <w:t>React/TypeScript web with React Three Fiber/three.js for 3D; FastAPI + async workers; a retrieval (RAG) engine and vector store for the chatbot; PostgreSQL; MinIO (objects); Keycloak (identity); the model gateway. Recommended, not mandated.</w:t>
      </w:r>
    </w:p>
    <w:p>
      <w:pPr>
        <w:pStyle w:val="ListBullet"/>
        <w:spacing w:after="40"/>
      </w:pPr>
      <w:r>
        <w:rPr>
          <w:b/>
        </w:rPr>
        <w:t xml:space="preserve">Deployment. </w:t>
      </w:r>
      <w:r>
        <w:t>Containerized: Docker Compose for demo, Kubernetes/Helm with an internal registry for on-prem/air-gapped production.</w:t>
      </w:r>
    </w:p>
    <w:p>
      <w:pPr>
        <w:pStyle w:val="ListBullet"/>
        <w:spacing w:after="40"/>
      </w:pPr>
      <w:r>
        <w:rPr>
          <w:b/>
        </w:rPr>
        <w:t xml:space="preserve">Dependencies. </w:t>
      </w:r>
      <w:r>
        <w:t>Five open-source 3D models with clear licences; on-prem GPUs sized to the chosen local model (production).</w:t>
      </w:r>
    </w:p>
    <w:sectPr w:rsidR="00FC693F" w:rsidRPr="0006063C" w:rsidSect="00034616">
      <w:footerReference w:type="default" r:id="rId9"/>
      <w:pgSz w:w="11906" w:h="16838"/>
      <w:pgMar w:top="1304"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Defense AI LMS POC Spec v1.0   |   UNCLASSIFIED // FOR DEMONSTRATION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