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7E478" w14:textId="77777777" w:rsidR="0058242E" w:rsidRDefault="00000000" w:rsidP="00582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ind w:left="25" w:right="45" w:hanging="15"/>
        <w:rPr>
          <w:rFonts w:ascii="Algerian" w:eastAsia="Algerian" w:hAnsi="Algerian" w:cs="Algerian"/>
          <w:color w:val="000000"/>
          <w:sz w:val="44"/>
          <w:szCs w:val="44"/>
        </w:rPr>
      </w:pPr>
      <w:r>
        <w:rPr>
          <w:rFonts w:ascii="Algerian" w:eastAsia="Algerian" w:hAnsi="Algerian" w:cs="Algerian"/>
          <w:color w:val="000000"/>
          <w:sz w:val="44"/>
          <w:szCs w:val="44"/>
        </w:rPr>
        <w:t xml:space="preserve">ANALYZING THE IMPACT OF CAR </w:t>
      </w:r>
      <w:proofErr w:type="gramStart"/>
      <w:r>
        <w:rPr>
          <w:rFonts w:ascii="Algerian" w:eastAsia="Algerian" w:hAnsi="Algerian" w:cs="Algerian"/>
          <w:color w:val="000000"/>
          <w:sz w:val="44"/>
          <w:szCs w:val="44"/>
        </w:rPr>
        <w:t>FEATURES  ON</w:t>
      </w:r>
      <w:proofErr w:type="gramEnd"/>
      <w:r>
        <w:rPr>
          <w:rFonts w:ascii="Algerian" w:eastAsia="Algerian" w:hAnsi="Algerian" w:cs="Algerian"/>
          <w:color w:val="000000"/>
          <w:sz w:val="44"/>
          <w:szCs w:val="44"/>
        </w:rPr>
        <w:t xml:space="preserve"> PRICE AND PROFITABILITY </w:t>
      </w:r>
    </w:p>
    <w:p w14:paraId="53BD06A2" w14:textId="77777777" w:rsidR="0058242E" w:rsidRPr="0058242E" w:rsidRDefault="0058242E" w:rsidP="00582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ind w:left="25" w:right="45" w:hanging="15"/>
        <w:rPr>
          <w:rFonts w:ascii="Algerian" w:eastAsia="Algerian" w:hAnsi="Algerian" w:cs="Algerian"/>
          <w:color w:val="000000"/>
          <w:sz w:val="16"/>
          <w:szCs w:val="16"/>
        </w:rPr>
      </w:pPr>
    </w:p>
    <w:p w14:paraId="66357717" w14:textId="5144B412" w:rsidR="006266E4" w:rsidRDefault="00000000" w:rsidP="00582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ind w:left="25" w:right="45" w:hanging="1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Project Description: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This project focuses on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car dataset to extract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meaningful  insights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related to pricing, fuel efficiency, and brand performance. The goal is to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understand  patterns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car prices, how features like engine size and body style affect market value,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  how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fuel efficiency varies across models. </w:t>
      </w:r>
    </w:p>
    <w:p w14:paraId="2C26AC49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7" w:lineRule="auto"/>
        <w:ind w:left="7" w:right="356" w:firstLin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dataset used contains information on over 11,900 cars, including variables like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Make,  Model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Year, Engine HP, Transmission Type, MSRP, Fuel Type, MPG, and more. </w:t>
      </w:r>
    </w:p>
    <w:p w14:paraId="62AC3AD1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Approach: </w:t>
      </w:r>
    </w:p>
    <w:p w14:paraId="04595D04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7" w:lineRule="auto"/>
        <w:ind w:left="8" w:right="129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analytical approach for this project was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centered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entirely around Excel Pivot Tables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  data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visualizations. Pivot tables were used to summarize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dataset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  aggregating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values such as average MSRP, total MSRP, fuel efficiency, and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metrics  across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various categories like car brand, body style, transmission type, and model year.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  method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allowed for dynamic data exploration and quick extraction of meaningful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patterns  without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need for complex formulas or additional functions. </w:t>
      </w:r>
    </w:p>
    <w:p w14:paraId="735203F1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7" w:lineRule="auto"/>
        <w:ind w:left="5" w:right="5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We utilized a variety of chart types—such as stacked column charts, clustered column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charts,  scatter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plots, and line graphs—to visualize relationships and trends in the data. Each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chart  was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made interactive using slicers and filters, enabling users to drill down into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specific  aspects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the dataset easily. The combination of pivot tables and interactive charts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formed  the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core analytical technique throughout the project, providing a user-friendly way to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answer  business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questions and generate actionable insights. </w:t>
      </w:r>
    </w:p>
    <w:p w14:paraId="2C6E3C2C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Tech stack used: </w:t>
      </w:r>
    </w:p>
    <w:p w14:paraId="1C073522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7" w:lineRule="auto"/>
        <w:ind w:left="5" w:right="120" w:firstLin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Microsoft Excel for the entire workflow: data cleaning, pivot tables, and visualization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 provides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</w:p>
    <w:p w14:paraId="5B8E2853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39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Highly accessible and widely used. </w:t>
      </w:r>
    </w:p>
    <w:p w14:paraId="77ADE339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83" w:lineRule="auto"/>
        <w:ind w:left="7" w:right="1512" w:firstLine="36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Offers dynamic features like slicers, filters, and interactive dashboards. Excel's Data Analysis Toolpak for correlation coefficient. </w:t>
      </w:r>
    </w:p>
    <w:p w14:paraId="64F2F133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Insights and Results:</w:t>
      </w:r>
    </w:p>
    <w:p w14:paraId="571C1628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lastRenderedPageBreak/>
        <w:drawing>
          <wp:inline distT="19050" distB="19050" distL="19050" distR="19050" wp14:anchorId="6FEB4006" wp14:editId="2F042363">
            <wp:extent cx="5096256" cy="148132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1481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19050" distB="19050" distL="19050" distR="19050" wp14:anchorId="4CCE5485" wp14:editId="228D5E11">
            <wp:extent cx="5096256" cy="1481328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1481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AD432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5" w:firstLine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Above figure shows the relationship between different market categories with that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  popularity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the model and the count of model. Popularity peaks for diesel market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category  whereas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highest count of model turns out to be unknown followed by luxury market category.  </w:t>
      </w:r>
    </w:p>
    <w:p w14:paraId="47FB6FEF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 wp14:anchorId="245E6D4C" wp14:editId="5593BC26">
            <wp:extent cx="5196840" cy="15544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5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 wp14:anchorId="1FA5D8D8" wp14:editId="387CA48B">
            <wp:extent cx="5196840" cy="155448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5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201B6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9" w:right="18" w:hanging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Above figure shows the scatter plot between engine power and MSRP (price). Relationship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  found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to be linearly increasing. </w:t>
      </w:r>
    </w:p>
    <w:p w14:paraId="2C086D73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19050" distB="19050" distL="19050" distR="19050" wp14:anchorId="20C14CAD" wp14:editId="32A75D11">
            <wp:extent cx="3557016" cy="222504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B8F72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above figure shows the regression statistics. </w:t>
      </w:r>
    </w:p>
    <w:p w14:paraId="059AEAE0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81" w:lineRule="auto"/>
        <w:ind w:left="7" w:right="41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Multiple R value suggests a moderate positive relationship between predictors and target.  Adjusted R square close to R square indicates a good number of relevant predictors.  Standard error indicates error in predictions.  </w:t>
      </w:r>
    </w:p>
    <w:p w14:paraId="23313A6A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Observations refer to sample size which in this case is a solid amount.  </w:t>
      </w:r>
    </w:p>
    <w:p w14:paraId="329AC056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7" w:lineRule="auto"/>
        <w:ind w:left="13" w:right="164" w:hanging="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Model’s p-value comes out to be near zero from further analysis, which is highly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significant  and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f-score turns out to be very high, indicating overall regression model is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statistically  significant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</w:p>
    <w:p w14:paraId="75D1762F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only insignificant predictor: city MPG.</w:t>
      </w:r>
    </w:p>
    <w:p w14:paraId="7FAFEC32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 wp14:anchorId="59AA354F" wp14:editId="71CBF342">
            <wp:extent cx="5242559" cy="1548384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1548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19050" distB="19050" distL="19050" distR="19050" wp14:anchorId="384029D5" wp14:editId="109197CA">
            <wp:extent cx="5242559" cy="1548384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1548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 wp14:anchorId="3C78D7D5" wp14:editId="02FCC9BE">
            <wp:extent cx="5242559" cy="15422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154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53593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7" w:right="17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above figure shows average of MSRP based on the brand (make). Highest price goes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  the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Bugatti model. </w:t>
      </w:r>
    </w:p>
    <w:p w14:paraId="31E5022C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 wp14:anchorId="36D43CD0" wp14:editId="072DD9A6">
            <wp:extent cx="5739383" cy="132892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383" cy="132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 wp14:anchorId="050376DF" wp14:editId="70F3FA03">
            <wp:extent cx="5739383" cy="132892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383" cy="132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19050" distB="19050" distL="19050" distR="19050" wp14:anchorId="5ACB3D59" wp14:editId="41FD6DB4">
            <wp:extent cx="5739383" cy="132588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383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12D8C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7" w:right="14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above figure shows the relationship between highway mpg with engine cylinders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 turns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out to be linearly decreasing, i.e. inversely proportional. The correlation coefficient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  close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to -1 suggesting the same.  </w:t>
      </w:r>
    </w:p>
    <w:p w14:paraId="118D2C5A" w14:textId="77777777" w:rsidR="006266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 w:line="240" w:lineRule="auto"/>
        <w:ind w:left="9"/>
        <w:rPr>
          <w:rFonts w:ascii="Times New Roman" w:eastAsia="Times New Roman" w:hAnsi="Times New Roman" w:cs="Times New Roman"/>
          <w:b/>
          <w:color w:val="0563C1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Hyperlink: </w:t>
      </w:r>
      <w:hyperlink r:id="rId15">
        <w:r>
          <w:rPr>
            <w:rFonts w:ascii="Times New Roman" w:eastAsia="Times New Roman" w:hAnsi="Times New Roman" w:cs="Times New Roman"/>
            <w:b/>
            <w:color w:val="0000EE"/>
            <w:sz w:val="23"/>
            <w:szCs w:val="23"/>
            <w:u w:val="single"/>
          </w:rPr>
          <w:t>car_features_.xlsx</w:t>
        </w:r>
      </w:hyperlink>
      <w:r>
        <w:rPr>
          <w:rFonts w:ascii="Times New Roman" w:eastAsia="Times New Roman" w:hAnsi="Times New Roman" w:cs="Times New Roman"/>
          <w:b/>
          <w:color w:val="0563C1"/>
          <w:sz w:val="23"/>
          <w:szCs w:val="23"/>
          <w:u w:val="single"/>
        </w:rPr>
        <w:t xml:space="preserve"> </w:t>
      </w:r>
    </w:p>
    <w:sectPr w:rsidR="006266E4">
      <w:pgSz w:w="11900" w:h="16840"/>
      <w:pgMar w:top="1436" w:right="1398" w:bottom="3912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E4"/>
    <w:rsid w:val="0058242E"/>
    <w:rsid w:val="006266E4"/>
    <w:rsid w:val="009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52B9"/>
  <w15:docId w15:val="{8FDA2CD1-8C9B-4D9C-9484-68B40DF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ocs.google.com/spreadsheets/d/1Y4Z6oCCeN6O_Aj0k_GLcnhT2KRg2E6Ie/edit?usp=sharing&amp;ouid=111719312717552042778&amp;rtpof=true&amp;sd=true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katole</cp:lastModifiedBy>
  <cp:revision>2</cp:revision>
  <dcterms:created xsi:type="dcterms:W3CDTF">2025-04-30T11:19:00Z</dcterms:created>
  <dcterms:modified xsi:type="dcterms:W3CDTF">2025-04-30T11:20:00Z</dcterms:modified>
</cp:coreProperties>
</file>