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r w:rsidR="00F7593F">
        <w:rPr>
          <w:rFonts w:ascii="Times New Roman" w:hAnsi="Times New Roman" w:cs="Times New Roman"/>
          <w:b/>
          <w:bCs/>
          <w:sz w:val="28"/>
          <w:szCs w:val="28"/>
        </w:rPr>
        <w:t>A)</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3F0C7E7" w:rsidR="00286D28" w:rsidRPr="00286D28" w:rsidRDefault="007F0140" w:rsidP="00286D28">
            <w:pPr>
              <w:jc w:val="center"/>
              <w:rPr>
                <w:rFonts w:ascii="Times New Roman" w:hAnsi="Times New Roman" w:cs="Times New Roman"/>
                <w:sz w:val="24"/>
                <w:szCs w:val="24"/>
              </w:rPr>
            </w:pPr>
            <w:r>
              <w:rPr>
                <w:rFonts w:ascii="Times New Roman" w:hAnsi="Times New Roman" w:cs="Times New Roman"/>
                <w:sz w:val="24"/>
                <w:szCs w:val="24"/>
              </w:rPr>
              <w:t>2320030368</w:t>
            </w:r>
          </w:p>
        </w:tc>
        <w:tc>
          <w:tcPr>
            <w:tcW w:w="5528" w:type="dxa"/>
          </w:tcPr>
          <w:p w14:paraId="256A6E97" w14:textId="5321AA40" w:rsidR="00286D28" w:rsidRPr="00286D28" w:rsidRDefault="007F0140" w:rsidP="00286D28">
            <w:pPr>
              <w:jc w:val="center"/>
              <w:rPr>
                <w:rFonts w:ascii="Times New Roman" w:hAnsi="Times New Roman" w:cs="Times New Roman"/>
                <w:sz w:val="24"/>
                <w:szCs w:val="24"/>
              </w:rPr>
            </w:pPr>
            <w:r>
              <w:rPr>
                <w:rFonts w:ascii="Times New Roman" w:hAnsi="Times New Roman" w:cs="Times New Roman"/>
                <w:sz w:val="24"/>
                <w:szCs w:val="24"/>
              </w:rPr>
              <w:t>Sneha Mithra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EB002B7" w:rsidR="00286D28" w:rsidRPr="00286D28" w:rsidRDefault="007F0140" w:rsidP="00286D28">
            <w:pPr>
              <w:jc w:val="center"/>
              <w:rPr>
                <w:rFonts w:ascii="Times New Roman" w:hAnsi="Times New Roman" w:cs="Times New Roman"/>
                <w:sz w:val="24"/>
                <w:szCs w:val="24"/>
              </w:rPr>
            </w:pPr>
            <w:r>
              <w:rPr>
                <w:rFonts w:ascii="Times New Roman" w:hAnsi="Times New Roman" w:cs="Times New Roman"/>
                <w:sz w:val="24"/>
                <w:szCs w:val="24"/>
              </w:rPr>
              <w:t>2320030247</w:t>
            </w:r>
          </w:p>
        </w:tc>
        <w:tc>
          <w:tcPr>
            <w:tcW w:w="5528" w:type="dxa"/>
          </w:tcPr>
          <w:p w14:paraId="11B1D292" w14:textId="03CF2C83" w:rsidR="00286D28" w:rsidRPr="00286D28" w:rsidRDefault="007F0140" w:rsidP="00286D28">
            <w:pPr>
              <w:jc w:val="center"/>
              <w:rPr>
                <w:rFonts w:ascii="Times New Roman" w:hAnsi="Times New Roman" w:cs="Times New Roman"/>
                <w:sz w:val="24"/>
                <w:szCs w:val="24"/>
              </w:rPr>
            </w:pPr>
            <w:r>
              <w:rPr>
                <w:rFonts w:ascii="Times New Roman" w:hAnsi="Times New Roman" w:cs="Times New Roman"/>
                <w:sz w:val="24"/>
                <w:szCs w:val="24"/>
              </w:rPr>
              <w:t>Lik</w:t>
            </w:r>
            <w:r w:rsidR="00772212">
              <w:rPr>
                <w:rFonts w:ascii="Times New Roman" w:hAnsi="Times New Roman" w:cs="Times New Roman"/>
                <w:sz w:val="24"/>
                <w:szCs w:val="24"/>
              </w:rPr>
              <w:t>h</w:t>
            </w:r>
            <w:r>
              <w:rPr>
                <w:rFonts w:ascii="Times New Roman" w:hAnsi="Times New Roman" w:cs="Times New Roman"/>
                <w:sz w:val="24"/>
                <w:szCs w:val="24"/>
              </w:rPr>
              <w:t>ita Yegalla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FC6F43F" w:rsidR="00286D28" w:rsidRPr="00286D28" w:rsidRDefault="007F0140" w:rsidP="00286D28">
            <w:pPr>
              <w:jc w:val="center"/>
              <w:rPr>
                <w:rFonts w:ascii="Times New Roman" w:hAnsi="Times New Roman" w:cs="Times New Roman"/>
                <w:sz w:val="24"/>
                <w:szCs w:val="24"/>
              </w:rPr>
            </w:pPr>
            <w:r>
              <w:rPr>
                <w:rFonts w:ascii="Times New Roman" w:hAnsi="Times New Roman" w:cs="Times New Roman"/>
                <w:sz w:val="24"/>
                <w:szCs w:val="24"/>
              </w:rPr>
              <w:t>2320030367</w:t>
            </w:r>
          </w:p>
        </w:tc>
        <w:tc>
          <w:tcPr>
            <w:tcW w:w="5528" w:type="dxa"/>
          </w:tcPr>
          <w:p w14:paraId="7B185CDD" w14:textId="5B473FF3" w:rsidR="00286D28" w:rsidRPr="00286D28" w:rsidRDefault="007F0140" w:rsidP="00286D28">
            <w:pPr>
              <w:jc w:val="center"/>
              <w:rPr>
                <w:rFonts w:ascii="Times New Roman" w:hAnsi="Times New Roman" w:cs="Times New Roman"/>
                <w:sz w:val="24"/>
                <w:szCs w:val="24"/>
              </w:rPr>
            </w:pPr>
            <w:r>
              <w:rPr>
                <w:rFonts w:ascii="Times New Roman" w:hAnsi="Times New Roman" w:cs="Times New Roman"/>
                <w:sz w:val="24"/>
                <w:szCs w:val="24"/>
              </w:rPr>
              <w:t>Sai Akshaya</w:t>
            </w:r>
          </w:p>
        </w:tc>
      </w:tr>
      <w:tr w:rsidR="00F7593F" w14:paraId="28681503" w14:textId="77777777" w:rsidTr="00286D28">
        <w:trPr>
          <w:jc w:val="center"/>
        </w:trPr>
        <w:tc>
          <w:tcPr>
            <w:tcW w:w="2263" w:type="dxa"/>
          </w:tcPr>
          <w:p w14:paraId="1089D1FC" w14:textId="135D2AD7" w:rsidR="00F7593F" w:rsidRPr="00286D28" w:rsidRDefault="00F7593F" w:rsidP="007F0140">
            <w:pPr>
              <w:rPr>
                <w:rFonts w:ascii="Times New Roman" w:hAnsi="Times New Roman" w:cs="Times New Roman"/>
                <w:sz w:val="24"/>
                <w:szCs w:val="24"/>
              </w:rPr>
            </w:pP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903B3D8" w:rsidR="00295A23" w:rsidRPr="00286D28" w:rsidRDefault="007F0140" w:rsidP="00286D28">
            <w:pPr>
              <w:jc w:val="center"/>
              <w:rPr>
                <w:rFonts w:ascii="Times New Roman" w:hAnsi="Times New Roman" w:cs="Times New Roman"/>
                <w:sz w:val="24"/>
                <w:szCs w:val="24"/>
              </w:rPr>
            </w:pPr>
            <w:r>
              <w:rPr>
                <w:rFonts w:ascii="Times New Roman" w:hAnsi="Times New Roman" w:cs="Times New Roman"/>
                <w:sz w:val="24"/>
                <w:szCs w:val="24"/>
              </w:rPr>
              <w:t>Dr K Swapnika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5BA4F872" w14:textId="3B56FE0E" w:rsidR="007F0140" w:rsidRPr="007F0140" w:rsidRDefault="007F0140" w:rsidP="007F0140">
      <w:pPr>
        <w:ind w:firstLine="720"/>
        <w:rPr>
          <w:rFonts w:ascii="Times New Roman" w:hAnsi="Times New Roman" w:cs="Times New Roman"/>
          <w:sz w:val="24"/>
          <w:szCs w:val="24"/>
        </w:rPr>
      </w:pPr>
      <w:r w:rsidRPr="007F0140">
        <w:rPr>
          <w:rFonts w:ascii="Times New Roman" w:hAnsi="Times New Roman" w:cs="Times New Roman"/>
          <w:sz w:val="24"/>
          <w:szCs w:val="24"/>
        </w:rPr>
        <w:t>Managing personal finances effectively has become increasingly challenging in our day-to-day lives, as we make frequent payments through UPI, cards, cash, online shopping, subscriptions, and other digital platforms. Although existing finance applications help users record these transactions, they often provide limited support for understanding spending habits, identifying overspending, and making better financial decisions.To address this problem, our project, “An Extensible Personal Finance Management Framework for Expense Tracking, Visual Analytics, and Intelligent Decision Support,” proposes a more integrated approach to personal finance management. The system allows users to record and organize their income and expenses while using visual dashboards to make spending patterns easier to understand. It also focuses on identifying spending trends, monitoring budgets, and providing personalized insights and alerts based on user behavior.The framework is designed to be simple, flexible, and extensible, allowing additional features such as spending prediction, anomaly detection, and advanced recommendations to be incorporated in the future. Overall, the project aims to move beyond basic expense recording and help users understand their financial behavior, recognize areas of overspending, and make more informed financial decisions.</w:t>
      </w: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7F0140">
      <w:pP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455AB5"/>
    <w:rsid w:val="005C2430"/>
    <w:rsid w:val="00772212"/>
    <w:rsid w:val="007F014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Anishq Reddy</cp:lastModifiedBy>
  <cp:revision>5</cp:revision>
  <dcterms:created xsi:type="dcterms:W3CDTF">2026-07-29T05:57:00Z</dcterms:created>
  <dcterms:modified xsi:type="dcterms:W3CDTF">2026-08-22T08:11:00Z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