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3201B" w:sz="18" w:space="6"/>
        </w:pBdr>
        <w:spacing w:after="60"/>
      </w:pPr>
      <w:r>
        <w:rPr>
          <w:b/>
          <w:bCs/>
          <w:color w:val="23201B"/>
          <w:sz w:val="30"/>
          <w:szCs w:val="30"/>
        </w:rPr>
        <w:t xml:space="preserve">PACTORA</w:t>
      </w:r>
    </w:p>
    <w:p>
      <w:pPr>
        <w:spacing w:after="240" w:before="0" w:line="276"/>
      </w:pPr>
      <w:r>
        <w:rPr>
          <w:color w:val="7C2D2D"/>
          <w:sz w:val="22"/>
          <w:szCs w:val="22"/>
        </w:rPr>
        <w:t xml:space="preserve">Contract Risk Engine</w:t>
      </w:r>
    </w:p>
    <w:p>
      <w:pPr>
        <w:spacing w:after="80" w:before="200"/>
      </w:pPr>
      <w:r>
        <w:rPr>
          <w:b/>
          <w:bCs/>
          <w:color w:val="23201B"/>
          <w:sz w:val="36"/>
          <w:szCs w:val="36"/>
        </w:rPr>
        <w:t xml:space="preserve">Legal Rules Verification for Counsel Sign-off</w:t>
      </w:r>
    </w:p>
    <w:p>
      <w:pPr>
        <w:spacing w:after="240" w:before="0" w:line="276"/>
      </w:pPr>
      <w:r>
        <w:rPr>
          <w:i/>
          <w:iCs/>
          <w:color w:val="5C554A"/>
          <w:sz w:val="24"/>
          <w:szCs w:val="24"/>
        </w:rPr>
        <w:t xml:space="preserve">Jurisdiction-aware clause analysis for B2B contracts · rules schema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Sneha Ganapavarapu (legal engineer, Pactora)</w:t>
            </w:r>
          </w:p>
        </w:tc>
      </w:tr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Verification of the legal thresholds, authorities and risk-flag logic encoded in the Pactora rules engine</w:t>
            </w:r>
          </w:p>
        </w:tc>
      </w:tr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66 rules across five clause types; England &amp; Wales, India, Germany, France, plus the EU and UK for data protection</w:t>
            </w:r>
          </w:p>
        </w:tc>
      </w:tr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Verification status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42 self-checked against source; 24 civil-law (DE/FR) rules marked UNVERIFIED and dormant until sign-off</w:t>
            </w:r>
          </w:p>
        </w:tc>
      </w:tr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Engine guarantee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Only a verified, in-date rule is ever served in analysis. Unverified rules do not fire.</w:t>
            </w:r>
          </w:p>
        </w:tc>
      </w:tr>
      <w:tr>
        <w:tc>
          <w:tcPr>
            <w:tcW w:type="dxa" w:w="24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9"/>
                <w:szCs w:val="19"/>
              </w:rPr>
              <w:t xml:space="preserve">Rules v0.2 (schema v2)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20" w:before="0" w:line="276"/>
      </w:pPr>
      <w:r>
        <w:rPr>
          <w:color w:val="23201B"/>
          <w:sz w:val="22"/>
          <w:szCs w:val="22"/>
        </w:rPr>
        <w:t xml:space="preserve">This document sets out the legal rules a software tool applies when reviewing commercial contracts. The tool flags risk; it does not give advice. Each rule below carries a stable Rule ID, a rule type, a stability rating, its legal basis (authorities only), and the engine's interpretation (separated from the authorities). Please verify the law and challenge the interpretation independently.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Confirm each legal basis is correctly cited and current for B2B contracts.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Confirm the rule type is right: mandatory law (likely invalid), litigation risk (fact-sensitive), negotiation risk (commercial), drafting risk, or operational risk.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Confirm the stability rating, which sets how often the rule is re-reviewed.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Challenge the engine interpretation separately from the authority - they are deliberately split.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Rules marked OMR (overriding mandatory) are understood to apply regardless of the contract's chosen governing law (lois de police / lex protectionis / lex concursus). Please confirm that classification applies to each flagged rule.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Use the Confirm / Amend column on each row, and the sign-off block at the end, recording the jurisdictions you are qualified in.</w:t>
      </w:r>
    </w:p>
    <w:p>
      <w:pPr>
        <w:spacing w:after="120" w:before="140" w:line="276"/>
      </w:pPr>
      <w:r>
        <w:rPr>
          <w:i/>
          <w:iCs/>
          <w:color w:val="5C554A"/>
          <w:sz w:val="19"/>
          <w:szCs w:val="19"/>
        </w:rPr>
        <w:t xml:space="preserve">Codes: severity H/M/L/i. Type and stability are abbreviated in the tables (Mand. law, Lit. risk, Negot., Drafting, Ops; settled / context / evolving / jur-var). Rows marked UNVERIFIED are not yet served by the engine.</w:t>
      </w:r>
    </w:p>
    <w:p>
      <w:r>
        <w:br w:type="page"/>
      </w:r>
    </w:p>
    <w:p>
      <w:pPr>
        <w:pStyle w:val="Heading1"/>
      </w:pPr>
      <w:r>
        <w:t xml:space="preserve">1. Limitation of Liability</w:t>
      </w:r>
    </w:p>
    <w:p>
      <w:pPr>
        <w:pStyle w:val="Heading2"/>
        <w:spacing w:after="90" w:before="180"/>
      </w:pPr>
      <w:r>
        <w:t xml:space="preserve">England &amp; Wales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EW-LOL-001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Unfair Contract Terms Act 1977, s.2(1)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HIH Casualty v Chase Manhattan Bank [2003] UKHL 6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Cap/exclusion lacks the mandatory carve-outs; the relevant limb is likely unenforceable. Recommend adding express carve-outs for death or personal injury (negligence) and for fraud.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EW-LOL-002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Unfair Contract Terms Act 1977, s.3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Unfair Contract Terms Act 1977, s.11 + Sch.2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Exclusion on written standard terms must pass the UCTA reasonableness test; as drafted it may not. Fact-sensitive - surface for review rather than asserting invalidity.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EW-LOL-003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Negot.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Unfair Contract Terms Act 1977, Sch.2 (relative bargaining position is a reasonableness factor)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one-sided cap weighs against reasonableness under Sch.2. The suggestion to adopt a MUTUAL cap is market practice, not a legal requirement - presented as a negotiation point, not an enforceability finding.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India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IN-LOL-001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Indian Contract Act 1872, s.23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Central Inland Water Transport Corp v Brojo Nath Ganguly (1986) 3 SCC 156 [case]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LIC of India v Consumer Education &amp; Research Centre (1995) 5 SCC 482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blanket exclusion in a take-it-or-leave-it contract against a weaker party may be void as unconscionable. Does NOT apply between commercial equals. Fact-sensitive; surface for review, do not assert invalidity.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parties are commercial equals with comparable bargaining power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IN-LOL-002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Indian Contract Act 1872 - construction; contra proferentem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Exclusion of the core obligation will be read narrowly by Indian courts; likely ineffective as drafted.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IN-LOL-003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Indian Contract Act 1872, s.74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fixed-sum cap engages s.74; a court awards reasonable compensation not exceeding the sum, so the cap is a ceiling, not a guarantee.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Germany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DE-LOL-001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§307 (unreasonable disadvantage in standard terms)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§309 No. 7 (life/body/health; gross negligence/intent)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§276(3) (liability for intent cannot be excluded in advance)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blanket exclusion in standard terms with no carve-out for intent or gross negligence is presumptively void under §307.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DE-LOL-002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DCE6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i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§305 (AGB definition)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AGB control turns on whether the term was individually negotiated; confirm negotiation status before relying on the clause.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France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FR-LOL-001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1170 (clause negating essential obligation deemed unwritten; codifies Chronopost)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cap so low it negates the essential obligation is deemed unwritten under art. 1170.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FR-LOL-002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1171 (significant imbalance in a contrat d'adhesion deemed unwritten)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 an adhesion contract, a non-negotiated term creating a significant imbalance is at risk of being deemed unwritten under art. 1171. Fact-sensitive (turns on adhesion status and negotiation); surface for review rather than asserting the term falls away.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term was negotiated, or bears on main subject-matter / price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50" w:before="100" w:line="276"/>
      </w:pPr>
      <w:r>
        <w:rPr>
          <w:b/>
          <w:bCs/>
          <w:color w:val="23201B"/>
          <w:sz w:val="20"/>
          <w:szCs w:val="20"/>
        </w:rPr>
        <w:t xml:space="preserve">Negotiation fallback ladder (context)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Ideal: </w:t>
      </w:r>
      <w:r>
        <w:rPr>
          <w:i/>
          <w:iCs/>
          <w:sz w:val="19"/>
          <w:szCs w:val="19"/>
        </w:rPr>
        <w:t xml:space="preserve">Mutual cap at a meaningful multiple of fees (e.g. 12 months), with all mandatory carve-outs expressly stated.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Acceptable: </w:t>
      </w:r>
      <w:r>
        <w:rPr>
          <w:i/>
          <w:iCs/>
          <w:sz w:val="19"/>
          <w:szCs w:val="19"/>
        </w:rPr>
        <w:t xml:space="preserve">Mutual cap with carve-outs for the jurisdiction's non-excludable heads; consequential-loss exclusion permitted.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Walk away: </w:t>
      </w:r>
      <w:r>
        <w:rPr>
          <w:i/>
          <w:iCs/>
          <w:sz w:val="19"/>
          <w:szCs w:val="19"/>
        </w:rPr>
        <w:t xml:space="preserve">Blanket exclusion of all liability with no carve-outs, or a nominal cap that negates the core obligation.</w:t>
      </w:r>
    </w:p>
    <w:p>
      <w:r>
        <w:br w:type="page"/>
      </w:r>
    </w:p>
    <w:p>
      <w:pPr>
        <w:pStyle w:val="Heading1"/>
      </w:pPr>
      <w:r>
        <w:t xml:space="preserve">2. Indemnities</w:t>
      </w:r>
    </w:p>
    <w:p>
      <w:pPr>
        <w:pStyle w:val="Heading2"/>
        <w:spacing w:after="90" w:before="180"/>
      </w:pPr>
      <w:r>
        <w:t xml:space="preserve">England &amp; Wales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EW-IND-001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Negot.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construction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Indemnity sits outside the liability cap and is uncapped, creating unlimited exposure that defeats the negotiated cap.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EW-IND-004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public policy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Indemnity against a party's own fraud is unenforceable.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EW-IND-005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construction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IP-infringement indemnity is unqualified or rests on an unverified ownership position; the indemnitor may be warranting title it cannot stand behind. Scope to defined third-party IP claims and confirm the IPO position first.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EW-IND-002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Canada Steamship Lines v The King [1952] AC 192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Indemnity may cover the indemnitee's own negligence but lacks clear words; likely read down on a Canada Steamship basis.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EW-IND-003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construction (indemnity vs damages)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Indemnity avoids the usual limits on damages (remoteness, mitigation). Confirm this breadth is intended, not inadvertent.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India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IN-IND-003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Negot.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interaction with LoL cap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Uncapped indemnity outside the cap creates unlimited exposure.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IN-IND-004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ICA 1872 ss.124-125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IP-infringement indemnity is unqualified or rests on an unverified ownership position; the indemnitor may be warranting title it cannot stand behind. Scope to defined third-party IP claims and confirm the IPO position first.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IN-IND-001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ICA 1872 s.125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Gajanan Moreshwar (1942)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'Pay first' wording weakens the holder's right to be put in funds once liability is absolute; consider express 'on demand' drafting.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IN-IND-002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ICA 1872 s.124 (literal scope)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s.124's literal wording is conduct-based; modern courts extend cover, but draft the trigger expressly to avoid argument.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Germany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DE-IND-001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§307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§276(3)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Broad Freistellung in standard terms with no carve-out for intent is presumptively void under §307.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term was individually negotiated (Individualvereinbarung escapes AGB control)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DE-IND-002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Negot.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interaction with LoL cap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Uncapped release outside the cap creates unlimited exposure.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DE-IND-003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§307 (AGB control)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IP-infringement release is unqualified or rests on an unverified ownership position; in standard terms a broad unqualified release also risks §307. Scope to defined third-party IP claims and confirm the IPO position first.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France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FR-IND-003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Negot.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interaction with LoL cap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Uncapped garantie outside the cap creates unlimited exposure.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FR-IND-004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arts. 1626 ff. (garantie d'eviction)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IP-infringement garantie is unqualified or rests on an unverified ownership position; it overlaps the statutory garantie d'eviction. Scope to defined third-party IP claims and confirm the IPO position first.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FR-IND-001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1231-5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Fixed indemnity sum may be revised by a court as manifestly excessive under art. 1231-5.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FR-IND-002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1171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Non-negotiated indemnity creating significant imbalance in an adhesion contract is at risk under art. 1171; fact-sensitive (turns on adhesion status and negotiation), so surface for review rather than asserting the term falls away.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term was negotiated, or bears on main subject-matter / price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50" w:before="100" w:line="276"/>
      </w:pPr>
      <w:r>
        <w:rPr>
          <w:b/>
          <w:bCs/>
          <w:color w:val="23201B"/>
          <w:sz w:val="20"/>
          <w:szCs w:val="20"/>
        </w:rPr>
        <w:t xml:space="preserve">Negotiation fallback ladder (context)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Ideal: </w:t>
      </w:r>
      <w:r>
        <w:rPr>
          <w:i/>
          <w:iCs/>
          <w:sz w:val="19"/>
          <w:szCs w:val="19"/>
        </w:rPr>
        <w:t xml:space="preserve">Mutual, capped indemnities limited to defined third-party claim categories (IP infringement, data breach, death/personal injury), indemnitor controls the defence, cap expressly applies.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Acceptable: </w:t>
      </w:r>
      <w:r>
        <w:rPr>
          <w:i/>
          <w:iCs/>
          <w:sz w:val="19"/>
          <w:szCs w:val="19"/>
        </w:rPr>
        <w:t xml:space="preserve">Indemnities capped at the aggregate liability cap, limited to third-party claims, carve-outs only for fraud and (where mandatory) intent.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Walk away: </w:t>
      </w:r>
      <w:r>
        <w:rPr>
          <w:i/>
          <w:iCs/>
          <w:sz w:val="19"/>
          <w:szCs w:val="19"/>
        </w:rPr>
        <w:t xml:space="preserve">Uncapped, one-sided indemnity outside the cap, covering first-party losses and the indemnitee's own negligence or fraud.</w:t>
      </w:r>
    </w:p>
    <w:p>
      <w:r>
        <w:br w:type="page"/>
      </w:r>
    </w:p>
    <w:p>
      <w:pPr>
        <w:pStyle w:val="Heading1"/>
      </w:pPr>
      <w:r>
        <w:t xml:space="preserve">3. IP Ownership</w:t>
      </w:r>
    </w:p>
    <w:p>
      <w:pPr>
        <w:pStyle w:val="Heading2"/>
        <w:spacing w:after="90" w:before="180"/>
      </w:pPr>
      <w:r>
        <w:t xml:space="preserve">England &amp; Wales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EW-IPO-001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CDPA 1988 s.11(2)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s.90(3)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Contractor-created IP stays with the contractor without an express written assignment; the client gets a bare licence at best.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creator is an employee acting in the course of employment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EW-IPO-003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CDPA 1988 s.90(3)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Patents Act 1977 s.30(6)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Assignment is void without writing signed by the assignor.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EW-IPO-002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CDPA 1988 s.91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Future IP is only captured by a present assignment; 'will assign' leaves an equitable interest requiring a further deed.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EW-IPO-004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CDPA 1988 s.87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Moral rights are not waived; author may assert identification / object to derogatory treatment.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India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IN-IPO-001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Copyright Act 1957 s.17(c)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s.19(1)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Contractor-created IP stays with the contractor without a written signed assignment.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creator is an employee under a contract of service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IN-IPO-002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Copyright Act 1957 s.19(5)-(6)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Silence on duration caps the assignment at 5 years; silence on territory confines it to India. The intended global/perpetual grant is statutorily cut down.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IN-IPO-003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Copyright Act 1957 s.19(4)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Rights not exercised within one year may lapse unless the assignment says otherwise.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Germany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DE-IPO-001  (UNVERIFIED)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UrhG §29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§31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Copyright cannot be assigned under German law; recast as an exclusive grant of exploitation rights or the clause is ineffective.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the work is software AND the creator is an employee (§69b)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DE-IPO-002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UrhG §31(5)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Unspecified rights are construed narrowly by purpose; the broad grant will be read down.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France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FR-IPO-001  (UNVERIFIED)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CPI art. L131-1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Global assignment of future works is null under L131-1; limit it to determinable works taking effect on creation.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assignment is limited to determinable, separable works produced under the contract and takes effect on creation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FR-IPO-002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CPI art. L131-3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Assignment fails L131-3 specificity; unspecified rights are not validly transferred.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FR-IPO-003  (UNVERIFIED)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CPI art. L121-1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Moral-rights waiver is ineffective under French law; the droit moral is inalienable.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50" w:before="100" w:line="276"/>
      </w:pPr>
      <w:r>
        <w:rPr>
          <w:b/>
          <w:bCs/>
          <w:color w:val="23201B"/>
          <w:sz w:val="20"/>
          <w:szCs w:val="20"/>
        </w:rPr>
        <w:t xml:space="preserve">Negotiation fallback ladder (context)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Ideal: </w:t>
      </w:r>
      <w:r>
        <w:rPr>
          <w:i/>
          <w:iCs/>
          <w:sz w:val="19"/>
          <w:szCs w:val="19"/>
        </w:rPr>
        <w:t xml:space="preserve">Present assignment of foreground IP (recast as exclusive licence for DE/FR), in writing and signed, with background IP retained and a licence-back to the assignor; moral rights waived where the jurisdiction allows.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Acceptable: </w:t>
      </w:r>
      <w:r>
        <w:rPr>
          <w:i/>
          <w:iCs/>
          <w:sz w:val="19"/>
          <w:szCs w:val="19"/>
        </w:rPr>
        <w:t xml:space="preserve">Assignment/exclusive licence of foreground IP with duration and territory expressly stated (avoids India s.19 defaults), software handled under the local employee exception.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Walk away: </w:t>
      </w:r>
      <w:r>
        <w:rPr>
          <w:i/>
          <w:iCs/>
          <w:sz w:val="19"/>
          <w:szCs w:val="19"/>
        </w:rPr>
        <w:t xml:space="preserve">Blanket assignment of all background and future IP, no writing/signature, moral-rights waiver relied on in a jurisdiction that forbids it, contractor work with no assignment at all.</w:t>
      </w:r>
    </w:p>
    <w:p>
      <w:r>
        <w:br w:type="page"/>
      </w:r>
    </w:p>
    <w:p>
      <w:pPr>
        <w:pStyle w:val="Heading1"/>
      </w:pPr>
      <w:r>
        <w:t xml:space="preserve">4. Data Protection</w:t>
      </w:r>
    </w:p>
    <w:p>
      <w:pPr>
        <w:pStyle w:val="Heading2"/>
        <w:spacing w:after="90" w:before="180"/>
      </w:pPr>
      <w:r>
        <w:t xml:space="preserve">European Union</w:t>
      </w:r>
      <w:r>
        <w:rPr>
          <w:i/>
          <w:iCs/>
          <w:color w:val="5C554A"/>
          <w:sz w:val="20"/>
          <w:szCs w:val="20"/>
        </w:rPr>
        <w:t xml:space="preserve">   eu regulation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EU-DP-001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GDPR Art. 28(3)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Processor clause is missing mandatory Art. 28(3) terms; the controller is in breach by engaging a processor on these terms.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EU-DP-002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GDPR Arts. 44-46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Cross-border transfer lacks a valid Chapter V mechanism (adequacy or SCCs + TIA).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EU-DP-003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GDPR Art. 33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Breach-notification wording does not support the controller's 72-hour deadline.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EU-DP-004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GDPR Art. 28(2),(4)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Sub-processor engagement lacks the required authorisation and flow-down of Art. 28 terms.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EU-DP-005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GDPR Arts. 4(7),(8) [regulation]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26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28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Role is mislabelled; a party determining purposes/means is a controller or joint controller, not a processor.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United Kingdom</w:t>
      </w:r>
      <w:r>
        <w:rPr>
          <w:i/>
          <w:iCs/>
          <w:color w:val="5C554A"/>
          <w:sz w:val="20"/>
          <w:szCs w:val="20"/>
        </w:rPr>
        <w:t xml:space="preserve">   uk statute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UK-DP-001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UK GDPR Art. 28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Processor clause missing mandatory Art. 28 terms under UK GDPR.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UK-DP-002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DUAA 2025 'data protection test' (in force 5 Feb 2026)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Transfer wording predates the DUAA 'data protection test' or lacks UK transfer tooling (IDTA / UK Addendum); update and keep a transfer risk assessment.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UK-DP-003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DUAA 2025 (UK-EU divergence)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Post-DUAA, UK and EU requirements diverge; cross-border deals may need separate UK and EU transfer documentation.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UK-DP-004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DUAA 2025 right to complain (in force 19 Jun 2026)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From 19 Jun 2026 controllers must facilitate and acknowledge complaints within 30 days; clause/process should provide for this.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India</w:t>
      </w:r>
      <w:r>
        <w:rPr>
          <w:i/>
          <w:iCs/>
          <w:color w:val="5C554A"/>
          <w:sz w:val="20"/>
          <w:szCs w:val="20"/>
        </w:rPr>
        <w:t xml:space="preserve">   india statute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IN-DP-001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Act 2023 s.8(2)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Processor engaged without the valid contract the DPDP Act requires of a Data Fiduciary.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IN-DP-002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Rules 2025 (breach notification)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Breach-notification duties to the Board and to Data Principals are not provided for; failure to notify carries penalties up to INR 200 crore.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IN-DP-003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Act 2023 s.16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Rules 2025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Cross-border recipient terms do not flow down Indian-law compliance and breach reporting; the fiduciary remains accountable.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IN-DP-004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Ops / evolving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Act 2023 s.10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DPDP Rules 2025 [regulation]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If designated an SDF, localisation of specified data categories and added obligations may apply; confirm status.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50" w:before="100" w:line="276"/>
      </w:pPr>
      <w:r>
        <w:rPr>
          <w:b/>
          <w:bCs/>
          <w:color w:val="23201B"/>
          <w:sz w:val="20"/>
          <w:szCs w:val="20"/>
        </w:rPr>
        <w:t xml:space="preserve">Negotiation fallback ladder (context)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Ideal: </w:t>
      </w:r>
      <w:r>
        <w:rPr>
          <w:i/>
          <w:iCs/>
          <w:sz w:val="19"/>
          <w:szCs w:val="19"/>
        </w:rPr>
        <w:t xml:space="preserve">Full Art. 28-compliant DPA schedule, valid transfer mechanism with TIA/TRA, breach-notification timelines aligned to the strictest applicable deadline (72 hours), sub-processor flow-down, deletion/return and audit; data-breach liability carved sensibly against the cap.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Acceptable: </w:t>
      </w:r>
      <w:r>
        <w:rPr>
          <w:i/>
          <w:iCs/>
          <w:sz w:val="19"/>
          <w:szCs w:val="19"/>
        </w:rPr>
        <w:t xml:space="preserve">DPA present with all mandatory terms, a transfer mechanism in place, breach notification 'without undue delay' with a concrete timeline.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Walk away: </w:t>
      </w:r>
      <w:r>
        <w:rPr>
          <w:i/>
          <w:iCs/>
          <w:sz w:val="19"/>
          <w:szCs w:val="19"/>
        </w:rPr>
        <w:t xml:space="preserve">No DPA / Art. 28 terms, transfers with no mechanism, breach notification silent, and an uncapped data-breach indemnity sitting outside the liability cap.</w:t>
      </w:r>
    </w:p>
    <w:p>
      <w:r>
        <w:br w:type="page"/>
      </w:r>
    </w:p>
    <w:p>
      <w:pPr>
        <w:pStyle w:val="Heading1"/>
      </w:pPr>
      <w:r>
        <w:t xml:space="preserve">5. Termination</w:t>
      </w:r>
    </w:p>
    <w:p>
      <w:pPr>
        <w:pStyle w:val="Heading2"/>
        <w:spacing w:after="90" w:before="180"/>
      </w:pPr>
      <w:r>
        <w:t xml:space="preserve">England &amp; Wales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EW-TERM-001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Insolvency Act 1986 s.233B (CIGA 2020)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Insolvency-triggered termination is unenforceable once the customer enters a relevant insolvency procedure; the supplier must keep performing.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contract is within a Sch.4ZZA exclusion (e.g. financial services)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EW-TERM-002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construction (strict reading of termination rights)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Termination bites on any material breach with no chance to remedy; consider a cure period to reduce wrongful-termination risk.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EW-TERM-003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Cavendish Square v Makdessi [2015] UKSC 67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Termination payment may be an unenforceable penalty if out of all proportion to a legitimate interest.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EW-TERM-004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construction (notice provisions read strictly) [construction]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Termination notices are read strictly; defective service can render the termination wrongful.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India</w:t>
      </w:r>
      <w:r>
        <w:rPr>
          <w:i/>
          <w:iCs/>
          <w:color w:val="5C554A"/>
          <w:sz w:val="20"/>
          <w:szCs w:val="20"/>
        </w:rPr>
        <w:t xml:space="preserve">   common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IN-TERM-001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IBC 2016 s.14(2)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Essential supply cannot be suspended, interrupted or terminated during the moratorium.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IN-TERM-002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IBC 2016 s.14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Gujarat Urja Vikas v Amit Gupta (2021) [case]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Insolvency-only termination of a CIRP-central contract may be restrained by the NCLT. Termination for genuine pre-existing breach is not barred.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3201B"/>
                <w:sz w:val="15"/>
                <w:szCs w:val="15"/>
              </w:rPr>
              <w:t xml:space="preserve">IN-TERM-003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ICA 1872 s.74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Termination penalty/forfeiture is cut to reasonable compensation not exceeding the stipulated sum.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Germany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DE-TERM-001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§314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The right to terminate a continuing obligation for good cause cannot be excluded; the limitation is ineffective.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DE-TERM-002  (UNVERIFIED)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InsO §119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§103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Insolvency-dependent termination clauses are largely unenforceable; the administrator elects performance.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DE-TERM-003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§323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Withdrawal for non-performance generally requires a reasonable cure period (Nachfrist) first.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DE-TERM-004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E2EADD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L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BGB §343 [statute]</w:t>
            </w:r>
          </w:p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§348 HGB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disproportionate penalty may be reduced by the court, except between merchants.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both parties are merchants (Kaufleute) under §348 HGB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Style w:val="Heading2"/>
        <w:spacing w:after="90" w:before="180"/>
      </w:pPr>
      <w:r>
        <w:t xml:space="preserve">France</w:t>
      </w:r>
      <w:r>
        <w:rPr>
          <w:i/>
          <w:iCs/>
          <w:color w:val="5C554A"/>
          <w:sz w:val="20"/>
          <w:szCs w:val="20"/>
        </w:rPr>
        <w:t xml:space="preserve">   civil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280"/>
        <w:gridCol w:w="460"/>
        <w:gridCol w:w="4140"/>
        <w:gridCol w:w="2300"/>
      </w:tblGrid>
      <w:tr>
        <w:trPr>
          <w:tblHeader/>
        </w:trP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/ Stab.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Legal basis + engine interpretation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FR-TERM-001  (UNVERIFIED)</w:t>
            </w:r>
          </w:p>
          <w:p>
            <w:pPr>
              <w:spacing w:after="0" w:line="240"/>
            </w:pPr>
            <w:r>
              <w:rPr>
                <w:b/>
                <w:bCs/>
                <w:color w:val="7C2D2D"/>
                <w:sz w:val="14"/>
                <w:szCs w:val="14"/>
              </w:rPr>
              <w:t xml:space="preserve">OMR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Mand. law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de commerce art. L622-13 et seq.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Clauses terminating on the opening of insolvency proceedings are deemed unwritten; the administrator may require continuation.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FR-TERM-002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context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arts. 1225-1226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resolution clause generally requires a mise en demeure that goes unheeded; immediate termination may be read down.</w:t>
            </w:r>
          </w:p>
          <w:p>
            <w:pPr>
              <w:spacing w:after="0" w:before="20" w:line="240"/>
            </w:pPr>
            <w:r>
              <w:rPr>
                <w:i/>
                <w:iCs/>
                <w:color w:val="5C554A"/>
                <w:sz w:val="15"/>
                <w:szCs w:val="15"/>
              </w:rPr>
              <w:t xml:space="preserve">Not flagged when: contract expressly provides that mere non-performance suffices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FR-TERM-003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Drafting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1211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Open-ended contracts require reasonable notice (preavis) before termination.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FR-TERM-004  (UNVERIFIED)</w:t>
            </w:r>
          </w:p>
        </w:tc>
        <w:tc>
          <w:tcPr>
            <w:tcW w:type="dxa" w:w="128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5"/>
                <w:szCs w:val="15"/>
              </w:rPr>
              <w:t xml:space="preserve">Lit. risk / settled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414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i/>
                <w:iCs/>
                <w:color w:val="7C2D2D"/>
                <w:sz w:val="16"/>
                <w:szCs w:val="16"/>
              </w:rPr>
              <w:t xml:space="preserve">Code civil art. 1231-5 [statute]</w:t>
            </w:r>
          </w:p>
          <w:p>
            <w:pPr>
              <w:spacing w:after="0" w:line="244"/>
            </w:pPr>
            <w:r>
              <w:rPr>
                <w:sz w:val="17"/>
                <w:szCs w:val="17"/>
              </w:rPr>
              <w:t xml:space="preserve">A manifestly excessive termination penalty may be revised by the court; the power cannot be excluded.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50" w:before="100" w:line="276"/>
      </w:pPr>
      <w:r>
        <w:rPr>
          <w:b/>
          <w:bCs/>
          <w:color w:val="23201B"/>
          <w:sz w:val="20"/>
          <w:szCs w:val="20"/>
        </w:rPr>
        <w:t xml:space="preserve">Negotiation fallback ladder (context)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Ideal: </w:t>
      </w:r>
      <w:r>
        <w:rPr>
          <w:i/>
          <w:iCs/>
          <w:sz w:val="19"/>
          <w:szCs w:val="19"/>
        </w:rPr>
        <w:t xml:space="preserve">Mutual rights: termination for cause with a defined cure period, termination for convenience on reasonable notice, a clear survival clause, no reliance on an insolvency-only trigger, plus transition assistance and orderly wind-down.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Acceptable: </w:t>
      </w:r>
      <w:r>
        <w:rPr>
          <w:i/>
          <w:iCs/>
          <w:sz w:val="19"/>
          <w:szCs w:val="19"/>
        </w:rPr>
        <w:t xml:space="preserve">Termination for cause (with cure) and for convenience (reasonable notice); survival of confidentiality, IP and liability; any insolvency trigger understood to be limited by local insolvency law.</w:t>
      </w:r>
    </w:p>
    <w:p>
      <w:pPr>
        <w:spacing w:after="40" w:line="260"/>
      </w:pPr>
      <w:r>
        <w:rPr>
          <w:b/>
          <w:bCs/>
          <w:sz w:val="19"/>
          <w:szCs w:val="19"/>
        </w:rPr>
        <w:t xml:space="preserve">Walk away: </w:t>
      </w:r>
      <w:r>
        <w:rPr>
          <w:i/>
          <w:iCs/>
          <w:sz w:val="19"/>
          <w:szCs w:val="19"/>
        </w:rPr>
        <w:t xml:space="preserve">Immediate termination for any breach with no cure, one-sided rights, a disproportionate termination penalty, sole reliance on an insolvency trigger local law will not enforce, and no survival clause.</w:t>
      </w:r>
    </w:p>
    <w:p>
      <w:r>
        <w:br w:type="page"/>
      </w:r>
    </w:p>
    <w:p>
      <w:pPr>
        <w:pStyle w:val="Heading1"/>
      </w:pPr>
      <w:r>
        <w:t xml:space="preserve">6. Cross-clause rules</w:t>
      </w:r>
    </w:p>
    <w:p>
      <w:pPr>
        <w:spacing w:after="120" w:before="0" w:line="276"/>
      </w:pPr>
      <w:r>
        <w:rPr>
          <w:color w:val="23201B"/>
          <w:sz w:val="22"/>
          <w:szCs w:val="22"/>
        </w:rPr>
        <w:t xml:space="preserve">These deterministic rules run after the per-clause analysis and evaluate interactions between clauses. Please confirm each is a sound statement of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"/>
        <w:gridCol w:w="57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Sv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flags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2E2A2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Confirm / Amend</w:t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XC-001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The negotiated cap is undermined: an indemnity sits outside it and is uncapped, so total exposure is effectively unlimited.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XC-002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The IP-infringement indemnity rests on an ownership position that is defective in this jurisdiction; the indemnitor may be warranting title it does not hold, or the indemnity may be triggered by its own ownership gap.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XC-003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One or more core protections are not stated to survive termination; they may fall away exactly when they are needed most.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XC-005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0DAD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H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The governing-law clause cannot override mandatory local rules where work is created, data is processed, or insolvency occurs. The contract is partly governed by laws it does not name.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XC-004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Data-breach liability or a regulatory-fine indemnity must be read against the cap. An indemnity for the other party's OWN regulatory fine may be ineffective, since a regulator pursues the infringer directly.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XC-006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A termination payment engages the penalty doctrine and also sits against the cap; it should be treated consistently with the LoL analysis.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5"/>
                <w:szCs w:val="15"/>
              </w:rPr>
              <w:t xml:space="preserve">XC-007</w:t>
            </w:r>
          </w:p>
        </w:tc>
        <w:tc>
          <w:tcPr>
            <w:tcW w:type="dxa" w:w="4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3E6D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6"/>
                <w:szCs w:val="16"/>
              </w:rPr>
              <w:t xml:space="preserve">M</w:t>
            </w:r>
          </w:p>
        </w:tc>
        <w:tc>
          <w:tcPr>
            <w:tcW w:type="dxa" w:w="57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6"/>
                <w:szCs w:val="16"/>
              </w:rPr>
              <w:t xml:space="preserve">Cap carve-outs are inconsistent across clauses; an exposure is escaping the cap (or trapped in it) unintentionally.</w:t>
            </w:r>
          </w:p>
        </w:tc>
        <w:tc>
          <w:tcPr>
            <w:tcW w:type="dxa" w:w="23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Sign-off</w:t>
      </w:r>
    </w:p>
    <w:p>
      <w:pPr>
        <w:spacing w:after="200" w:before="0" w:line="276"/>
      </w:pPr>
      <w:r>
        <w:rPr>
          <w:color w:val="23201B"/>
          <w:sz w:val="22"/>
          <w:szCs w:val="22"/>
        </w:rPr>
        <w:t xml:space="preserve">I have reviewed the legal rules in this document. My confirmation relates to the jurisdictions indicated and is subject to the comments recorded above and below. Rules I confirm may be moved from UNVERIFIED to verified in the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Firm / chambers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Jurisdiction(s) covered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Qualified in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shd w:fill="F2EEE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b/>
                <w:bCs/>
                <w:color w:val="23201B"/>
                <w:sz w:val="19"/>
                <w:szCs w:val="19"/>
              </w:rPr>
              <w:t xml:space="preserve">Signature</w:t>
            </w:r>
          </w:p>
        </w:tc>
        <w:tc>
          <w:tcPr>
            <w:tcW w:type="dxa" w:w="6760"/>
            <w:tcBorders>
              <w:top w:val="single" w:color="CCC4B5" w:sz="1"/>
              <w:left w:val="single" w:color="CCC4B5" w:sz="1"/>
              <w:bottom w:val="single" w:color="CCC4B5" w:sz="1"/>
              <w:right w:val="single" w:color="CCC4B5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8"/>
            </w:pPr>
            <w:r>
              <w:rPr>
                <w:color w:val="23201B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20" w:line="276"/>
      </w:pPr>
      <w:r>
        <w:rPr>
          <w:b/>
          <w:bCs/>
          <w:color w:val="23201B"/>
          <w:sz w:val="22"/>
          <w:szCs w:val="22"/>
        </w:rPr>
        <w:t xml:space="preserve">Overall comments</w:t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pBdr>
          <w:bottom w:val="single" w:color="CCC4B5" w:sz="4" w:space="8"/>
        </w:pBd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0" w:line="276"/>
      </w:pPr>
      <w:r>
        <w:rPr>
          <w:color w:val="23201B"/>
          <w:sz w:val="22"/>
          <w:szCs w:val="22"/>
        </w:rPr>
        <w:t xml:space="preserve"/>
      </w:r>
    </w:p>
    <w:p>
      <w:pPr>
        <w:spacing w:after="120" w:before="200" w:line="276"/>
      </w:pPr>
      <w:r>
        <w:rPr>
          <w:i/>
          <w:iCs/>
          <w:color w:val="5C554A"/>
          <w:sz w:val="18"/>
          <w:szCs w:val="18"/>
        </w:rPr>
        <w:t xml:space="preserve">This document records the rules applied by a software tool and a lawyer's verification of them. It is not itself legal advice to any end user, and does not create a retainer between the preparer and any reviewing lawyer.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A9184"/>
        <w:sz w:val="16"/>
        <w:szCs w:val="16"/>
      </w:rPr>
      <w:t xml:space="preserve">Confidential · for legal review</w:t>
    </w:r>
    <w:r>
      <w:rPr>
        <w:color w:val="9A9184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4B5" w:sz="4" w:space="4"/>
      </w:pBdr>
      <w:jc w:val="right"/>
    </w:pPr>
    <w:r>
      <w:rPr>
        <w:color w:val="9A9184"/>
        <w:sz w:val="16"/>
        <w:szCs w:val="16"/>
      </w:rPr>
      <w:t xml:space="preserve">Pactora · Legal Rules Verification ·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320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2D2D" w:sz="8" w:space="4"/>
      </w:pBdr>
      <w:spacing w:after="140" w:before="240"/>
      <w:outlineLvl w:val="0"/>
    </w:pPr>
    <w:rPr>
      <w:b/>
      <w:bCs/>
      <w:color w:val="23201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7C2D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Pactora Legal Rules Verification (schema v2)</dc:title>
  <dc:creator>Pactora</dc:creator>
  <cp:lastModifiedBy>Un-named</cp:lastModifiedBy>
  <cp:revision>1</cp:revision>
  <dcterms:created xsi:type="dcterms:W3CDTF">2026-05-29T12:21:40.099Z</dcterms:created>
  <dcterms:modified xsi:type="dcterms:W3CDTF">2026-05-29T12:21:40.100Z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