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3201B" w:sz="18" w:space="6"/>
        </w:pBdr>
        <w:spacing w:after="60"/>
      </w:pPr>
      <w:r>
        <w:rPr>
          <w:b/>
          <w:bCs/>
          <w:color w:val="23201B"/>
          <w:sz w:val="30"/>
          <w:szCs w:val="30"/>
        </w:rPr>
        <w:t xml:space="preserve">PACTORA</w:t>
      </w:r>
    </w:p>
    <w:p>
      <w:pPr>
        <w:spacing w:after="240" w:before="0" w:line="276"/>
      </w:pPr>
      <w:r>
        <w:rPr>
          <w:color w:val="7C2D2D"/>
          <w:sz w:val="22"/>
          <w:szCs w:val="22"/>
        </w:rPr>
        <w:t xml:space="preserve">Contract Risk Engine</w:t>
      </w:r>
    </w:p>
    <w:p>
      <w:pPr>
        <w:spacing w:after="80" w:before="200"/>
      </w:pPr>
      <w:r>
        <w:rPr>
          <w:b/>
          <w:bCs/>
          <w:color w:val="23201B"/>
          <w:sz w:val="36"/>
          <w:szCs w:val="36"/>
        </w:rPr>
        <w:t xml:space="preserve">Legal Rules Verification for Counsel Sign-off</w:t>
      </w:r>
    </w:p>
    <w:p>
      <w:pPr>
        <w:spacing w:after="240" w:before="0" w:line="276"/>
      </w:pPr>
      <w:r>
        <w:rPr>
          <w:i/>
          <w:iCs/>
          <w:color w:val="5C554A"/>
          <w:sz w:val="24"/>
          <w:szCs w:val="24"/>
        </w:rPr>
        <w:t xml:space="preserve">Jurisdiction-aware clause analysis for B2B contracts · rules schema v2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Sneha Ganapavarapu (legal engineer, Pactora)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Purpose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Verification of the legal thresholds, authorities and risk-flag logic encoded in the Pactora rules engine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66 rules across five clause types; England &amp; Wales, India, Germany, France, plus the EU and UK for data protection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Verification status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42 self-checked against source; 24 civil-law (DE/FR) rules marked UNVERIFIED and dormant until sign-off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Engine guarantee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Only a verified, in-date rule is ever served in analysis. Unverified rules do not fire.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Rules v0.2 (schema v2)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How to use this document</w:t>
      </w:r>
    </w:p>
    <w:p>
      <w:pPr>
        <w:spacing w:after="120" w:before="0" w:line="276"/>
      </w:pPr>
      <w:r>
        <w:rPr>
          <w:color w:val="23201B"/>
          <w:sz w:val="22"/>
          <w:szCs w:val="22"/>
        </w:rPr>
        <w:t xml:space="preserve">This document sets out the legal rules a software tool applies when reviewing commercial contracts. The tool flags risk; it does not give advice. Each rule below carries a stable Rule ID, a rule type, a stability rating, its legal basis (authorities only), and the engine's interpretation (separated from the authorities). Please verify the law and challenge the interpretation independently.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Confirm each legal basis is correctly cited and current for B2B contracts.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Confirm the rule type is right: mandatory law (likely invalid), litigation risk (fact-sensitive), negotiation risk (commercial), drafting risk, or operational risk.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Confirm the stability rating, which sets how often the rule is re-reviewed.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Challenge the engine interpretation separately from the authority - they are deliberately split.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Rules marked OMR (overriding mandatory) are understood to apply regardless of the contract's chosen governing law (lois de police / lex protectionis / lex concursus). Please confirm that classification applies to each flagged rule.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Use the Confirm / Amend column on each row, and the sign-off block at the end, recording the jurisdictions you are qualified in.</w:t>
      </w:r>
    </w:p>
    <w:p>
      <w:pPr>
        <w:spacing w:after="120" w:before="140" w:line="276"/>
      </w:pPr>
      <w:r>
        <w:rPr>
          <w:i/>
          <w:iCs/>
          <w:color w:val="5C554A"/>
          <w:sz w:val="19"/>
          <w:szCs w:val="19"/>
        </w:rPr>
        <w:t xml:space="preserve">Codes: severity H/M/L/i. Type and stability are abbreviated in the tables (Mand. law, Lit. risk, Negot., Drafting, Ops; settled / context / evolving / jur-var). Rows marked UNVERIFIED are not yet served by the engine.</w:t>
      </w:r>
    </w:p>
    <w:p>
      <w:r>
        <w:br w:type="page"/>
      </w:r>
    </w:p>
    <w:p>
      <w:pPr>
        <w:pStyle w:val="Heading1"/>
      </w:pPr>
      <w:r>
        <w:t xml:space="preserve">1. Limitation of Liability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EW-LOL-001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s.2(1)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HIH Casualty v Chase Manhattan Bank [2003] UKHL 6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Cap/exclusion lacks the mandatory carve-outs; the relevant limb is likely unenforceable. Recommend adding express carve-outs for death or personal injury (negligence) and for fraud.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EW-LOL-002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s.3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s.11 + Sch.2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Exclusion on written standard terms must pass the UCTA reasonableness test; as drafted it may not. Fact-sensitive - surface for review rather than asserting invalidity.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EW-LOL-003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Sch.2 (relative bargaining position is a reasonableness factor)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one-sided cap weighs against reasonableness under Sch.2. The suggestion to adopt a MUTUAL cap is market practice, not a legal requirement - presented as a negotiation point, not an enforceability finding.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IN-LOL-001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Indian Contract Act 1872, s.23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Central Inland Water Transport Corp v Brojo Nath Ganguly (1986) 3 SCC 156 [case]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LIC of India v Consumer Education &amp; Research Centre (1995) 5 SCC 482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blanket exclusion in a take-it-or-leave-it contract against a weaker party may be void as unconscionable. Does NOT apply between commercial equals. Fact-sensitive; surface for review, do not assert invalidity.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parties are commercial equals with comparable bargaining power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IN-LOL-002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Indian Contract Act 1872 - construction; contra proferentem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Exclusion of the core obligation will be read narrowly by Indian courts; likely ineffective as drafted.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IN-LOL-003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Indian Contract Act 1872, s.74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fixed-sum cap engages s.74; a court awards reasonable compensation not exceeding the sum, so the cap is a ceiling, not a guarantee.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DE-LOL-001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§307 (unreasonable disadvantage in standard terms)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§309 No. 7 (life/body/health; gross negligence/intent)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§276(3) (liability for intent cannot be excluded in advance)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blanket exclusion in standard terms with no carve-out for intent or gross negligence is presumptively void under §307.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DE-LOL-002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DCE6E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i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§305 (AGB definition)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AGB control turns on whether the term was individually negotiated; confirm negotiation status before relying on the clause.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FR-LOL-001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1170 (clause negating essential obligation deemed unwritten; codifies Chronopost)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cap so low it negates the essential obligation is deemed unwritten under art. 1170.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FR-LOL-002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1171 (significant imbalance in a contrat d'adhesion deemed unwritten)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 an adhesion contract, a non-negotiated term creating a significant imbalance is at risk of being deemed unwritten under art. 1171. Fact-sensitive (turns on adhesion status and negotiation); surface for review rather than asserting the term falls away.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term was negotiated, or bears on main subject-matter / price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Mutual cap at a meaningful multiple of fees (e.g. 12 months), with all mandatory carve-outs expressly stated.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Mutual cap with carve-outs for the jurisdiction's non-excludable heads; consequential-loss exclusion permitted.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Blanket exclusion of all liability with no carve-outs, or a nominal cap that negates the core obligation.</w:t>
      </w:r>
    </w:p>
    <w:p>
      <w:r>
        <w:br w:type="page"/>
      </w:r>
    </w:p>
    <w:p>
      <w:pPr>
        <w:pStyle w:val="Heading1"/>
      </w:pPr>
      <w:r>
        <w:t xml:space="preserve">2. Indemnities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sits outside the liability cap and is uncapped, creating unlimited exposure that defeats the negotiated cap.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public policy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against a party's own fraud is unenforceable.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EW-IND-005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indemnity is unqualified or rests on an unverified ownership position; the indemnitor may be warranting title it cannot stand behind.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Canada Steamship Lines v The King [1952] AC 192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may cover the indemnitee's own negligence but lacks clear words; likely read down on a Canada Steamship basis.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(indemnity vs damages)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avoids the usual limits on damages (remoteness, mitigation). Confirm this breadth is intended, not inadvertent.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interaction with LoL cap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Uncapped indemnity outside the cap creates unlimited exposure.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ss.124-125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indemnity is unqualified or rests on an unverified ownership position; the indemnitor may be warranting title it cannot stand behind.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s.125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Gajanan Moreshwar (1942)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'Pay first' wording weakens the holder's right to be put in funds once liability is absolute; consider express 'on demand' drafting.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s.124 (literal scope)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s.124's literal wording is conduct-based; modern courts extend cover, but draft the trigger expressly to avoid argument.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DE-IND-001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§307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§276(3)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Broad Freistellung in standard terms with no carve-out for intent is presumptively void under §307.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term was individually negotiated (Individualvereinbarung escapes AGB control)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DE-IND-002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interaction with LoL cap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Uncapped release outside the cap creates unlimited exposure.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DE-IND-003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§307 (AGB control)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release is unqualified or rests on an unverified ownership position; in standard terms a broad unqualified release also risks §307.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interaction with LoL cap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Uncapped garantie outside the cap creates unlimited exposure.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FR-IND-004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arts. 1626 ff. (garantie d'eviction)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garantie is unqualified or rests on an unverified ownership position; it overlaps the statutory garantie d'eviction.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1231-5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Fixed indemnity sum may be revised by a court as manifestly excessive under art. 1231-5.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1171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Non-negotiated indemnity creating significant imbalance in an adhesion contract is at risk under art. 1171; fact-sensitive (turns on adhesion status and negotiation), so surface for review rather than asserting the term falls away.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term was negotiated, or bears on main subject-matter / price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Mutual, capped indemnities limited to defined third-party claim categories (IP infringement, data breach, death/personal injury), indemnitor controls the defence, cap expressly applies.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Indemnities capped at the aggregate liability cap, limited to third-party claims, carve-outs only for fraud and (where mandatory) intent.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Uncapped, one-sided indemnity outside the cap, covering first-party losses and the indemnitee's own negligence or fraud.</w:t>
      </w:r>
    </w:p>
    <w:p>
      <w:r>
        <w:br w:type="page"/>
      </w:r>
    </w:p>
    <w:p>
      <w:pPr>
        <w:pStyle w:val="Heading1"/>
      </w:pPr>
      <w:r>
        <w:t xml:space="preserve">3. IP Ownership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s.11(2)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s.90(3)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Contractor-created IP stays with the contractor without an express written assignment; the client gets a bare licence at best.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creator is an employee acting in the course of employment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s.90(3)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Patents Act 1977 s.30(6)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Assignment is void without writing signed by the assignor.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s.91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Future IP is only captured by a present assignment; 'will assign' leaves an equitable interest requiring a further deed.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s.87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Moral rights are not waived; author may assert identification / object to derogatory treatment.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IN-IPO-001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Copyright Act 1957 s.17(c)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s.19(1)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Contractor-created IP stays with the contractor without a written signed assignment.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creator is an employee under a contract of service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IN-IPO-002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Copyright Act 1957 s.19(5)-(6)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Silence on duration caps the assignment at 5 years; silence on territory confines it to India. The intended global/perpetual grant is statutorily cut down.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IN-IPO-003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Copyright Act 1957 s.19(4)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Rights not exercised within one year may lapse unless the assignment says otherwise.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DE-IPO-001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UrhG §29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§31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Copyright cannot be assigned under German law; recast as an exclusive grant of exploitation rights or the clause is ineffective.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the work is software AND the creator is an employee (§69b)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DE-IPO-002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UrhG §31(5)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Unspecified rights are construed narrowly by purpose; the broad grant will be read down.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FR-IPO-001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CPI art. L131-1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Global assignment of future works is null under L131-1; limit it to determinable works taking effect on creation.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assignment is limited to determinable, separable works produced under the contract and takes effect on creation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FR-IPO-002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CPI art. L131-3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Assignment fails L131-3 specificity; unspecified rights are not validly transferred.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FR-IPO-003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CPI art. L121-1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Moral-rights waiver is ineffective under French law; the droit moral is inalienable.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Present assignment of foreground IP (recast as exclusive licence for DE/FR), in writing and signed, with background IP retained and a licence-back to the assignor; moral rights waived where the jurisdiction allows.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Assignment/exclusive licence of foreground IP with duration and territory expressly stated (avoids India s.19 defaults), software handled under the local employee exception.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Blanket assignment of all background and future IP, no writing/signature, moral-rights waiver relied on in a jurisdiction that forbids it, contractor work with no assignment at all.</w:t>
      </w:r>
    </w:p>
    <w:p>
      <w:r>
        <w:br w:type="page"/>
      </w:r>
    </w:p>
    <w:p>
      <w:pPr>
        <w:pStyle w:val="Heading1"/>
      </w:pPr>
      <w:r>
        <w:t xml:space="preserve">4. Data Protection</w:t>
      </w:r>
    </w:p>
    <w:p>
      <w:pPr>
        <w:pStyle w:val="Heading2"/>
        <w:spacing w:after="90" w:before="180"/>
      </w:pPr>
      <w:r>
        <w:t xml:space="preserve">European Union</w:t>
      </w:r>
      <w:r>
        <w:rPr>
          <w:i/>
          <w:iCs/>
          <w:color w:val="5C554A"/>
          <w:sz w:val="20"/>
          <w:szCs w:val="20"/>
        </w:rPr>
        <w:t xml:space="preserve">   eu regulation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Art. 28(3)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Processor clause is missing mandatory Art. 28(3) terms; the controller is in breach by engaging a processor on these terms.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Arts. 44-46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Cross-border transfer lacks a valid Chapter V mechanism (adequacy or SCCs + TIA).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Art. 33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Breach-notification wording does not support the controller's 72-hour deadline.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Art. 28(2),(4)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Sub-processor engagement lacks the required authorisation and flow-down of Art. 28 terms.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EU-DP-005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Arts. 4(7),(8) [regulation]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26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28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Role is mislabelled; a party determining purposes/means is a controller or joint controller, not a processor.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United Kingdom</w:t>
      </w:r>
      <w:r>
        <w:rPr>
          <w:i/>
          <w:iCs/>
          <w:color w:val="5C554A"/>
          <w:sz w:val="20"/>
          <w:szCs w:val="20"/>
        </w:rPr>
        <w:t xml:space="preserve">   uk statute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UK GDPR Art. 28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Processor clause missing mandatory Art. 28 terms under UK GDPR.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DUAA 2025 'data protection test' (in force 5 Feb 2026)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Transfer wording predates the DUAA 'data protection test' or lacks UK transfer tooling (IDTA / UK Addendum); update and keep a transfer risk assessment.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DUAA 2025 (UK-EU divergence)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Post-DUAA, UK and EU requirements diverge; cross-border deals may need separate UK and EU transfer documentation.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DUAA 2025 right to complain (in force 19 Jun 2026)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From 19 Jun 2026 controllers must facilitate and acknowledge complaints within 30 days; clause/process should provide for this.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india statute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Act 2023 s.8(2)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Processor engaged without the valid contract the DPDP Act requires of a Data Fiduciary.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Rules 2025 (breach notification)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Breach-notification duties to the Board and to Data Principals are not provided for; failure to notify carries penalties up to INR 200 crore.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Act 2023 s.16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Rules 2025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Cross-border recipient terms do not flow down Indian-law compliance and breach reporting; the fiduciary remains accountable.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Act 2023 s.10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Rules 2025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If designated an SDF, localisation of specified data categories and added obligations may apply; confirm status.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Full Art. 28-compliant DPA schedule, valid transfer mechanism with TIA/TRA, breach-notification timelines aligned to the strictest applicable deadline (72 hours), sub-processor flow-down, deletion/return and audit; data-breach liability carved sensibly against the cap.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DPA present with all mandatory terms, a transfer mechanism in place, breach notification 'without undue delay' with a concrete timeline.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No DPA / Art. 28 terms, transfers with no mechanism, breach notification silent, and an uncapped data-breach indemnity sitting outside the liability cap.</w:t>
      </w:r>
    </w:p>
    <w:p>
      <w:r>
        <w:br w:type="page"/>
      </w:r>
    </w:p>
    <w:p>
      <w:pPr>
        <w:pStyle w:val="Heading1"/>
      </w:pPr>
      <w:r>
        <w:t xml:space="preserve">5. Termination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EW-TERM-001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Insolvency Act 1986 s.233B (CIGA 2020)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Insolvency-triggered termination is unenforceable once the customer enters a relevant insolvency procedure; the supplier must keep performing.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contract is within a Sch.4ZZA exclusion (e.g. financial services)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(strict reading of termination rights)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bites on any material breach with no chance to remedy; consider a cure period to reduce wrongful-termination risk.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Cavendish Square v Makdessi [2015] UKSC 67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payment may be an unenforceable penalty if out of all proportion to a legitimate interest.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(notice provisions read strictly)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notices are read strictly; defective service can render the termination wrongful.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IN-TERM-001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IBC 2016 s.14(2)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Essential supply cannot be suspended, interrupted or terminated during the moratorium.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IN-TERM-002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IBC 2016 s.14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Gujarat Urja Vikas v Amit Gupta (2021)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Insolvency-only termination of a CIRP-central contract may be restrained by the NCLT. Termination for genuine pre-existing breach is not barred.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IN-TERM-003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s.74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penalty/forfeiture is cut to reasonable compensation not exceeding the stipulated sum.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§314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The right to terminate a continuing obligation for good cause cannot be excluded; the limitation is ineffective.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DE-TERM-002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InsO §119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§103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Insolvency-dependent termination clauses are largely unenforceable; the administrator elects performance.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§323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Withdrawal for non-performance generally requires a reasonable cure period (Nachfrist)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DE-TERM-004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§343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§348 HGB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disproportionate penalty may be reduced by the court, except between merchants.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both parties are merchants (Kaufleute) under §348 HGB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FR-TERM-001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de commerce art. L622-13 et seq.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Clauses terminating on the opening of insolvency proceedings are deemed unwritten; the administrator may require continuation.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arts. 1225-1226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resolution clause generally requires a mise en demeure that goes unheeded; immediate termination may be read down.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contract expressly provides that mere non-performance suffices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1211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Open-ended contracts require reasonable notice (preavis) before termination.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FR-TERM-004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1231-5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manifestly excessive termination penalty may be revised by the court; the power cannot be excluded.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Mutual rights: termination for cause with a defined cure period, termination for convenience on reasonable notice, a clear survival clause, no reliance on an insolvency-only trigger, plus transition assistance and orderly wind-down.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Termination for cause (with cure) and for convenience (reasonable notice); survival of confidentiality, IP and liability; any insolvency trigger understood to be limited by local insolvency law.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Immediate termination for any breach with no cure, one-sided rights, a disproportionate termination penalty, sole reliance on an insolvency trigger local law will not enforce, and no survival clause.</w:t>
      </w:r>
    </w:p>
    <w:p>
      <w:r>
        <w:br w:type="page"/>
      </w:r>
    </w:p>
    <w:p>
      <w:pPr>
        <w:pStyle w:val="Heading1"/>
      </w:pPr>
      <w:r>
        <w:t xml:space="preserve">6. Cross-clause rules</w:t>
      </w:r>
    </w:p>
    <w:p>
      <w:pPr>
        <w:spacing w:after="120" w:before="0" w:line="276"/>
      </w:pPr>
      <w:r>
        <w:rPr>
          <w:color w:val="23201B"/>
          <w:sz w:val="22"/>
          <w:szCs w:val="22"/>
        </w:rPr>
        <w:t xml:space="preserve">These deterministic rules run after the per-clause analysis and evaluate interactions between clauses. Please confirm each is a sound statement of risk.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60"/>
        <w:gridCol w:w="5700"/>
        <w:gridCol w:w="2300"/>
      </w:tblGrid>
      <w:tr>
        <w:trPr>
          <w:tblHeader/>
        </w:trP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flags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XC-001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The negotiated cap is undermined: an indemnity sits outside it and is uncapped, so total exposure is effectively unlimited.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XC-002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The IP-infringement indemnity rests on an ownership position that is defective in this jurisdiction; the indemnitor may be warranting title it does not hold, or the indemnity may be triggered by its own ownership gap.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XC-003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One or more core protections are not stated to survive termination; they may fall away exactly when they are needed most.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XC-005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The governing-law clause cannot override mandatory local rules where work is created, data is processed, or insolvency occurs. The contract is partly governed by laws it does not name.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XC-004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Data-breach liability or a regulatory-fine indemnity must be read against the cap. An indemnity for the other party's OWN regulatory fine may be ineffective, since a regulator pursues the infringer directly.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XC-006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A termination payment engages the penalty doctrine and also sits against the cap; it should be treated consistently with the LoL analysis.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XC-007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Cap carve-outs are inconsistent across clauses; an exposure is escaping the cap (or trapped in it) unintentionally.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Sign-off</w:t>
      </w:r>
    </w:p>
    <w:p>
      <w:pPr>
        <w:spacing w:after="200" w:before="0" w:line="276"/>
      </w:pPr>
      <w:r>
        <w:rPr>
          <w:color w:val="23201B"/>
          <w:sz w:val="22"/>
          <w:szCs w:val="22"/>
        </w:rPr>
        <w:t xml:space="preserve">I have reviewed the legal rules in this document. My confirmation relates to the jurisdictions indicated and is subject to the comments recorded above and below. Rules I confirm may be moved from UNVERIFIED to verified in the engine.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Firm / chambers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Jurisdiction(s) covered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Qualified in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Signature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80" w:before="220" w:line="276"/>
      </w:pPr>
      <w:r>
        <w:rPr>
          <w:b/>
          <w:bCs/>
          <w:color w:val="23201B"/>
          <w:sz w:val="22"/>
          <w:szCs w:val="22"/>
        </w:rPr>
        <w:t xml:space="preserve">Overall comments</w:t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60" w:before="200" w:line="276"/>
      </w:pPr>
      <w:r>
        <w:rPr>
          <w:color w:val="7C2D2D"/>
          <w:sz w:val="19"/>
          <w:szCs w:val="19"/>
        </w:rPr>
        <w:t xml:space="preserve">End-user disclaimer (shown in the product): “Pactora flags issues to discuss with a lawyer - it’s not legal advice. Speak to a qualified lawyer before you sign.”</w:t>
      </w:r>
    </w:p>
    <w:p>
      <w:pPr>
        <w:spacing w:after="120" w:before="200" w:line="276"/>
      </w:pPr>
      <w:r>
        <w:rPr>
          <w:i/>
          <w:iCs/>
          <w:color w:val="5C554A"/>
          <w:sz w:val="18"/>
          <w:szCs w:val="18"/>
        </w:rPr>
        <w:t xml:space="preserve">This document records the rules applied by a software tool and a lawyer's verification of them. It is not itself legal advice to any end user, and does not create a retainer between the preparer and any reviewing lawyer.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9A9184"/>
        <w:sz w:val="16"/>
        <w:szCs w:val="16"/>
      </w:rPr>
      <w:t xml:space="preserve">Confidential · for legal review</w:t>
    </w:r>
    <w:r>
      <w:rPr>
        <w:color w:val="9A9184"/>
        <w:sz w:val="16"/>
        <w:szCs w:val="16"/>
      </w:rPr>
      <w:t xml:space="preserve">	</w:t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4B5" w:sz="4" w:space="4"/>
      </w:pBdr>
      <w:jc w:val="right"/>
    </w:pPr>
    <w:r>
      <w:rPr>
        <w:color w:val="9A9184"/>
        <w:sz w:val="16"/>
        <w:szCs w:val="16"/>
      </w:rPr>
      <w:t xml:space="preserve">Pactora · Legal Rules Verification ·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2320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C2D2D" w:sz="8" w:space="4"/>
      </w:pBdr>
      <w:spacing w:after="140" w:before="240"/>
      <w:outlineLvl w:val="0"/>
    </w:pPr>
    <w:rPr>
      <w:b/>
      <w:bCs/>
      <w:color w:val="23201B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7C2D2D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Pactora Legal Rules Verification (schema v2)</dc:title>
  <dc:creator>Pactora</dc:creator>
  <cp:lastModifiedBy>Un-named</cp:lastModifiedBy>
  <cp:revision>1</cp:revision>
  <dcterms:created xsi:type="dcterms:W3CDTF">2026-05-29T12:50:21.553Z</dcterms:created>
  <dcterms:modified xsi:type="dcterms:W3CDTF">2026-05-29T12:50:21.564Z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