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1318" w14:textId="77777777" w:rsidR="00756AA9" w:rsidRDefault="006D569A">
      <w:pPr>
        <w:spacing w:after="60"/>
        <w:jc w:val="center"/>
      </w:pPr>
      <w:r>
        <w:rPr>
          <w:b/>
          <w:bCs/>
          <w:color w:val="2E6F6B"/>
          <w:sz w:val="34"/>
          <w:szCs w:val="34"/>
        </w:rPr>
        <w:t>A Low-Cost Paper-Based Renal Function Screening Strip for</w:t>
      </w:r>
    </w:p>
    <w:p w14:paraId="32AA7223" w14:textId="77777777" w:rsidR="00756AA9" w:rsidRDefault="006D569A">
      <w:pPr>
        <w:spacing w:after="160"/>
        <w:jc w:val="center"/>
      </w:pPr>
      <w:r>
        <w:rPr>
          <w:b/>
          <w:bCs/>
          <w:color w:val="2E6F6B"/>
          <w:sz w:val="34"/>
          <w:szCs w:val="34"/>
        </w:rPr>
        <w:t>Medication Safety Monitoring in Elderly Patients</w:t>
      </w:r>
    </w:p>
    <w:p w14:paraId="4FE96A47" w14:textId="77777777" w:rsidR="00756AA9" w:rsidRDefault="006D569A">
      <w:pPr>
        <w:spacing w:after="40"/>
        <w:jc w:val="center"/>
      </w:pPr>
      <w:r>
        <w:rPr>
          <w:i/>
          <w:iCs/>
          <w:color w:val="C0562B"/>
          <w:sz w:val="24"/>
          <w:szCs w:val="24"/>
        </w:rPr>
        <w:t>µPAD-Based Creatinine Detection Integrated with a Drug-Interaction Alert System (Dawai-Check)</w:t>
      </w:r>
    </w:p>
    <w:p w14:paraId="489EFD29" w14:textId="77777777" w:rsidR="00756AA9" w:rsidRDefault="006D569A">
      <w:pPr>
        <w:spacing w:after="400"/>
        <w:jc w:val="center"/>
      </w:pPr>
      <w:r>
        <w:rPr>
          <w:color w:val="555555"/>
        </w:rPr>
        <w:t xml:space="preserve">[Your </w:t>
      </w:r>
      <w:proofErr w:type="gramStart"/>
      <w:r>
        <w:rPr>
          <w:color w:val="555555"/>
        </w:rPr>
        <w:t>Name]  |</w:t>
      </w:r>
      <w:proofErr w:type="gramEnd"/>
      <w:r>
        <w:rPr>
          <w:color w:val="555555"/>
        </w:rPr>
        <w:t xml:space="preserve">  [Institution / </w:t>
      </w:r>
      <w:proofErr w:type="gramStart"/>
      <w:r>
        <w:rPr>
          <w:color w:val="555555"/>
        </w:rPr>
        <w:t>Department]  |</w:t>
      </w:r>
      <w:proofErr w:type="gramEnd"/>
      <w:r>
        <w:rPr>
          <w:color w:val="555555"/>
        </w:rPr>
        <w:t xml:space="preserve">  Biotechnology</w:t>
      </w:r>
    </w:p>
    <w:p w14:paraId="1662DFCB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1. Problem Statement — Scale of the Burden</w:t>
      </w:r>
    </w:p>
    <w:p w14:paraId="6A3036AD" w14:textId="77777777" w:rsidR="00756AA9" w:rsidRDefault="006D569A">
      <w:pPr>
        <w:spacing w:after="160" w:line="300" w:lineRule="auto"/>
      </w:pPr>
      <w:r>
        <w:rPr>
          <w:sz w:val="22"/>
          <w:szCs w:val="22"/>
        </w:rPr>
        <w:t>Chronic kidney disease has quietly become one of the fastest-growing non-communicable diseases globally, and its intersection with medication safety in the elderly is a largely unaddressed monitoring gap.</w:t>
      </w:r>
    </w:p>
    <w:p w14:paraId="56AE7312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Global CKD prevalence has more than doubled since 1990, now affecting nearly 800 million people worldwide, with a 2023 global age-standardized prevalence around 14% among adults 20 and older. South Asia carries one of the highest regional burdens at 15.8% prevalence, and China and India together account for roughly 290 million cases (152 million and 138 million respectively) — the two largest national burdens in the world.</w:t>
      </w:r>
    </w:p>
    <w:p w14:paraId="7D816CC6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CKD is now the ninth-leading cause of death globally, killing nearly 1.5 million people in 2023, with mortality rates still rising even as most other leading causes of death decline.</w:t>
      </w:r>
    </w:p>
    <w:p w14:paraId="6936F611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A GBD 2021 analysis focused on adults 75+ found that while raw prevalence held roughly steady, incidence, mortality, and disability-adjusted life years (DALYs) from CKD all rose significantly between 1990 and 2021 — age is the dominant driver of disease burden growth.</w:t>
      </w:r>
    </w:p>
    <w:p w14:paraId="7C8ADA0A" w14:textId="77777777" w:rsidR="00756AA9" w:rsidRDefault="006D569A">
      <w:pPr>
        <w:spacing w:before="120" w:after="60"/>
        <w:jc w:val="center"/>
      </w:pPr>
      <w:r>
        <w:rPr>
          <w:noProof/>
        </w:rPr>
        <w:drawing>
          <wp:inline distT="0" distB="0" distL="0" distR="0" wp14:anchorId="2A9E7390" wp14:editId="1BC4293E">
            <wp:extent cx="4937760" cy="2962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B91A" w14:textId="77777777" w:rsidR="00756AA9" w:rsidRDefault="006D569A"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>Figure 1. Regional CKD prevalence, 2023 (GBD / IHME data).</w:t>
      </w:r>
    </w:p>
    <w:p w14:paraId="095903E0" w14:textId="77777777" w:rsidR="00756AA9" w:rsidRDefault="006D569A">
      <w:pPr>
        <w:spacing w:after="160" w:line="300" w:lineRule="auto"/>
      </w:pPr>
      <w:r>
        <w:rPr>
          <w:sz w:val="22"/>
          <w:szCs w:val="22"/>
        </w:rPr>
        <w:t>India's demographic exposure is compounding this problem. India's elderly population (60+) currently stands at around 153 million and is projected to reach 347 million by 2050, and the population aged 75+ specifically is expected to grow 340%. By 2030, older adults are projected to account for nearly 45% of India's total disease burden — a population increasingly dependent on multi-drug regimens with no routine renal re-screening between visits.</w:t>
      </w:r>
    </w:p>
    <w:p w14:paraId="36F64B5E" w14:textId="77777777" w:rsidR="00756AA9" w:rsidRDefault="006D569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6EDF67" wp14:editId="6B7D4EE1">
            <wp:extent cx="4937760" cy="2962656"/>
            <wp:effectExtent l="0" t="0" r="0" b="0"/>
            <wp:docPr id="1625202705" name="Picture 162520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2852" w14:textId="77777777" w:rsidR="00756AA9" w:rsidRDefault="006D569A"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>Figure 2. India's elderly population (age 60+) growth trajectory, 2011–2050 (UNFPA / Census / TGPP projections).</w:t>
      </w:r>
    </w:p>
    <w:p w14:paraId="64359D17" w14:textId="77777777" w:rsidR="00756AA9" w:rsidRDefault="006D569A">
      <w:pPr>
        <w:pStyle w:val="Heading2"/>
        <w:spacing w:before="240" w:after="120"/>
      </w:pPr>
      <w:r>
        <w:rPr>
          <w:b/>
          <w:bCs/>
          <w:color w:val="C0562B"/>
          <w:sz w:val="24"/>
          <w:szCs w:val="24"/>
        </w:rPr>
        <w:t>The Medication Side of the Risk</w:t>
      </w:r>
    </w:p>
    <w:p w14:paraId="77D86A3F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Drugs cause roughly 20% of all community- and hospital-acquired acute renal failure episodes, and among older adults specifically, the incidence of drug-induced nephrotoxicity may run as high as 66%.</w:t>
      </w:r>
    </w:p>
    <w:p w14:paraId="4470EC7F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A pooled meta-analysis across 302,000+ patients found an 18% incidence of acute kidney injury among patients on polypharmacy (≥5 medications), with high medication burden, nephrotoxic agents, and pre-existing renal impairment as the leading risk factors.</w:t>
      </w:r>
    </w:p>
    <w:p w14:paraId="3B2D967C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Drug-induced nephrotoxicity is now recognized as one of the primary drivers of rising AKI incidence in the elderly, driven by the combination of age-related renal vulnerability and increasing medication exposure.</w:t>
      </w:r>
    </w:p>
    <w:p w14:paraId="5EF2DE6C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In a prospective elderly-outpatient cohort, over 60% were on 5+ medications, and ADR rates climbed to 46% in patients on 9+ drugs and 39% in patients aged 80+.</w:t>
      </w:r>
    </w:p>
    <w:p w14:paraId="264BCB19" w14:textId="77777777" w:rsidR="00756AA9" w:rsidRDefault="006D569A">
      <w:pPr>
        <w:spacing w:before="120" w:after="60"/>
        <w:jc w:val="center"/>
      </w:pPr>
      <w:r>
        <w:rPr>
          <w:noProof/>
        </w:rPr>
        <w:drawing>
          <wp:inline distT="0" distB="0" distL="0" distR="0" wp14:anchorId="4147ED1F" wp14:editId="7F60A0F0">
            <wp:extent cx="4937760" cy="2962656"/>
            <wp:effectExtent l="0" t="0" r="0" b="0"/>
            <wp:docPr id="1180517703" name="Picture 1180517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4D35" w14:textId="77777777" w:rsidR="00756AA9" w:rsidRDefault="006D569A"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lastRenderedPageBreak/>
        <w:t>Figure 3. Drug-related renal risk across patient groups (AFP; Springer Drugs &amp; Aging; pooled meta-analysis).</w:t>
      </w:r>
    </w:p>
    <w:p w14:paraId="608DBCE6" w14:textId="77777777" w:rsidR="00756AA9" w:rsidRDefault="006D569A">
      <w:pPr>
        <w:spacing w:after="160" w:line="300" w:lineRule="auto"/>
      </w:pPr>
      <w:r>
        <w:rPr>
          <w:b/>
          <w:bCs/>
          <w:sz w:val="22"/>
          <w:szCs w:val="22"/>
        </w:rPr>
        <w:t>The core gap: none of this risk is caught between clinic visits. Serum creatinine testing requires a lab draw, a visit, and a turnaround time — so a patient's renal decline can silently outpace their prescription for months.</w:t>
      </w:r>
    </w:p>
    <w:p w14:paraId="3894AACF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2. Scientific Rationale &amp; Prior Art</w:t>
      </w:r>
    </w:p>
    <w:p w14:paraId="3A698637" w14:textId="77777777" w:rsidR="00756AA9" w:rsidRDefault="006D569A">
      <w:pPr>
        <w:spacing w:after="160" w:line="300" w:lineRule="auto"/>
      </w:pPr>
      <w:r>
        <w:rPr>
          <w:sz w:val="22"/>
          <w:szCs w:val="22"/>
        </w:rPr>
        <w:t>The core chemistry is well validated in the analytical literature — this project's contribution is translating it into a caregiver-usable, decision-support-linked format.</w:t>
      </w:r>
    </w:p>
    <w:p w14:paraId="7D4EBC9A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Several peer-reviewed groups have already built µPADs for urinary creatinine using the Jaffé reaction (creatinine + alkaline picrate → an orange-red complex), read out with ImageJ or a bench scanner. One validated device reported a linear detection range of 0.2–1 mM with a limit of detection of 0.08 mM, in good agreement with the standard Jaffé method.</w:t>
      </w:r>
    </w:p>
    <w:p w14:paraId="50A64ADE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A related µPAD platform extended this to simultaneous detection of creatinine and uric acid on the same strip using separate colorimetric channels, improving diagnostic context in a single test.</w:t>
      </w:r>
    </w:p>
    <w:p w14:paraId="16930848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Smartphone-based colorimetric readout using HSV/hue-channel image analysis has been demonstrated for Jaffé-based creatinine sensors, achieving detection ranges around 0.33–5.65 mg/dL with an LOD of 0.25 mg/dL — validating the phone-based quantification step in this design.</w:t>
      </w:r>
    </w:p>
    <w:p w14:paraId="21B17FA2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A fully disposable, wax-free µPAD variant has brought consumable cost down to about $0.40 per test using a layered filter-paper/plastic-pouch vertical-flow design, reinforcing that the ₹20–50 cost target is realistic and consistent with published low-cost devices.</w:t>
      </w:r>
    </w:p>
    <w:p w14:paraId="317A3CA6" w14:textId="77777777" w:rsidR="00756AA9" w:rsidRDefault="006D569A">
      <w:pPr>
        <w:spacing w:after="160" w:line="300" w:lineRule="auto"/>
      </w:pPr>
      <w:r>
        <w:rPr>
          <w:b/>
          <w:bCs/>
          <w:sz w:val="22"/>
          <w:szCs w:val="22"/>
        </w:rPr>
        <w:t>What's missing from the existing literature: every one of these devices stops at the analytical step — a lab-grade quantification method demonstrated on bench equipment (ImageJ, scanners, custom optics). None of them close the loop to clinical decision-making at the point of care. That's the specific gap this project addresses by pairing the strip with Dawai-Check, a medication-risk cross-reference layer that turns a raw creatinine estimate into an actionable "safe / monitor / refer" flag against the patien</w:t>
      </w:r>
      <w:r>
        <w:rPr>
          <w:b/>
          <w:bCs/>
          <w:sz w:val="22"/>
          <w:szCs w:val="22"/>
        </w:rPr>
        <w:t>t's actual drug list.</w:t>
      </w:r>
    </w:p>
    <w:p w14:paraId="39757B21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3. System Design</w:t>
      </w:r>
    </w:p>
    <w:p w14:paraId="6B017E1F" w14:textId="77777777" w:rsidR="00756AA9" w:rsidRDefault="006D569A">
      <w:pPr>
        <w:pStyle w:val="Heading2"/>
        <w:spacing w:before="240" w:after="120"/>
      </w:pPr>
      <w:r>
        <w:rPr>
          <w:b/>
          <w:bCs/>
          <w:color w:val="C0562B"/>
          <w:sz w:val="24"/>
          <w:szCs w:val="24"/>
        </w:rPr>
        <w:t>Fabrication (µPAD)</w:t>
      </w:r>
    </w:p>
    <w:p w14:paraId="33506300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Filter paper cut into strips; wax-printed (or candle-wax-stamped) hydrophobic barrier defines the test zone — consistent with standard µPAD fabrication methods in the literature.</w:t>
      </w:r>
    </w:p>
    <w:p w14:paraId="2DF2B4AB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Picric acid + NaOH reagent spotted into the zone and air-dried to create a stable, shelf-stable active spot.</w:t>
      </w:r>
    </w:p>
    <w:p w14:paraId="5309CA67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Urine sample applied → Jaffé reaction develops an orange-red complex proportional to creatinine concentration within 1–2 minutes.</w:t>
      </w:r>
    </w:p>
    <w:p w14:paraId="39A6B9CB" w14:textId="77777777" w:rsidR="00756AA9" w:rsidRDefault="006D569A">
      <w:pPr>
        <w:pStyle w:val="Heading2"/>
        <w:spacing w:before="240" w:after="120"/>
      </w:pPr>
      <w:r>
        <w:rPr>
          <w:b/>
          <w:bCs/>
          <w:color w:val="C0562B"/>
          <w:sz w:val="24"/>
          <w:szCs w:val="24"/>
        </w:rPr>
        <w:t>Readout &amp; Decision Layer</w:t>
      </w:r>
    </w:p>
    <w:p w14:paraId="4C327B8F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sz w:val="22"/>
          <w:szCs w:val="22"/>
        </w:rPr>
        <w:t>Color</w:t>
      </w:r>
      <w:proofErr w:type="spellEnd"/>
      <w:r>
        <w:rPr>
          <w:sz w:val="22"/>
          <w:szCs w:val="22"/>
        </w:rPr>
        <w:t xml:space="preserve"> compared to a printed reference chart, or scanned via a smartphone app using HSV/hue-based quantification, following the validated approach used in Jaffé-reaction paper sensors.</w:t>
      </w:r>
    </w:p>
    <w:p w14:paraId="47BAFC7C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lastRenderedPageBreak/>
        <w:t>Estimated creatinine/eGFR band logged into Dawai-Check, which cross-references it against the patient's current medication list (metformin, NSAIDs, nephrotoxic antibiotics, RAAS blockers, etc.) and flags drugs that may now require dose adjustment or physician review.</w:t>
      </w:r>
    </w:p>
    <w:p w14:paraId="6B74EB39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4. Validation Plan (Proposed Methodology)</w:t>
      </w:r>
    </w:p>
    <w:p w14:paraId="7F70E32A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Analytical validation: calibration curves against known creatinine standards (0.2–1 mM range, matching prior µPAD literature), with LOD/LOQ determination and comparison to enzymatic/IDMS-traceable reference methods (the current clinical gold standard, given known bias in uncompensated Jaffé assays).</w:t>
      </w:r>
    </w:p>
    <w:p w14:paraId="28C7AD08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Clinical concordance study: paired strip vs. lab serum/urine creatinine on real patient samples, Bland-Altman and correlation analysis, sensitivity/specificity for flagging eGFR &lt;60 mL/min/1.73m².</w:t>
      </w:r>
    </w:p>
    <w:p w14:paraId="0F45DF9B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Reproducibility: inter-strip, inter-batch, and inter-reader (human eye vs. app) variability testing.</w:t>
      </w:r>
    </w:p>
    <w:p w14:paraId="069FECAB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 xml:space="preserve">Human factors: usability testing with actual caregivers (not clinicians) to validate the </w:t>
      </w:r>
      <w:proofErr w:type="spellStart"/>
      <w:r>
        <w:rPr>
          <w:sz w:val="22"/>
          <w:szCs w:val="22"/>
        </w:rPr>
        <w:t>color</w:t>
      </w:r>
      <w:proofErr w:type="spellEnd"/>
      <w:r>
        <w:rPr>
          <w:sz w:val="22"/>
          <w:szCs w:val="22"/>
        </w:rPr>
        <w:t>-chart/app workflow under real home conditions.</w:t>
      </w:r>
    </w:p>
    <w:p w14:paraId="404707CE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5. Cost-Effectiveness Positioning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760"/>
      </w:tblGrid>
      <w:tr w:rsidR="00756AA9" w14:paraId="1A1EE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6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33FB5" w14:textId="77777777" w:rsidR="00756AA9" w:rsidRDefault="006D569A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2000" w:type="dxa"/>
            <w:shd w:val="clear" w:color="auto" w:fill="2E6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FBC60" w14:textId="77777777" w:rsidR="00756AA9" w:rsidRDefault="006D569A">
            <w:r>
              <w:rPr>
                <w:b/>
                <w:bCs/>
                <w:color w:val="FFFFFF"/>
              </w:rPr>
              <w:t>Cost / test</w:t>
            </w:r>
          </w:p>
        </w:tc>
        <w:tc>
          <w:tcPr>
            <w:tcW w:w="2000" w:type="dxa"/>
            <w:shd w:val="clear" w:color="auto" w:fill="2E6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A7C80" w14:textId="77777777" w:rsidR="00756AA9" w:rsidRDefault="006D569A">
            <w:r>
              <w:rPr>
                <w:b/>
                <w:bCs/>
                <w:color w:val="FFFFFF"/>
              </w:rPr>
              <w:t>Turnaround</w:t>
            </w:r>
          </w:p>
        </w:tc>
        <w:tc>
          <w:tcPr>
            <w:tcW w:w="2760" w:type="dxa"/>
            <w:shd w:val="clear" w:color="auto" w:fill="2E6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7290F" w14:textId="77777777" w:rsidR="00756AA9" w:rsidRDefault="006D569A">
            <w:r>
              <w:rPr>
                <w:b/>
                <w:bCs/>
                <w:color w:val="FFFFFF"/>
              </w:rPr>
              <w:t>Setting</w:t>
            </w:r>
          </w:p>
        </w:tc>
      </w:tr>
      <w:tr w:rsidR="00756AA9" w14:paraId="72D41D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CAF04" w14:textId="77777777" w:rsidR="00756AA9" w:rsidRDefault="006D569A">
            <w:r>
              <w:rPr>
                <w:color w:val="222222"/>
              </w:rPr>
              <w:t>Standard lab serum creatinine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3046B" w14:textId="77777777" w:rsidR="00756AA9" w:rsidRDefault="006D569A">
            <w:r>
              <w:rPr>
                <w:color w:val="222222"/>
              </w:rPr>
              <w:t>₹150–400+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D6026" w14:textId="77777777" w:rsidR="00756AA9" w:rsidRDefault="006D569A">
            <w:r>
              <w:rPr>
                <w:color w:val="222222"/>
              </w:rPr>
              <w:t>1–2 days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E857E" w14:textId="77777777" w:rsidR="00756AA9" w:rsidRDefault="006D569A">
            <w:r>
              <w:rPr>
                <w:color w:val="222222"/>
              </w:rPr>
              <w:t>Hospital / lab only</w:t>
            </w:r>
          </w:p>
        </w:tc>
      </w:tr>
      <w:tr w:rsidR="00756AA9" w14:paraId="77EFF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F96B4" w14:textId="77777777" w:rsidR="00756AA9" w:rsidRDefault="006D569A">
            <w:r>
              <w:rPr>
                <w:color w:val="222222"/>
              </w:rPr>
              <w:t>Published disposable µPAD (literature)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553ED" w14:textId="77777777" w:rsidR="00756AA9" w:rsidRDefault="006D569A">
            <w:r>
              <w:rPr>
                <w:color w:val="222222"/>
              </w:rPr>
              <w:t>~₹35 (~$0.40)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19172" w14:textId="77777777" w:rsidR="00756AA9" w:rsidRDefault="006D569A">
            <w:r>
              <w:rPr>
                <w:color w:val="222222"/>
              </w:rPr>
              <w:t>1–2 min</w:t>
            </w:r>
          </w:p>
        </w:tc>
        <w:tc>
          <w:tcPr>
            <w:tcW w:w="27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5C76A" w14:textId="77777777" w:rsidR="00756AA9" w:rsidRDefault="006D569A">
            <w:r>
              <w:rPr>
                <w:color w:val="222222"/>
              </w:rPr>
              <w:t>Bench / lab-adjacent</w:t>
            </w:r>
          </w:p>
        </w:tc>
      </w:tr>
      <w:tr w:rsidR="00756AA9" w14:paraId="723856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4EF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859CD" w14:textId="77777777" w:rsidR="00756AA9" w:rsidRDefault="006D569A">
            <w:r>
              <w:rPr>
                <w:b/>
                <w:bCs/>
                <w:color w:val="222222"/>
              </w:rPr>
              <w:t>This device + Dawai-Check</w:t>
            </w:r>
          </w:p>
        </w:tc>
        <w:tc>
          <w:tcPr>
            <w:tcW w:w="2000" w:type="dxa"/>
            <w:shd w:val="clear" w:color="auto" w:fill="E4EF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9EFB4" w14:textId="77777777" w:rsidR="00756AA9" w:rsidRDefault="006D569A">
            <w:r>
              <w:rPr>
                <w:b/>
                <w:bCs/>
                <w:color w:val="222222"/>
              </w:rPr>
              <w:t>₹20–50</w:t>
            </w:r>
          </w:p>
        </w:tc>
        <w:tc>
          <w:tcPr>
            <w:tcW w:w="2000" w:type="dxa"/>
            <w:shd w:val="clear" w:color="auto" w:fill="E4EF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DAB41" w14:textId="77777777" w:rsidR="00756AA9" w:rsidRDefault="006D569A">
            <w:r>
              <w:rPr>
                <w:b/>
                <w:bCs/>
                <w:color w:val="222222"/>
              </w:rPr>
              <w:t>1–2 min</w:t>
            </w:r>
          </w:p>
        </w:tc>
        <w:tc>
          <w:tcPr>
            <w:tcW w:w="2760" w:type="dxa"/>
            <w:shd w:val="clear" w:color="auto" w:fill="E4EF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F8E71" w14:textId="77777777" w:rsidR="00756AA9" w:rsidRDefault="006D569A">
            <w:r>
              <w:rPr>
                <w:b/>
                <w:bCs/>
                <w:color w:val="222222"/>
              </w:rPr>
              <w:t>Home, caregiver-operated</w:t>
            </w:r>
          </w:p>
        </w:tc>
      </w:tr>
    </w:tbl>
    <w:p w14:paraId="76699056" w14:textId="77777777" w:rsidR="00756AA9" w:rsidRDefault="006D569A">
      <w:pPr>
        <w:spacing w:before="200" w:after="160"/>
      </w:pPr>
      <w:r>
        <w:rPr>
          <w:i/>
          <w:iCs/>
          <w:sz w:val="22"/>
          <w:szCs w:val="22"/>
        </w:rPr>
        <w:t>The novelty isn't a cheaper chemistry — it's collapsing lab-grade turnaround into a home-usable loop that already exists in published analytical devices, and closing it with a medication-safety decision layer that doesn't exist in any published µPAD work to date.</w:t>
      </w:r>
    </w:p>
    <w:p w14:paraId="4AD31FAA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6. Safety &amp; Regulatory Note</w:t>
      </w:r>
    </w:p>
    <w:p w14:paraId="2072904E" w14:textId="77777777" w:rsidR="00756AA9" w:rsidRDefault="006D569A">
      <w:pPr>
        <w:spacing w:after="160" w:line="300" w:lineRule="auto"/>
      </w:pPr>
      <w:r>
        <w:rPr>
          <w:sz w:val="22"/>
          <w:szCs w:val="22"/>
        </w:rPr>
        <w:t>Dry picric acid is a mild explosive-risk controlled reagent — all reagent preparation and strip manufacturing must occur under controlled lab conditions with appropriate storage/handling protocols; this is a manufacturing-stage constraint, not a home-use hazard once strips are dried, stabilized, and packaged.</w:t>
      </w:r>
    </w:p>
    <w:p w14:paraId="6616C81E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t>7. Future Directions</w:t>
      </w:r>
    </w:p>
    <w:p w14:paraId="13080131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Enzymatic-based alternative reagent chemistry to reduce reliance on picric acid at the manufacturing stage.</w:t>
      </w:r>
    </w:p>
    <w:p w14:paraId="3522638F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Expansion of Dawai-Check's drug-risk database and integration with India's Ayushman Bharat digital health records.</w:t>
      </w:r>
    </w:p>
    <w:p w14:paraId="0352259E" w14:textId="77777777" w:rsidR="00756AA9" w:rsidRDefault="006D569A">
      <w:pPr>
        <w:pStyle w:val="ListParagraph"/>
        <w:numPr>
          <w:ilvl w:val="0"/>
          <w:numId w:val="2"/>
        </w:numPr>
        <w:spacing w:after="100" w:line="290" w:lineRule="auto"/>
      </w:pPr>
      <w:r>
        <w:rPr>
          <w:sz w:val="22"/>
          <w:szCs w:val="22"/>
        </w:rPr>
        <w:t>Prospective field trial in a home-care/geriatric population to validate real-world adherence and outcome impact.</w:t>
      </w:r>
    </w:p>
    <w:p w14:paraId="0179C883" w14:textId="77777777" w:rsidR="00756AA9" w:rsidRDefault="006D569A">
      <w:r>
        <w:br w:type="page"/>
      </w:r>
    </w:p>
    <w:p w14:paraId="380E0037" w14:textId="77777777" w:rsidR="00756AA9" w:rsidRDefault="006D569A">
      <w:pPr>
        <w:pStyle w:val="Heading1"/>
        <w:pBdr>
          <w:bottom w:val="single" w:sz="6" w:space="4" w:color="2E6F6B"/>
        </w:pBdr>
        <w:spacing w:before="320" w:after="160"/>
      </w:pPr>
      <w:r>
        <w:rPr>
          <w:b/>
          <w:bCs/>
          <w:color w:val="2E6F6B"/>
          <w:sz w:val="30"/>
          <w:szCs w:val="30"/>
        </w:rPr>
        <w:lastRenderedPageBreak/>
        <w:t>References</w:t>
      </w:r>
    </w:p>
    <w:p w14:paraId="0C2B186B" w14:textId="77777777" w:rsidR="00756AA9" w:rsidRDefault="006D569A">
      <w:pPr>
        <w:spacing w:after="120" w:line="280" w:lineRule="auto"/>
        <w:ind w:left="431" w:hanging="431"/>
      </w:pPr>
      <w:r>
        <w:t>1. Microfluidic Paper-based Analytical Devices for Determination of Creatinine in Urine Samples. Analytical Sciences, 2018.</w:t>
      </w:r>
    </w:p>
    <w:p w14:paraId="6C546A74" w14:textId="77777777" w:rsidR="00756AA9" w:rsidRDefault="006D569A">
      <w:pPr>
        <w:spacing w:after="120" w:line="280" w:lineRule="auto"/>
        <w:ind w:left="431" w:hanging="431"/>
      </w:pPr>
      <w:r>
        <w:t>2. Rossini, E.L., Milani, M.I., Carrilho, E., Pezza, L., Pezza, H.R. Simultaneous determination of renal function biomarkers in urine using a validated paper-based microfluidic analytical device. Anal Chim Acta, 2018;997:16-23.</w:t>
      </w:r>
    </w:p>
    <w:p w14:paraId="7D84DD12" w14:textId="77777777" w:rsidR="00756AA9" w:rsidRDefault="006D569A">
      <w:pPr>
        <w:spacing w:after="120" w:line="280" w:lineRule="auto"/>
        <w:ind w:left="431" w:hanging="431"/>
      </w:pPr>
      <w:r>
        <w:t xml:space="preserve">3. Disposable Microfluidic Paper-Based Device for On-Site Quantification of Urinary Creatinine. </w:t>
      </w:r>
      <w:proofErr w:type="spellStart"/>
      <w:r>
        <w:t>Chemosensors</w:t>
      </w:r>
      <w:proofErr w:type="spellEnd"/>
      <w:r>
        <w:t>, 2023;11(7):368.</w:t>
      </w:r>
    </w:p>
    <w:p w14:paraId="6D220255" w14:textId="77777777" w:rsidR="00756AA9" w:rsidRDefault="006D569A">
      <w:pPr>
        <w:spacing w:after="120" w:line="280" w:lineRule="auto"/>
        <w:ind w:left="431" w:hanging="431"/>
      </w:pPr>
      <w:r>
        <w:t>4. Colorimetric detection of serum creatinine on a miniaturized platform using hue-saturation-value space analysis. Scientific Reports, 2024.</w:t>
      </w:r>
    </w:p>
    <w:p w14:paraId="4CC06E64" w14:textId="77777777" w:rsidR="00756AA9" w:rsidRDefault="006D569A">
      <w:pPr>
        <w:spacing w:after="120" w:line="280" w:lineRule="auto"/>
        <w:ind w:left="431" w:hanging="431"/>
      </w:pPr>
      <w:r>
        <w:t>5. Institute for Health Metrics and Evaluation (IHME). Chronic kidney disease has more than doubled since 1990, now affecting nearly 800 million people worldwide. GBD 2023 Study, 2025.</w:t>
      </w:r>
    </w:p>
    <w:p w14:paraId="0D57C162" w14:textId="77777777" w:rsidR="00756AA9" w:rsidRDefault="006D569A">
      <w:pPr>
        <w:spacing w:after="120" w:line="280" w:lineRule="auto"/>
        <w:ind w:left="431" w:hanging="431"/>
      </w:pPr>
      <w:r>
        <w:t>6. Global, Regional, and National Burden of chronic kidney disease in older adults from 1990 to 2021: Results from the Global Burden of Disease Study 2021. PLOS One / PMC, 2026.</w:t>
      </w:r>
    </w:p>
    <w:p w14:paraId="7AA271EA" w14:textId="77777777" w:rsidR="00756AA9" w:rsidRDefault="006D569A">
      <w:pPr>
        <w:spacing w:after="120" w:line="280" w:lineRule="auto"/>
        <w:ind w:left="431" w:hanging="431"/>
      </w:pPr>
      <w:r>
        <w:t>7. GBD Chronic Kidney Disease Collaboration. Global, regional, and national burden of chronic kidney disease, 1990–2017: a systematic analysis for the Global Burden of Disease Study 2017. Lancet.</w:t>
      </w:r>
    </w:p>
    <w:p w14:paraId="44F90961" w14:textId="77777777" w:rsidR="00756AA9" w:rsidRDefault="006D569A">
      <w:pPr>
        <w:spacing w:after="120" w:line="280" w:lineRule="auto"/>
        <w:ind w:left="431" w:hanging="431"/>
      </w:pPr>
      <w:r>
        <w:t>8. Drug-Induced Nephrotoxicity. American Family Physician (AAFP), 2008;78(6):743-750.</w:t>
      </w:r>
    </w:p>
    <w:p w14:paraId="20E9B352" w14:textId="77777777" w:rsidR="00756AA9" w:rsidRDefault="006D569A">
      <w:pPr>
        <w:spacing w:after="120" w:line="280" w:lineRule="auto"/>
        <w:ind w:left="431" w:hanging="431"/>
      </w:pPr>
      <w:r>
        <w:t>9. Drug-Induced Kidney Injury in the Elderly. Drugs &amp; Aging, Springer Nature, 2017.</w:t>
      </w:r>
    </w:p>
    <w:p w14:paraId="4091058A" w14:textId="77777777" w:rsidR="00756AA9" w:rsidRDefault="006D569A">
      <w:pPr>
        <w:spacing w:after="120" w:line="280" w:lineRule="auto"/>
        <w:ind w:left="431" w:hanging="431"/>
      </w:pPr>
      <w:r>
        <w:t>10. Incidence and risk factors of acute kidney injury in patients with polypharmacy: a systematic review and meta-analysis. International Journal of Clinical Pharmacy, 2025.</w:t>
      </w:r>
    </w:p>
    <w:p w14:paraId="168E542E" w14:textId="77777777" w:rsidR="00756AA9" w:rsidRDefault="006D569A">
      <w:pPr>
        <w:spacing w:after="120" w:line="280" w:lineRule="auto"/>
        <w:ind w:left="431" w:hanging="431"/>
      </w:pPr>
      <w:r>
        <w:t>11. A Single-</w:t>
      </w:r>
      <w:proofErr w:type="spellStart"/>
      <w:r>
        <w:t>Center</w:t>
      </w:r>
      <w:proofErr w:type="spellEnd"/>
      <w:r>
        <w:t xml:space="preserve"> Prospective Study on Adverse Drug Reactions Associated </w:t>
      </w:r>
      <w:proofErr w:type="gramStart"/>
      <w:r>
        <w:t>With</w:t>
      </w:r>
      <w:proofErr w:type="gramEnd"/>
      <w:r>
        <w:t xml:space="preserve"> Polypharmacy in Elderly Outpatients. PMC, 2025.</w:t>
      </w:r>
    </w:p>
    <w:p w14:paraId="6D402267" w14:textId="77777777" w:rsidR="00756AA9" w:rsidRDefault="006D569A">
      <w:pPr>
        <w:spacing w:after="120" w:line="280" w:lineRule="auto"/>
        <w:ind w:left="431" w:hanging="431"/>
      </w:pPr>
      <w:r>
        <w:t>12. United Nations Population Fund (UNFPA) India. India's Ageing Population: Why It Matters More Than Ever / India Ageing Report 2023.</w:t>
      </w:r>
    </w:p>
    <w:p w14:paraId="5074C460" w14:textId="77777777" w:rsidR="00756AA9" w:rsidRDefault="006D569A">
      <w:pPr>
        <w:spacing w:after="120" w:line="280" w:lineRule="auto"/>
        <w:ind w:left="431" w:hanging="431"/>
      </w:pPr>
      <w:r>
        <w:t>13. Ministry of Health and Family Welfare, Government of India. Elderly in India / Population Projection Report (TGPP), 2020.</w:t>
      </w:r>
    </w:p>
    <w:sectPr w:rsidR="00756A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18E"/>
    <w:multiLevelType w:val="hybridMultilevel"/>
    <w:tmpl w:val="3D543638"/>
    <w:lvl w:ilvl="0" w:tplc="94CA8E84">
      <w:start w:val="1"/>
      <w:numFmt w:val="bullet"/>
      <w:lvlText w:val="●"/>
      <w:lvlJc w:val="left"/>
      <w:pPr>
        <w:ind w:left="720" w:hanging="360"/>
      </w:pPr>
    </w:lvl>
    <w:lvl w:ilvl="1" w:tplc="DC9267DC">
      <w:start w:val="1"/>
      <w:numFmt w:val="bullet"/>
      <w:lvlText w:val="○"/>
      <w:lvlJc w:val="left"/>
      <w:pPr>
        <w:ind w:left="1440" w:hanging="360"/>
      </w:pPr>
    </w:lvl>
    <w:lvl w:ilvl="2" w:tplc="D522FA92">
      <w:start w:val="1"/>
      <w:numFmt w:val="bullet"/>
      <w:lvlText w:val="■"/>
      <w:lvlJc w:val="left"/>
      <w:pPr>
        <w:ind w:left="2160" w:hanging="360"/>
      </w:pPr>
    </w:lvl>
    <w:lvl w:ilvl="3" w:tplc="78364B52">
      <w:start w:val="1"/>
      <w:numFmt w:val="bullet"/>
      <w:lvlText w:val="●"/>
      <w:lvlJc w:val="left"/>
      <w:pPr>
        <w:ind w:left="2880" w:hanging="360"/>
      </w:pPr>
    </w:lvl>
    <w:lvl w:ilvl="4" w:tplc="F2B01026">
      <w:start w:val="1"/>
      <w:numFmt w:val="bullet"/>
      <w:lvlText w:val="○"/>
      <w:lvlJc w:val="left"/>
      <w:pPr>
        <w:ind w:left="3600" w:hanging="360"/>
      </w:pPr>
    </w:lvl>
    <w:lvl w:ilvl="5" w:tplc="E98AFF22">
      <w:start w:val="1"/>
      <w:numFmt w:val="bullet"/>
      <w:lvlText w:val="■"/>
      <w:lvlJc w:val="left"/>
      <w:pPr>
        <w:ind w:left="4320" w:hanging="360"/>
      </w:pPr>
    </w:lvl>
    <w:lvl w:ilvl="6" w:tplc="87FEA638">
      <w:start w:val="1"/>
      <w:numFmt w:val="bullet"/>
      <w:lvlText w:val="●"/>
      <w:lvlJc w:val="left"/>
      <w:pPr>
        <w:ind w:left="5040" w:hanging="360"/>
      </w:pPr>
    </w:lvl>
    <w:lvl w:ilvl="7" w:tplc="5B928342">
      <w:start w:val="1"/>
      <w:numFmt w:val="bullet"/>
      <w:lvlText w:val="●"/>
      <w:lvlJc w:val="left"/>
      <w:pPr>
        <w:ind w:left="5760" w:hanging="360"/>
      </w:pPr>
    </w:lvl>
    <w:lvl w:ilvl="8" w:tplc="1AA6A3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84CD2"/>
    <w:multiLevelType w:val="hybridMultilevel"/>
    <w:tmpl w:val="C4740F06"/>
    <w:lvl w:ilvl="0" w:tplc="BAF86134">
      <w:start w:val="1"/>
      <w:numFmt w:val="bullet"/>
      <w:lvlText w:val="•"/>
      <w:lvlJc w:val="left"/>
      <w:pPr>
        <w:ind w:left="504" w:hanging="288"/>
      </w:pPr>
    </w:lvl>
    <w:lvl w:ilvl="1" w:tplc="925C76A6">
      <w:numFmt w:val="decimal"/>
      <w:lvlText w:val=""/>
      <w:lvlJc w:val="left"/>
    </w:lvl>
    <w:lvl w:ilvl="2" w:tplc="25163B38">
      <w:numFmt w:val="decimal"/>
      <w:lvlText w:val=""/>
      <w:lvlJc w:val="left"/>
    </w:lvl>
    <w:lvl w:ilvl="3" w:tplc="34AC3704">
      <w:numFmt w:val="decimal"/>
      <w:lvlText w:val=""/>
      <w:lvlJc w:val="left"/>
    </w:lvl>
    <w:lvl w:ilvl="4" w:tplc="030E7BB6">
      <w:numFmt w:val="decimal"/>
      <w:lvlText w:val=""/>
      <w:lvlJc w:val="left"/>
    </w:lvl>
    <w:lvl w:ilvl="5" w:tplc="9CCA8C6E">
      <w:numFmt w:val="decimal"/>
      <w:lvlText w:val=""/>
      <w:lvlJc w:val="left"/>
    </w:lvl>
    <w:lvl w:ilvl="6" w:tplc="E1E6C236">
      <w:numFmt w:val="decimal"/>
      <w:lvlText w:val=""/>
      <w:lvlJc w:val="left"/>
    </w:lvl>
    <w:lvl w:ilvl="7" w:tplc="436CD740">
      <w:numFmt w:val="decimal"/>
      <w:lvlText w:val=""/>
      <w:lvlJc w:val="left"/>
    </w:lvl>
    <w:lvl w:ilvl="8" w:tplc="295E7BC4">
      <w:numFmt w:val="decimal"/>
      <w:lvlText w:val=""/>
      <w:lvlJc w:val="left"/>
    </w:lvl>
  </w:abstractNum>
  <w:num w:numId="1" w16cid:durableId="170923514">
    <w:abstractNumId w:val="0"/>
    <w:lvlOverride w:ilvl="0">
      <w:startOverride w:val="1"/>
    </w:lvlOverride>
  </w:num>
  <w:num w:numId="2" w16cid:durableId="18787367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A9"/>
    <w:rsid w:val="0029586C"/>
    <w:rsid w:val="002B395C"/>
    <w:rsid w:val="006C623D"/>
    <w:rsid w:val="006D569A"/>
    <w:rsid w:val="0075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68CA"/>
  <w15:docId w15:val="{D6D91CDA-4F45-4E61-B9C8-BFEF882F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1482</Words>
  <Characters>8453</Characters>
  <Application>Microsoft Office Word</Application>
  <DocSecurity>0</DocSecurity>
  <Lines>70</Lines>
  <Paragraphs>19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sizzlingsunny011@outlook.com</cp:lastModifiedBy>
  <cp:revision>2</cp:revision>
  <dcterms:created xsi:type="dcterms:W3CDTF">2026-10-12T14:34:00Z</dcterms:created>
  <dcterms:modified xsi:type="dcterms:W3CDTF">2026-10-12T14:34:00Z</dcterms:modified>
</cp:coreProperties>
</file>