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ind w:right="-330"/>
        <w:jc w:val="center"/>
        <w:rPr>
          <w:rFonts w:ascii="Times New Roman" w:hAnsi="Times New Roman" w:cs="Times New Roman"/>
          <w:color w:val="000000" w:themeColor="text1"/>
          <w:sz w:val="56"/>
          <w:szCs w:val="56"/>
          <w14:textFill>
            <w14:solidFill>
              <w14:schemeClr w14:val="tx1"/>
            </w14:solidFill>
          </w14:textFill>
        </w:rPr>
      </w:pPr>
      <w:r>
        <w:rPr>
          <w:rFonts w:ascii="Times New Roman" w:hAnsi="Times New Roman" w:cs="Times New Roman"/>
          <w:color w:val="000000" w:themeColor="text1"/>
          <w:sz w:val="56"/>
          <w:szCs w:val="56"/>
          <w14:textFill>
            <w14:solidFill>
              <w14:schemeClr w14:val="tx1"/>
            </w14:solidFill>
          </w14:textFill>
        </w:rPr>
        <w:t>Artificial</w:t>
      </w:r>
    </w:p>
    <w:p>
      <w:pPr>
        <w:pStyle w:val="2"/>
        <w:spacing w:before="0"/>
        <w:ind w:right="-330"/>
        <w:jc w:val="center"/>
        <w:rPr>
          <w:rFonts w:ascii="Times New Roman" w:hAnsi="Times New Roman" w:cs="Times New Roman"/>
          <w:color w:val="000000" w:themeColor="text1"/>
          <w:sz w:val="56"/>
          <w:szCs w:val="56"/>
          <w14:textFill>
            <w14:solidFill>
              <w14:schemeClr w14:val="tx1"/>
            </w14:solidFill>
          </w14:textFill>
        </w:rPr>
      </w:pPr>
      <w:r>
        <w:rPr>
          <w:rFonts w:ascii="Times New Roman" w:hAnsi="Times New Roman" w:cs="Times New Roman"/>
          <w:color w:val="000000" w:themeColor="text1"/>
          <w:sz w:val="56"/>
          <w:szCs w:val="56"/>
          <w14:textFill>
            <w14:solidFill>
              <w14:schemeClr w14:val="tx1"/>
            </w14:solidFill>
          </w14:textFill>
        </w:rPr>
        <w:t>Intelligence and Machine Learning</w:t>
      </w:r>
    </w:p>
    <w:p>
      <w:pPr>
        <w:rPr>
          <w:rFonts w:ascii="Times New Roman" w:hAnsi="Times New Roman" w:cs="Times New Roman"/>
          <w:lang w:val="en-IN"/>
        </w:rPr>
      </w:pPr>
    </w:p>
    <w:p>
      <w:pPr>
        <w:jc w:val="center"/>
        <w:rPr>
          <w:rFonts w:ascii="Times New Roman" w:hAnsi="Times New Roman" w:cs="Times New Roman"/>
          <w:sz w:val="44"/>
          <w:szCs w:val="44"/>
          <w:lang w:val="en-IN"/>
        </w:rPr>
      </w:pPr>
      <w:r>
        <w:rPr>
          <w:rFonts w:ascii="Times New Roman" w:hAnsi="Times New Roman" w:cs="Times New Roman"/>
          <w:sz w:val="44"/>
          <w:szCs w:val="44"/>
          <w:lang w:val="en-IN"/>
        </w:rPr>
        <w:t xml:space="preserve">Project Report </w:t>
      </w:r>
    </w:p>
    <w:p>
      <w:pPr>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pPr>
        <w:pStyle w:val="2"/>
        <w:ind w:right="-330"/>
        <w:jc w:val="center"/>
        <w:rPr>
          <w:rFonts w:ascii="Times New Roman" w:hAnsi="Times New Roman" w:cs="Times New Roman"/>
          <w:color w:val="000000" w:themeColor="text1"/>
          <w:sz w:val="28"/>
          <w:szCs w:val="28"/>
          <w14:textFill>
            <w14:solidFill>
              <w14:schemeClr w14:val="tx1"/>
            </w14:solidFill>
          </w14:textFill>
        </w:rPr>
      </w:pPr>
    </w:p>
    <w:p>
      <w:pPr>
        <w:spacing w:after="0" w:line="360" w:lineRule="auto"/>
        <w:ind w:left="284" w:hanging="284"/>
        <w:jc w:val="center"/>
        <w:rPr>
          <w:rFonts w:ascii="Times New Roman" w:hAnsi="Times New Roman" w:cs="Times New Roman"/>
          <w:sz w:val="32"/>
          <w:szCs w:val="32"/>
        </w:rPr>
      </w:pPr>
      <w:r>
        <w:rPr>
          <w:rFonts w:ascii="Times New Roman" w:hAnsi="Times New Roman" w:cs="Times New Roman"/>
          <w:sz w:val="32"/>
          <w:szCs w:val="32"/>
        </w:rPr>
        <w:t xml:space="preserve">  </w:t>
      </w:r>
    </w:p>
    <w:p>
      <w:pPr>
        <w:spacing w:after="0" w:line="360" w:lineRule="auto"/>
        <w:ind w:firstLine="1760" w:firstLineChars="400"/>
        <w:jc w:val="both"/>
        <w:rPr>
          <w:rFonts w:ascii="Times New Roman" w:hAnsi="Times New Roman" w:cs="Times New Roman"/>
          <w:sz w:val="32"/>
          <w:szCs w:val="32"/>
          <w:vertAlign w:val="superscript"/>
        </w:rPr>
      </w:pPr>
      <w:r>
        <w:rPr>
          <w:rFonts w:hint="default" w:ascii="Times New Roman" w:hAnsi="Times New Roman" w:eastAsia="SimSun" w:cs="Times New Roman"/>
          <w:i w:val="0"/>
          <w:iCs w:val="0"/>
          <w:color w:val="000000"/>
          <w:sz w:val="44"/>
          <w:szCs w:val="44"/>
          <w:u w:val="none"/>
          <w:vertAlign w:val="baseline"/>
        </w:rPr>
        <w:t>Medical Insurance Cost Prediction</w:t>
      </w:r>
    </w:p>
    <w:p>
      <w:pPr>
        <w:spacing w:after="0" w:line="360" w:lineRule="auto"/>
        <w:jc w:val="center"/>
        <w:rPr>
          <w:rFonts w:ascii="Times New Roman" w:hAnsi="Times New Roman" w:cs="Times New Roman"/>
          <w:sz w:val="32"/>
          <w:szCs w:val="32"/>
          <w:vertAlign w:val="superscript"/>
        </w:rPr>
      </w:pPr>
      <w:r>
        <w:rPr>
          <w:rFonts w:ascii="Times New Roman" w:hAnsi="Times New Roman" w:cs="Times New Roman"/>
        </w:rPr>
        <w:drawing>
          <wp:inline distT="0" distB="0" distL="0" distR="0">
            <wp:extent cx="2421890"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7"/>
                    <a:srcRect l="31971"/>
                    <a:stretch>
                      <a:fillRect/>
                    </a:stretch>
                  </pic:blipFill>
                  <pic:spPr>
                    <a:xfrm>
                      <a:off x="0" y="0"/>
                      <a:ext cx="2432566" cy="1498140"/>
                    </a:xfrm>
                    <a:prstGeom prst="rect">
                      <a:avLst/>
                    </a:prstGeom>
                    <a:ln>
                      <a:noFill/>
                    </a:ln>
                  </pic:spPr>
                </pic:pic>
              </a:graphicData>
            </a:graphic>
          </wp:inline>
        </w:drawing>
      </w:r>
    </w:p>
    <w:p>
      <w:pPr>
        <w:spacing w:after="0" w:line="360" w:lineRule="auto"/>
        <w:ind w:left="5607"/>
        <w:jc w:val="center"/>
        <w:rPr>
          <w:rFonts w:ascii="Times New Roman" w:hAnsi="Times New Roman" w:cs="Times New Roman"/>
          <w:sz w:val="32"/>
          <w:szCs w:val="32"/>
        </w:rPr>
      </w:pPr>
    </w:p>
    <w:p>
      <w:pPr>
        <w:tabs>
          <w:tab w:val="center" w:pos="776"/>
          <w:tab w:val="center" w:pos="2161"/>
          <w:tab w:val="center" w:pos="2881"/>
          <w:tab w:val="center" w:pos="3602"/>
          <w:tab w:val="center" w:pos="4322"/>
          <w:tab w:val="center" w:pos="5042"/>
          <w:tab w:val="center" w:pos="5762"/>
          <w:tab w:val="center" w:pos="7227"/>
        </w:tabs>
        <w:spacing w:after="120"/>
        <w:rPr>
          <w:rFonts w:ascii="Times New Roman" w:hAnsi="Times New Roman" w:cs="Times New Roman"/>
        </w:rPr>
      </w:pPr>
      <w:r>
        <w:rPr>
          <w:rFonts w:ascii="Times New Roman" w:hAnsi="Times New Roman" w:eastAsia="Times New Roman" w:cs="Times New Roman"/>
          <w:b/>
          <w:sz w:val="24"/>
        </w:rPr>
        <w:t xml:space="preserve">Supervised By: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hint="default" w:ascii="Times New Roman" w:hAnsi="Times New Roman" w:eastAsia="Times New Roman" w:cs="Times New Roman"/>
          <w:b/>
          <w:sz w:val="24"/>
          <w:lang w:val="en-IN"/>
        </w:rPr>
        <w:t xml:space="preserve">                  </w:t>
      </w:r>
      <w:r>
        <w:rPr>
          <w:rFonts w:ascii="Times New Roman" w:hAnsi="Times New Roman" w:eastAsia="Times New Roman" w:cs="Times New Roman"/>
          <w:b/>
          <w:sz w:val="24"/>
        </w:rPr>
        <w:t>Submitted By:</w:t>
      </w:r>
    </w:p>
    <w:p>
      <w:pPr>
        <w:tabs>
          <w:tab w:val="center" w:pos="674"/>
          <w:tab w:val="center" w:pos="2161"/>
          <w:tab w:val="center" w:pos="2881"/>
          <w:tab w:val="center" w:pos="3602"/>
          <w:tab w:val="center" w:pos="4322"/>
          <w:tab w:val="center" w:pos="5042"/>
          <w:tab w:val="center" w:pos="5762"/>
          <w:tab w:val="center" w:pos="7876"/>
        </w:tabs>
        <w:spacing w:after="157"/>
        <w:rPr>
          <w:rFonts w:hint="default" w:ascii="Times New Roman" w:hAnsi="Times New Roman" w:eastAsia="Times New Roman" w:cs="Times New Roman"/>
          <w:b/>
          <w:bCs/>
          <w:sz w:val="24"/>
          <w:lang w:val="en-GB"/>
        </w:rPr>
      </w:pPr>
      <w:r>
        <w:rPr>
          <w:rFonts w:hint="default" w:ascii="Times New Roman" w:hAnsi="Times New Roman" w:eastAsia="Times New Roman" w:cs="Times New Roman"/>
          <w:b/>
          <w:bCs/>
          <w:sz w:val="24"/>
          <w:lang w:val="en-IN"/>
        </w:rPr>
        <w:t>Mr. Raj</w:t>
      </w:r>
      <w:r>
        <w:rPr>
          <w:rFonts w:hint="default" w:ascii="Times New Roman" w:hAnsi="Times New Roman" w:eastAsia="Times New Roman" w:cs="Times New Roman"/>
          <w:b/>
          <w:bCs/>
          <w:sz w:val="24"/>
          <w:lang w:val="en-GB"/>
        </w:rPr>
        <w:t>i</w:t>
      </w:r>
      <w:r>
        <w:rPr>
          <w:rFonts w:hint="default" w:ascii="Times New Roman" w:hAnsi="Times New Roman" w:eastAsia="Times New Roman" w:cs="Times New Roman"/>
          <w:b/>
          <w:bCs/>
          <w:sz w:val="24"/>
          <w:lang w:val="en-IN"/>
        </w:rPr>
        <w:t xml:space="preserve">v Bhardwaj                                                                    </w:t>
      </w:r>
      <w:r>
        <w:rPr>
          <w:rFonts w:hint="default" w:ascii="Times New Roman" w:hAnsi="Times New Roman" w:eastAsia="Times New Roman" w:cs="Times New Roman"/>
          <w:b/>
          <w:bCs/>
          <w:sz w:val="24"/>
          <w:lang w:val="en-GB"/>
        </w:rPr>
        <w:t>Name:Sneha</w:t>
      </w:r>
    </w:p>
    <w:p>
      <w:pPr>
        <w:tabs>
          <w:tab w:val="center" w:pos="674"/>
          <w:tab w:val="center" w:pos="2161"/>
          <w:tab w:val="center" w:pos="2881"/>
          <w:tab w:val="center" w:pos="3602"/>
          <w:tab w:val="center" w:pos="4322"/>
          <w:tab w:val="center" w:pos="5042"/>
          <w:tab w:val="center" w:pos="5762"/>
          <w:tab w:val="center" w:pos="7876"/>
        </w:tabs>
        <w:spacing w:after="157"/>
        <w:ind w:firstLine="6123" w:firstLineChars="2550"/>
        <w:rPr>
          <w:rFonts w:hint="default" w:ascii="Times New Roman" w:hAnsi="Times New Roman" w:eastAsia="Times New Roman" w:cs="Times New Roman"/>
          <w:b/>
          <w:bCs/>
          <w:sz w:val="24"/>
          <w:lang w:val="en-IN"/>
        </w:rPr>
      </w:pPr>
      <w:r>
        <w:rPr>
          <w:rFonts w:hint="default" w:ascii="Times New Roman" w:hAnsi="Times New Roman" w:eastAsia="Times New Roman" w:cs="Times New Roman"/>
          <w:b/>
          <w:bCs/>
          <w:sz w:val="24"/>
          <w:lang w:val="en-GB"/>
        </w:rPr>
        <w:t>RollNo:</w:t>
      </w:r>
      <w:r>
        <w:rPr>
          <w:rFonts w:hint="default" w:ascii="Times New Roman" w:hAnsi="Times New Roman" w:eastAsia="Times New Roman" w:cs="Times New Roman"/>
          <w:b/>
          <w:bCs/>
          <w:sz w:val="24"/>
          <w:lang w:val="en-IN"/>
        </w:rPr>
        <w:t xml:space="preserve"> 2210990</w:t>
      </w:r>
      <w:r>
        <w:rPr>
          <w:rFonts w:hint="default" w:ascii="Times New Roman" w:hAnsi="Times New Roman" w:eastAsia="Times New Roman" w:cs="Times New Roman"/>
          <w:b/>
          <w:bCs/>
          <w:sz w:val="24"/>
          <w:lang w:val="en-GB"/>
        </w:rPr>
        <w:t>856</w:t>
      </w:r>
      <w:r>
        <w:rPr>
          <w:rFonts w:hint="default" w:ascii="Times New Roman" w:hAnsi="Times New Roman" w:eastAsia="Times New Roman" w:cs="Times New Roman"/>
          <w:b/>
          <w:bCs/>
          <w:sz w:val="24"/>
          <w:lang w:val="en-IN"/>
        </w:rPr>
        <w:t xml:space="preserve">                                                                                                       </w:t>
      </w:r>
    </w:p>
    <w:p>
      <w:pPr>
        <w:tabs>
          <w:tab w:val="center" w:pos="674"/>
          <w:tab w:val="center" w:pos="2161"/>
          <w:tab w:val="center" w:pos="2881"/>
          <w:tab w:val="center" w:pos="3602"/>
          <w:tab w:val="center" w:pos="4322"/>
          <w:tab w:val="center" w:pos="5042"/>
          <w:tab w:val="center" w:pos="5762"/>
          <w:tab w:val="center" w:pos="7876"/>
        </w:tabs>
        <w:spacing w:after="157"/>
        <w:rPr>
          <w:rFonts w:ascii="Times New Roman" w:hAnsi="Times New Roman" w:eastAsia="Times New Roman" w:cs="Times New Roman"/>
          <w:b/>
          <w:bCs/>
          <w:sz w:val="24"/>
        </w:rPr>
      </w:pPr>
      <w:r>
        <w:rPr>
          <w:rFonts w:ascii="Times New Roman" w:hAnsi="Times New Roman" w:eastAsia="Times New Roman" w:cs="Times New Roman"/>
          <w:b/>
          <w:bCs/>
          <w:sz w:val="24"/>
        </w:rPr>
        <w:t xml:space="preserve">                                                                                    </w:t>
      </w:r>
    </w:p>
    <w:p>
      <w:pPr>
        <w:tabs>
          <w:tab w:val="center" w:pos="674"/>
          <w:tab w:val="center" w:pos="2161"/>
          <w:tab w:val="center" w:pos="2881"/>
          <w:tab w:val="center" w:pos="3602"/>
          <w:tab w:val="center" w:pos="4322"/>
          <w:tab w:val="center" w:pos="5042"/>
          <w:tab w:val="center" w:pos="5762"/>
          <w:tab w:val="center" w:pos="7876"/>
        </w:tabs>
        <w:spacing w:after="157"/>
        <w:rPr>
          <w:rFonts w:ascii="Times New Roman" w:hAnsi="Times New Roman" w:eastAsia="Times New Roman" w:cs="Times New Roman"/>
          <w:b/>
          <w:bCs/>
          <w:sz w:val="24"/>
        </w:rPr>
      </w:pPr>
      <w:r>
        <w:rPr>
          <w:rFonts w:ascii="Times New Roman" w:hAnsi="Times New Roman" w:eastAsia="Times New Roman" w:cs="Times New Roman"/>
          <w:b/>
          <w:bCs/>
          <w:sz w:val="24"/>
        </w:rPr>
        <w:t xml:space="preserve">                   </w:t>
      </w:r>
    </w:p>
    <w:p>
      <w:pPr>
        <w:tabs>
          <w:tab w:val="center" w:pos="674"/>
          <w:tab w:val="center" w:pos="2161"/>
          <w:tab w:val="center" w:pos="2881"/>
          <w:tab w:val="center" w:pos="3602"/>
          <w:tab w:val="center" w:pos="4322"/>
          <w:tab w:val="center" w:pos="5042"/>
          <w:tab w:val="center" w:pos="5762"/>
          <w:tab w:val="center" w:pos="7876"/>
        </w:tabs>
        <w:spacing w:after="157"/>
        <w:ind w:firstLine="1081" w:firstLineChars="450"/>
        <w:rPr>
          <w:rFonts w:ascii="Times New Roman" w:hAnsi="Times New Roman" w:cs="Times New Roman" w:eastAsiaTheme="majorEastAsia"/>
          <w:b/>
          <w:bCs/>
          <w:color w:val="000000" w:themeColor="text1"/>
          <w:sz w:val="28"/>
          <w:szCs w:val="28"/>
          <w:lang w:val="en-IN"/>
          <w14:textFill>
            <w14:solidFill>
              <w14:schemeClr w14:val="tx1"/>
            </w14:solidFill>
          </w14:textFill>
        </w:rPr>
      </w:pPr>
      <w:r>
        <w:rPr>
          <w:rFonts w:ascii="Times New Roman" w:hAnsi="Times New Roman" w:eastAsia="Times New Roman" w:cs="Times New Roman"/>
          <w:b/>
          <w:bCs/>
          <w:sz w:val="24"/>
        </w:rPr>
        <w:t xml:space="preserve">       </w:t>
      </w:r>
      <w:r>
        <w:rPr>
          <w:rFonts w:ascii="Times New Roman" w:hAnsi="Times New Roman" w:cs="Times New Roman" w:eastAsiaTheme="majorEastAsia"/>
          <w:b/>
          <w:bCs/>
          <w:color w:val="000000" w:themeColor="text1"/>
          <w:sz w:val="28"/>
          <w:szCs w:val="28"/>
          <w:lang w:val="en-IN"/>
          <w14:textFill>
            <w14:solidFill>
              <w14:schemeClr w14:val="tx1"/>
            </w14:solidFill>
          </w14:textFill>
        </w:rPr>
        <w:t>Department of Computer Science and Engineering</w:t>
      </w:r>
    </w:p>
    <w:p>
      <w:pPr>
        <w:pStyle w:val="2"/>
        <w:spacing w:before="0" w:line="240" w:lineRule="auto"/>
        <w:ind w:right="-330" w:firstLine="984" w:firstLineChars="3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eastAsiaTheme="majorEastAsia"/>
          <w:b/>
          <w:bCs/>
          <w:color w:val="000000" w:themeColor="text1"/>
          <w:sz w:val="28"/>
          <w:szCs w:val="28"/>
          <w:lang w:val="en-IN"/>
          <w14:textFill>
            <w14:solidFill>
              <w14:schemeClr w14:val="tx1"/>
            </w14:solidFill>
          </w14:textFill>
        </w:rPr>
        <w:t xml:space="preserve"> Chitkara</w:t>
      </w:r>
      <w:r>
        <w:rPr>
          <w:rFonts w:ascii="Times New Roman" w:hAnsi="Times New Roman" w:cs="Times New Roman"/>
          <w:color w:val="000000" w:themeColor="text1"/>
          <w:sz w:val="28"/>
          <w:szCs w:val="28"/>
          <w14:textFill>
            <w14:solidFill>
              <w14:schemeClr w14:val="tx1"/>
            </w14:solidFill>
          </w14:textFill>
        </w:rPr>
        <w:t xml:space="preserve"> University Institute of Engineering &amp; Technology, </w:t>
      </w:r>
    </w:p>
    <w:p>
      <w:pPr>
        <w:pStyle w:val="2"/>
        <w:spacing w:before="0" w:line="240" w:lineRule="auto"/>
        <w:ind w:right="-330" w:firstLine="2670" w:firstLineChars="9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Chitkara University, Punjab</w:t>
      </w:r>
    </w:p>
    <w:p>
      <w:pPr>
        <w:rPr>
          <w:rFonts w:ascii="Times New Roman" w:hAnsi="Times New Roman" w:cs="Times New Roman"/>
          <w:lang w:val="en-IN"/>
        </w:rPr>
      </w:pPr>
    </w:p>
    <w:p>
      <w:pPr>
        <w:spacing w:after="0" w:line="259" w:lineRule="auto"/>
        <w:ind w:right="3072"/>
        <w:jc w:val="right"/>
        <w:rPr>
          <w:rFonts w:ascii="Times New Roman" w:hAnsi="Times New Roman" w:eastAsia="Times New Roman" w:cs="Times New Roman"/>
          <w:b/>
          <w:sz w:val="40"/>
        </w:rPr>
      </w:pPr>
    </w:p>
    <w:p>
      <w:pPr>
        <w:spacing w:after="0" w:line="259" w:lineRule="auto"/>
        <w:ind w:right="3072"/>
        <w:jc w:val="right"/>
        <w:rPr>
          <w:rFonts w:ascii="Times New Roman" w:hAnsi="Times New Roman" w:cs="Times New Roman"/>
        </w:rPr>
      </w:pPr>
      <w:r>
        <w:rPr>
          <w:rFonts w:ascii="Times New Roman" w:hAnsi="Times New Roman" w:eastAsia="Times New Roman" w:cs="Times New Roman"/>
          <w:b/>
          <w:sz w:val="40"/>
        </w:rPr>
        <w:t xml:space="preserve">Table of Content </w:t>
      </w:r>
    </w:p>
    <w:p>
      <w:pPr>
        <w:spacing w:after="0" w:line="259" w:lineRule="auto"/>
        <w:ind w:left="95"/>
        <w:jc w:val="center"/>
        <w:rPr>
          <w:rFonts w:ascii="Times New Roman" w:hAnsi="Times New Roman" w:cs="Times New Roman"/>
        </w:rPr>
      </w:pPr>
      <w:r>
        <w:rPr>
          <w:rFonts w:ascii="Times New Roman" w:hAnsi="Times New Roman" w:eastAsia="Times New Roman" w:cs="Times New Roman"/>
          <w:b/>
          <w:sz w:val="40"/>
        </w:rPr>
        <w:t xml:space="preserve"> </w:t>
      </w:r>
    </w:p>
    <w:tbl>
      <w:tblPr>
        <w:tblStyle w:val="20"/>
        <w:tblW w:w="9739" w:type="dxa"/>
        <w:tblInd w:w="5" w:type="dxa"/>
        <w:tblLayout w:type="autofit"/>
        <w:tblCellMar>
          <w:top w:w="16" w:type="dxa"/>
          <w:left w:w="108" w:type="dxa"/>
          <w:bottom w:w="0" w:type="dxa"/>
          <w:right w:w="115" w:type="dxa"/>
        </w:tblCellMar>
      </w:tblPr>
      <w:tblGrid>
        <w:gridCol w:w="1219"/>
        <w:gridCol w:w="6961"/>
        <w:gridCol w:w="1559"/>
      </w:tblGrid>
      <w:tr>
        <w:tblPrEx>
          <w:tblCellMar>
            <w:top w:w="16" w:type="dxa"/>
            <w:left w:w="108" w:type="dxa"/>
            <w:bottom w:w="0" w:type="dxa"/>
            <w:right w:w="115" w:type="dxa"/>
          </w:tblCellMar>
        </w:tblPrEx>
        <w:trPr>
          <w:trHeight w:val="1059"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Sl. No </w:t>
            </w:r>
          </w:p>
        </w:tc>
        <w:tc>
          <w:tcPr>
            <w:tcW w:w="6961" w:type="dxa"/>
            <w:tcBorders>
              <w:top w:val="single" w:color="000000" w:sz="4" w:space="0"/>
              <w:left w:val="single" w:color="000000" w:sz="4" w:space="0"/>
              <w:bottom w:val="single" w:color="000000" w:sz="4" w:space="0"/>
              <w:right w:val="single" w:color="000000" w:sz="4" w:space="0"/>
            </w:tcBorders>
          </w:tcPr>
          <w:p>
            <w:pPr>
              <w:spacing w:after="0" w:line="259" w:lineRule="auto"/>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Name </w:t>
            </w: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5"/>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Page No </w:t>
            </w:r>
          </w:p>
        </w:tc>
      </w:tr>
      <w:tr>
        <w:tblPrEx>
          <w:tblCellMar>
            <w:top w:w="16" w:type="dxa"/>
            <w:left w:w="108" w:type="dxa"/>
            <w:bottom w:w="0" w:type="dxa"/>
            <w:right w:w="115" w:type="dxa"/>
          </w:tblCellMar>
        </w:tblPrEx>
        <w:trPr>
          <w:trHeight w:val="1077"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1 </w:t>
            </w:r>
          </w:p>
        </w:tc>
        <w:tc>
          <w:tcPr>
            <w:tcW w:w="6961" w:type="dxa"/>
            <w:tcBorders>
              <w:top w:val="single" w:color="000000" w:sz="4" w:space="0"/>
              <w:left w:val="single" w:color="000000" w:sz="4" w:space="0"/>
              <w:bottom w:val="single" w:color="000000" w:sz="4" w:space="0"/>
              <w:right w:val="single" w:color="000000" w:sz="4" w:space="0"/>
            </w:tcBorders>
          </w:tcPr>
          <w:p>
            <w:pPr>
              <w:spacing w:after="0" w:line="259" w:lineRule="auto"/>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Abstract</w:t>
            </w:r>
          </w:p>
          <w:p>
            <w:pPr>
              <w:spacing w:after="0" w:line="259" w:lineRule="auto"/>
              <w:rPr>
                <w:rFonts w:hint="default" w:ascii="Times New Roman" w:hAnsi="Times New Roman" w:cs="Times New Roman" w:eastAsiaTheme="minorEastAsia"/>
                <w:kern w:val="2"/>
                <w:sz w:val="28"/>
                <w:szCs w:val="28"/>
                <w:lang w:val="en-US" w:eastAsia="en-IN"/>
                <w14:ligatures w14:val="standardContextual"/>
              </w:rPr>
            </w:pP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3</w:t>
            </w:r>
          </w:p>
        </w:tc>
      </w:tr>
      <w:tr>
        <w:tblPrEx>
          <w:tblCellMar>
            <w:top w:w="16" w:type="dxa"/>
            <w:left w:w="108" w:type="dxa"/>
            <w:bottom w:w="0" w:type="dxa"/>
            <w:right w:w="115" w:type="dxa"/>
          </w:tblCellMar>
        </w:tblPrEx>
        <w:trPr>
          <w:trHeight w:val="843"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2 </w:t>
            </w:r>
          </w:p>
        </w:tc>
        <w:tc>
          <w:tcPr>
            <w:tcW w:w="6961" w:type="dxa"/>
            <w:tcBorders>
              <w:top w:val="single" w:color="000000" w:sz="4" w:space="0"/>
              <w:left w:val="single" w:color="000000" w:sz="4" w:space="0"/>
              <w:bottom w:val="single" w:color="000000" w:sz="4" w:space="0"/>
              <w:right w:val="single" w:color="000000" w:sz="4" w:space="0"/>
            </w:tcBorders>
          </w:tcPr>
          <w:p>
            <w:pPr>
              <w:spacing w:after="0" w:line="259" w:lineRule="auto"/>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Introduction</w:t>
            </w: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4-5</w:t>
            </w:r>
          </w:p>
        </w:tc>
      </w:tr>
      <w:tr>
        <w:tblPrEx>
          <w:tblCellMar>
            <w:top w:w="16" w:type="dxa"/>
            <w:left w:w="108" w:type="dxa"/>
            <w:bottom w:w="0" w:type="dxa"/>
            <w:right w:w="115" w:type="dxa"/>
          </w:tblCellMar>
        </w:tblPrEx>
        <w:trPr>
          <w:trHeight w:val="843"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3 </w:t>
            </w:r>
          </w:p>
        </w:tc>
        <w:tc>
          <w:tcPr>
            <w:tcW w:w="6961" w:type="dxa"/>
            <w:tcBorders>
              <w:top w:val="single" w:color="000000" w:sz="4" w:space="0"/>
              <w:left w:val="single" w:color="000000" w:sz="4" w:space="0"/>
              <w:bottom w:val="single" w:color="000000" w:sz="4" w:space="0"/>
              <w:right w:val="single" w:color="000000" w:sz="4" w:space="0"/>
            </w:tcBorders>
          </w:tcPr>
          <w:p>
            <w:pPr>
              <w:spacing w:after="0" w:line="259" w:lineRule="auto"/>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Significance</w:t>
            </w: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6-7</w:t>
            </w:r>
            <w:r>
              <w:rPr>
                <w:rFonts w:ascii="Times New Roman" w:hAnsi="Times New Roman" w:cs="Times New Roman" w:eastAsiaTheme="minorEastAsia"/>
                <w:kern w:val="2"/>
                <w:sz w:val="28"/>
                <w:szCs w:val="28"/>
                <w:lang w:val="en-IN" w:eastAsia="en-IN"/>
                <w14:ligatures w14:val="standardContextual"/>
              </w:rPr>
              <w:t xml:space="preserve"> </w:t>
            </w:r>
          </w:p>
        </w:tc>
      </w:tr>
      <w:tr>
        <w:tblPrEx>
          <w:tblCellMar>
            <w:top w:w="16" w:type="dxa"/>
            <w:left w:w="108" w:type="dxa"/>
            <w:bottom w:w="0" w:type="dxa"/>
            <w:right w:w="115" w:type="dxa"/>
          </w:tblCellMar>
        </w:tblPrEx>
        <w:trPr>
          <w:trHeight w:val="1039"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4 </w:t>
            </w:r>
          </w:p>
        </w:tc>
        <w:tc>
          <w:tcPr>
            <w:tcW w:w="6961" w:type="dxa"/>
            <w:tcBorders>
              <w:top w:val="single" w:color="000000" w:sz="4" w:space="0"/>
              <w:left w:val="single" w:color="000000" w:sz="4" w:space="0"/>
              <w:bottom w:val="single" w:color="000000" w:sz="4" w:space="0"/>
              <w:right w:val="single" w:color="000000" w:sz="4" w:space="0"/>
            </w:tcBorders>
          </w:tcPr>
          <w:p>
            <w:pPr>
              <w:spacing w:after="0" w:line="240" w:lineRule="auto"/>
              <w:rPr>
                <w:rFonts w:hint="default" w:ascii="Times New Roman" w:hAnsi="Times New Roman" w:cs="Times New Roman" w:eastAsiaTheme="minorEastAsia"/>
                <w:kern w:val="2"/>
                <w:sz w:val="28"/>
                <w:szCs w:val="28"/>
                <w:lang w:val="en-US"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Proposed Methodology</w:t>
            </w:r>
          </w:p>
          <w:p>
            <w:pPr>
              <w:spacing w:after="0" w:line="259" w:lineRule="auto"/>
              <w:rPr>
                <w:rFonts w:ascii="Times New Roman" w:hAnsi="Times New Roman" w:cs="Times New Roman" w:eastAsiaTheme="minorEastAsia"/>
                <w:kern w:val="2"/>
                <w:sz w:val="28"/>
                <w:szCs w:val="28"/>
                <w:lang w:val="en-IN" w:eastAsia="en-IN"/>
                <w14:ligatures w14:val="standardContextual"/>
              </w:rPr>
            </w:pP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hint="default" w:ascii="Times New Roman" w:hAnsi="Times New Roman" w:cs="Times New Roman" w:eastAsiaTheme="minorEastAsia"/>
                <w:kern w:val="2"/>
                <w:sz w:val="28"/>
                <w:szCs w:val="28"/>
                <w:lang w:val="en-US" w:eastAsia="en-IN"/>
                <w14:ligatures w14:val="standardContextual"/>
              </w:rPr>
              <w:t>8-</w:t>
            </w:r>
            <w:r>
              <w:rPr>
                <w:rFonts w:hint="default" w:ascii="Times New Roman" w:hAnsi="Times New Roman" w:cs="Times New Roman" w:eastAsiaTheme="minorEastAsia"/>
                <w:kern w:val="2"/>
                <w:sz w:val="28"/>
                <w:szCs w:val="28"/>
                <w:lang w:val="en-GB" w:eastAsia="en-IN"/>
                <w14:ligatures w14:val="standardContextual"/>
              </w:rPr>
              <w:t>9</w:t>
            </w:r>
            <w:r>
              <w:rPr>
                <w:rFonts w:ascii="Times New Roman" w:hAnsi="Times New Roman" w:cs="Times New Roman" w:eastAsiaTheme="minorEastAsia"/>
                <w:kern w:val="2"/>
                <w:sz w:val="28"/>
                <w:szCs w:val="28"/>
                <w:lang w:val="en-IN" w:eastAsia="en-IN"/>
                <w14:ligatures w14:val="standardContextual"/>
              </w:rPr>
              <w:t xml:space="preserve"> </w:t>
            </w:r>
          </w:p>
        </w:tc>
      </w:tr>
      <w:tr>
        <w:tblPrEx>
          <w:tblCellMar>
            <w:top w:w="16" w:type="dxa"/>
            <w:left w:w="108" w:type="dxa"/>
            <w:bottom w:w="0" w:type="dxa"/>
            <w:right w:w="115" w:type="dxa"/>
          </w:tblCellMar>
        </w:tblPrEx>
        <w:trPr>
          <w:trHeight w:val="1077" w:hRule="atLeast"/>
        </w:trPr>
        <w:tc>
          <w:tcPr>
            <w:tcW w:w="121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 xml:space="preserve">5 </w:t>
            </w:r>
          </w:p>
        </w:tc>
        <w:tc>
          <w:tcPr>
            <w:tcW w:w="6961" w:type="dxa"/>
            <w:tcBorders>
              <w:top w:val="single" w:color="000000" w:sz="4" w:space="0"/>
              <w:left w:val="single" w:color="000000" w:sz="4" w:space="0"/>
              <w:bottom w:val="single" w:color="000000" w:sz="4" w:space="0"/>
              <w:right w:val="single" w:color="000000" w:sz="4" w:space="0"/>
            </w:tcBorders>
          </w:tcPr>
          <w:p>
            <w:pPr>
              <w:spacing w:after="0" w:line="259" w:lineRule="auto"/>
              <w:rPr>
                <w:rFonts w:ascii="Times New Roman" w:hAnsi="Times New Roman" w:cs="Times New Roman" w:eastAsiaTheme="minorEastAsia"/>
                <w:kern w:val="2"/>
                <w:sz w:val="28"/>
                <w:szCs w:val="28"/>
                <w:lang w:val="en-IN"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Results</w:t>
            </w:r>
          </w:p>
          <w:p>
            <w:pPr>
              <w:spacing w:after="0" w:line="259" w:lineRule="auto"/>
              <w:rPr>
                <w:rFonts w:ascii="Times New Roman" w:hAnsi="Times New Roman" w:cs="Times New Roman" w:eastAsiaTheme="minorEastAsia"/>
                <w:kern w:val="2"/>
                <w:sz w:val="28"/>
                <w:szCs w:val="28"/>
                <w:lang w:val="en-IN" w:eastAsia="en-IN"/>
                <w14:ligatures w14:val="standardContextual"/>
              </w:rPr>
            </w:pPr>
          </w:p>
        </w:tc>
        <w:tc>
          <w:tcPr>
            <w:tcW w:w="1559" w:type="dxa"/>
            <w:tcBorders>
              <w:top w:val="single" w:color="000000" w:sz="4" w:space="0"/>
              <w:left w:val="single" w:color="000000" w:sz="4" w:space="0"/>
              <w:bottom w:val="single" w:color="000000" w:sz="4" w:space="0"/>
              <w:right w:val="single" w:color="000000" w:sz="4" w:space="0"/>
            </w:tcBorders>
          </w:tcPr>
          <w:p>
            <w:pPr>
              <w:spacing w:after="0" w:line="259" w:lineRule="auto"/>
              <w:ind w:left="8"/>
              <w:jc w:val="center"/>
              <w:rPr>
                <w:rFonts w:hint="default" w:ascii="Times New Roman" w:hAnsi="Times New Roman" w:cs="Times New Roman" w:eastAsiaTheme="minorEastAsia"/>
                <w:kern w:val="2"/>
                <w:sz w:val="28"/>
                <w:szCs w:val="28"/>
                <w:lang w:val="en-GB" w:eastAsia="en-IN"/>
                <w14:ligatures w14:val="standardContextual"/>
              </w:rPr>
            </w:pPr>
            <w:r>
              <w:rPr>
                <w:rFonts w:ascii="Times New Roman" w:hAnsi="Times New Roman" w:cs="Times New Roman" w:eastAsiaTheme="minorEastAsia"/>
                <w:kern w:val="2"/>
                <w:sz w:val="28"/>
                <w:szCs w:val="28"/>
                <w:lang w:val="en-IN" w:eastAsia="en-IN"/>
                <w14:ligatures w14:val="standardContextual"/>
              </w:rPr>
              <w:t>1</w:t>
            </w:r>
            <w:r>
              <w:rPr>
                <w:rFonts w:hint="default" w:ascii="Times New Roman" w:hAnsi="Times New Roman" w:cs="Times New Roman" w:eastAsiaTheme="minorEastAsia"/>
                <w:kern w:val="2"/>
                <w:sz w:val="28"/>
                <w:szCs w:val="28"/>
                <w:lang w:val="en-US" w:eastAsia="en-IN"/>
                <w14:ligatures w14:val="standardContextual"/>
              </w:rPr>
              <w:t>2-1</w:t>
            </w:r>
            <w:r>
              <w:rPr>
                <w:rFonts w:hint="default" w:ascii="Times New Roman" w:hAnsi="Times New Roman" w:cs="Times New Roman" w:eastAsiaTheme="minorEastAsia"/>
                <w:kern w:val="2"/>
                <w:sz w:val="28"/>
                <w:szCs w:val="28"/>
                <w:lang w:val="en-GB" w:eastAsia="en-IN"/>
                <w14:ligatures w14:val="standardContextual"/>
              </w:rPr>
              <w:t>4</w:t>
            </w:r>
          </w:p>
        </w:tc>
      </w:tr>
    </w:tbl>
    <w:p>
      <w:pPr>
        <w:rPr>
          <w:rFonts w:ascii="Times New Roman" w:hAnsi="Times New Roman" w:cs="Times New Roman"/>
          <w:lang w:val="en-IN"/>
        </w:rPr>
      </w:pPr>
      <w:bookmarkStart w:id="0" w:name="_GoBack"/>
      <w:bookmarkEnd w:id="0"/>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lang w:val="en-IN"/>
        </w:rPr>
      </w:pPr>
    </w:p>
    <w:p>
      <w:pPr>
        <w:rPr>
          <w:rFonts w:ascii="Times New Roman" w:hAnsi="Times New Roman" w:cs="Times New Roman"/>
          <w:sz w:val="28"/>
          <w:szCs w:val="28"/>
          <w:lang w:val="en-IN"/>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GB"/>
        </w:rPr>
        <w:t xml:space="preserve">       </w:t>
      </w:r>
      <w:r>
        <w:rPr>
          <w:rFonts w:hint="default" w:ascii="Times New Roman" w:hAnsi="Times New Roman" w:cs="Times New Roman"/>
          <w:b/>
          <w:bCs/>
          <w:sz w:val="28"/>
          <w:szCs w:val="28"/>
          <w:lang w:val="en-IN"/>
        </w:rPr>
        <w:t xml:space="preserve"> ABSTRACT</w:t>
      </w:r>
    </w:p>
    <w:p>
      <w:pPr>
        <w:rPr>
          <w:rFonts w:hint="default" w:eastAsia="SimSun" w:cs="Arial" w:asciiTheme="majorAscii" w:hAnsiTheme="majorAscii"/>
          <w:i w:val="0"/>
          <w:iCs w:val="0"/>
          <w:caps w:val="0"/>
          <w:color w:val="444444"/>
          <w:spacing w:val="0"/>
          <w:sz w:val="24"/>
          <w:szCs w:val="24"/>
          <w:shd w:val="clear" w:fill="FFFFFF"/>
        </w:rPr>
      </w:pPr>
      <w:r>
        <w:rPr>
          <w:rFonts w:hint="default" w:eastAsia="SimSun" w:cs="Arial" w:asciiTheme="majorAscii" w:hAnsiTheme="majorAscii"/>
          <w:i w:val="0"/>
          <w:iCs w:val="0"/>
          <w:caps w:val="0"/>
          <w:color w:val="444444"/>
          <w:spacing w:val="0"/>
          <w:sz w:val="24"/>
          <w:szCs w:val="24"/>
          <w:shd w:val="clear" w:fill="FFFFFF"/>
        </w:rPr>
        <w:t>Insurance is a policy that helps to cover up all loss or decrease loss in terms of expenses incurred by various risks. A number of variables affect how much insurance costs. These considerations of different factors contribute to the insurance policy cost expression. Machine Learning( ML) in the insurance sector can make insurance more effective.</w:t>
      </w:r>
    </w:p>
    <w:p>
      <w:pPr>
        <w:rPr>
          <w:rFonts w:hint="default" w:eastAsia="SimSun" w:cs="Arial" w:asciiTheme="majorAscii" w:hAnsiTheme="majorAscii"/>
          <w:i w:val="0"/>
          <w:iCs w:val="0"/>
          <w:caps w:val="0"/>
          <w:color w:val="444444"/>
          <w:spacing w:val="0"/>
          <w:sz w:val="24"/>
          <w:szCs w:val="24"/>
          <w:shd w:val="clear" w:fill="FFFFFF"/>
        </w:rPr>
      </w:pPr>
    </w:p>
    <w:p>
      <w:pPr>
        <w:rPr>
          <w:rFonts w:hint="default" w:eastAsia="SimSun" w:cs="Arial" w:asciiTheme="majorAscii" w:hAnsiTheme="majorAscii"/>
          <w:i w:val="0"/>
          <w:iCs w:val="0"/>
          <w:caps w:val="0"/>
          <w:color w:val="444444"/>
          <w:spacing w:val="0"/>
          <w:sz w:val="24"/>
          <w:szCs w:val="24"/>
          <w:shd w:val="clear" w:fill="FFFFFF"/>
        </w:rPr>
      </w:pPr>
      <w:r>
        <w:rPr>
          <w:rFonts w:hint="default" w:eastAsia="SimSun" w:cs="Arial" w:asciiTheme="majorAscii" w:hAnsiTheme="majorAscii"/>
          <w:i w:val="0"/>
          <w:iCs w:val="0"/>
          <w:caps w:val="0"/>
          <w:color w:val="444444"/>
          <w:spacing w:val="0"/>
          <w:sz w:val="24"/>
          <w:szCs w:val="24"/>
          <w:shd w:val="clear" w:fill="FFFFFF"/>
        </w:rPr>
        <w:t xml:space="preserve"> In the domains of computational and applied mathematics the machine learning (ML) is a well-known research area. ML is one of the computational intelligence aspects when it comes to exploitation of historical data that may be addressed in a wide range of applications and systems. There are some limitations in ML so; Predicting medical insurance costs using ML approaches is still a problem in the healthcare industry and thus it requires few more investigation and improvement. Using the machine learning algorithms, this study provides a computational intelligence approach for predicting healthcare insurance costs. </w:t>
      </w:r>
    </w:p>
    <w:p>
      <w:pPr>
        <w:rPr>
          <w:rFonts w:hint="default" w:eastAsia="SimSun" w:cs="Arial" w:asciiTheme="majorAscii" w:hAnsiTheme="majorAscii"/>
          <w:i w:val="0"/>
          <w:iCs w:val="0"/>
          <w:caps w:val="0"/>
          <w:color w:val="444444"/>
          <w:spacing w:val="0"/>
          <w:sz w:val="24"/>
          <w:szCs w:val="24"/>
          <w:shd w:val="clear" w:fill="FFFFFF"/>
        </w:rPr>
      </w:pPr>
    </w:p>
    <w:p>
      <w:pPr>
        <w:rPr>
          <w:rFonts w:hint="default" w:cs="Times New Roman" w:asciiTheme="majorAscii" w:hAnsiTheme="majorAscii"/>
          <w:b/>
          <w:bCs/>
          <w:sz w:val="24"/>
          <w:szCs w:val="24"/>
          <w:lang w:val="en-IN"/>
        </w:rPr>
      </w:pPr>
      <w:r>
        <w:rPr>
          <w:rFonts w:hint="default" w:eastAsia="SimSun" w:cs="Arial" w:asciiTheme="majorAscii" w:hAnsiTheme="majorAscii"/>
          <w:i w:val="0"/>
          <w:iCs w:val="0"/>
          <w:caps w:val="0"/>
          <w:color w:val="444444"/>
          <w:spacing w:val="0"/>
          <w:sz w:val="24"/>
          <w:szCs w:val="24"/>
          <w:shd w:val="clear" w:fill="FFFFFF"/>
        </w:rPr>
        <w:t>The proposed research approach uses Linear Regression, Decision Tree Regression and Gradient Boosting Regression and also streamlit as a framework. We had used a medical insurance cost dataset that was acquired from the KAGGLE repository for the cost prediction purpose, and machine learning methods are used to show the forecasting of insurance costs by regression model comparing their accuracies.</w:t>
      </w:r>
    </w:p>
    <w:p>
      <w:pPr>
        <w:rPr>
          <w:rFonts w:ascii="Times New Roman" w:hAnsi="Times New Roman" w:cs="Times New Roman"/>
          <w:b/>
          <w:bCs/>
          <w:sz w:val="32"/>
          <w:szCs w:val="32"/>
          <w:lang w:val="en-IN"/>
        </w:rPr>
      </w:pPr>
    </w:p>
    <w:p>
      <w:pPr>
        <w:rPr>
          <w:rFonts w:ascii="Times New Roman" w:hAnsi="Times New Roman" w:cs="Times New Roman"/>
          <w:b/>
          <w:bCs/>
          <w:sz w:val="32"/>
          <w:szCs w:val="32"/>
          <w:lang w:val="en-IN"/>
        </w:rPr>
      </w:pPr>
    </w:p>
    <w:p>
      <w:pPr>
        <w:rPr>
          <w:rFonts w:ascii="Times New Roman" w:hAnsi="Times New Roman" w:cs="Times New Roman"/>
          <w:b/>
          <w:bCs/>
          <w:sz w:val="32"/>
          <w:szCs w:val="32"/>
          <w:lang w:val="en-IN"/>
        </w:rPr>
      </w:pPr>
    </w:p>
    <w:p>
      <w:pPr>
        <w:rPr>
          <w:rFonts w:ascii="Times New Roman" w:hAnsi="Times New Roman" w:cs="Times New Roman"/>
          <w:b/>
          <w:bCs/>
          <w:sz w:val="32"/>
          <w:szCs w:val="32"/>
          <w:lang w:val="en-IN"/>
        </w:rPr>
      </w:pPr>
    </w:p>
    <w:p>
      <w:pPr>
        <w:rPr>
          <w:rFonts w:ascii="Times New Roman" w:hAnsi="Times New Roman" w:cs="Times New Roman"/>
          <w:b/>
          <w:bCs/>
          <w:sz w:val="28"/>
          <w:szCs w:val="28"/>
          <w:lang w:val="en-IN"/>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INTRODUCTION</w:t>
      </w:r>
    </w:p>
    <w:p>
      <w:pPr>
        <w:rPr>
          <w:rFonts w:hint="default" w:ascii="Cambria" w:hAnsi="Cambria" w:cs="Cambria"/>
          <w:b/>
          <w:bCs/>
          <w:sz w:val="24"/>
          <w:szCs w:val="24"/>
          <w:lang w:val="en-US"/>
        </w:rPr>
      </w:pPr>
      <w:r>
        <w:rPr>
          <w:rFonts w:hint="default" w:ascii="Cambria" w:hAnsi="Cambria" w:eastAsia="SimSun" w:cs="Cambria"/>
          <w:sz w:val="24"/>
          <w:szCs w:val="24"/>
        </w:rPr>
        <w:t>Medical insurance is a critical component of the healthcare industry, allowing individuals to access necessary medical services without bearing the full cost themselves. However, the calculation of medical insurance premiums can be a complex process, as it depends on several factors such as age, gender, pre-existing medical conditions, lifestyle habits, and geographic location. Inaccurate premium calculations can lead to financial losses for insurance companies or increased premiums for customers, making it crucial to develop accurate prediction models. Machine learning (ML) has emerged as a promising technique for developing predictive models in various domains, including the healthcare industry. By using historical data to learn patterns and relationships between variables, ML models can make accurate predictions on new data. Medical insurance premium prediction is one such task where machine learning can be employed to develop accurate models that consider a wide range of factors affecting premiums. The objective of this research is to develop a machine learning-based prediction model that can accurately estimate medical insurance premiums for individual customers. The research involves exploring different machine learning algorithms and feature engineering techniques to build the prediction model. The performance of the models will be evaluated using different evaluation metrics to select the best model for this task. The scope of this research is to develop a model that can accurately predict the medical insurance premiums for individual customers based on their demographic, lifestyle, and medical history information. The model can be used by insurance companies to streamline their premium calculation process and provide accurate premiums to their customers.</w:t>
      </w:r>
    </w:p>
    <w:p>
      <w:pPr>
        <w:numPr>
          <w:ilvl w:val="1"/>
          <w:numId w:val="1"/>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BACKGROUND</w:t>
      </w:r>
    </w:p>
    <w:p>
      <w:pPr>
        <w:pStyle w:val="11"/>
        <w:keepNext w:val="0"/>
        <w:keepLines w:val="0"/>
        <w:widowControl/>
        <w:suppressLineNumbers w:val="0"/>
        <w:bidi w:val="0"/>
        <w:spacing w:before="0" w:beforeAutospacing="1" w:after="0" w:afterAutospacing="1"/>
        <w:ind w:left="0" w:right="0"/>
        <w:jc w:val="both"/>
        <w:rPr>
          <w:sz w:val="24"/>
          <w:szCs w:val="24"/>
        </w:rPr>
      </w:pPr>
      <w:r>
        <w:rPr>
          <w:rFonts w:hint="default" w:ascii="Cambria" w:hAnsi="Cambria" w:eastAsia="Cambria" w:cs="Cambria"/>
          <w:i w:val="0"/>
          <w:iCs w:val="0"/>
          <w:caps w:val="0"/>
          <w:color w:val="212121"/>
          <w:spacing w:val="0"/>
          <w:sz w:val="24"/>
          <w:szCs w:val="24"/>
          <w:shd w:val="clear" w:fill="FFFFFF"/>
        </w:rPr>
        <w:t>In healthcare, artificial intelligence is capable of completing many medical-related activities at a much quicker rate in order to forecast or diagnose illnesses/injuries effectively and deliver the best medical therapy to the patient. AI may gather data, process it, and offer the appropriate result to the user. This reduces the time it takes to detect diseases and mistakes, allowing the diagnosis–treatment–recovery cycle to be dramatically shortened. For example, if you choose an online consultation with a doctor, chatbots are used by healthcare professionals or organisations to obtain basic information prior to an appointment with the doctor. This assists the doctor in comprehending the problem before beginning the consultation procedure. As a result, both the doctor and the patient save time.</w:t>
      </w:r>
    </w:p>
    <w:p>
      <w:pPr>
        <w:pStyle w:val="11"/>
        <w:keepNext w:val="0"/>
        <w:keepLines w:val="0"/>
        <w:widowControl/>
        <w:suppressLineNumbers w:val="0"/>
        <w:bidi w:val="0"/>
        <w:spacing w:before="0" w:beforeAutospacing="1" w:after="0" w:afterAutospacing="1"/>
        <w:ind w:left="0" w:right="0"/>
        <w:jc w:val="both"/>
        <w:rPr>
          <w:sz w:val="24"/>
          <w:szCs w:val="24"/>
        </w:rPr>
      </w:pPr>
    </w:p>
    <w:p>
      <w:pPr>
        <w:pStyle w:val="11"/>
        <w:keepNext w:val="0"/>
        <w:keepLines w:val="0"/>
        <w:widowControl/>
        <w:suppressLineNumbers w:val="0"/>
        <w:bidi w:val="0"/>
        <w:spacing w:before="0" w:beforeAutospacing="1" w:after="0" w:afterAutospacing="1"/>
        <w:ind w:left="0" w:right="0"/>
        <w:jc w:val="both"/>
        <w:rPr>
          <w:sz w:val="24"/>
          <w:szCs w:val="24"/>
        </w:rPr>
      </w:pPr>
    </w:p>
    <w:p>
      <w:pPr>
        <w:pStyle w:val="11"/>
        <w:keepNext w:val="0"/>
        <w:keepLines w:val="0"/>
        <w:widowControl/>
        <w:suppressLineNumbers w:val="0"/>
        <w:bidi w:val="0"/>
        <w:spacing w:before="0" w:beforeAutospacing="1" w:after="0" w:afterAutospacing="1"/>
        <w:ind w:left="0" w:right="0"/>
        <w:jc w:val="both"/>
        <w:rPr>
          <w:rFonts w:hint="default"/>
          <w:sz w:val="24"/>
          <w:szCs w:val="24"/>
          <w:lang w:val="en-US"/>
        </w:rPr>
      </w:pPr>
    </w:p>
    <w:p>
      <w:pPr>
        <w:numPr>
          <w:ilvl w:val="1"/>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OBJECTIVES</w:t>
      </w:r>
    </w:p>
    <w:p>
      <w:pPr>
        <w:pStyle w:val="11"/>
        <w:keepNext w:val="0"/>
        <w:keepLines w:val="0"/>
        <w:widowControl/>
        <w:suppressLineNumbers w:val="0"/>
        <w:bidi w:val="0"/>
        <w:spacing w:before="0" w:beforeAutospacing="1" w:after="0" w:afterAutospacing="1"/>
        <w:ind w:left="0" w:right="0"/>
      </w:pPr>
    </w:p>
    <w:p>
      <w:pPr>
        <w:pStyle w:val="11"/>
        <w:keepNext w:val="0"/>
        <w:keepLines w:val="0"/>
        <w:widowControl/>
        <w:suppressLineNumbers w:val="0"/>
        <w:bidi w:val="0"/>
        <w:spacing w:before="0" w:beforeAutospacing="1" w:after="0" w:afterAutospacing="1"/>
        <w:ind w:left="0" w:right="0"/>
        <w:jc w:val="both"/>
        <w:rPr>
          <w:rFonts w:hint="default" w:ascii="Times New Roman" w:hAnsi="Times New Roman"/>
          <w:b/>
          <w:bCs/>
          <w:sz w:val="24"/>
          <w:szCs w:val="24"/>
          <w:lang w:val="en-US"/>
        </w:rPr>
      </w:pPr>
      <w:r>
        <w:t xml:space="preserve">The primary objective of this research is to develop and validate predictive models for </w:t>
      </w:r>
      <w:r>
        <w:rPr>
          <w:rFonts w:hint="default"/>
          <w:lang w:val="en-GB"/>
        </w:rPr>
        <w:t xml:space="preserve">medical cost prediction </w:t>
      </w:r>
      <w:r>
        <w:t xml:space="preserve"> using machine learning techniques. The specific goals include:</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 Data Preprocessing:</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preprocessing involves cleaning and transforming raw data into a format suitable for analysis and modeling. This typically includes: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GB"/>
        </w:rPr>
        <w:t>1.</w:t>
      </w:r>
      <w:r>
        <w:rPr>
          <w:rFonts w:hint="default" w:ascii="Times New Roman" w:hAnsi="Times New Roman"/>
          <w:b w:val="0"/>
          <w:bCs w:val="0"/>
          <w:sz w:val="24"/>
          <w:szCs w:val="24"/>
          <w:lang w:val="en-US"/>
        </w:rPr>
        <w:t>Handling missing data: Imputation techniques such as mean, median, or mode imputation, or more advanced methods like KNN imputation.</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GB"/>
        </w:rPr>
        <w:t>2.</w:t>
      </w:r>
      <w:r>
        <w:rPr>
          <w:rFonts w:hint="default" w:ascii="Times New Roman" w:hAnsi="Times New Roman"/>
          <w:b w:val="0"/>
          <w:bCs w:val="0"/>
          <w:sz w:val="24"/>
          <w:szCs w:val="24"/>
          <w:lang w:val="en-US"/>
        </w:rPr>
        <w:t>Encoding categorical variables: Convert categorical variables into numerical representations using techniques like one-hot encoding or label encoding.</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GB"/>
        </w:rPr>
        <w:t>3.</w:t>
      </w:r>
      <w:r>
        <w:rPr>
          <w:rFonts w:hint="default" w:ascii="Times New Roman" w:hAnsi="Times New Roman"/>
          <w:b w:val="0"/>
          <w:bCs w:val="0"/>
          <w:sz w:val="24"/>
          <w:szCs w:val="24"/>
          <w:lang w:val="en-US"/>
        </w:rPr>
        <w:t>Feature scaling: Scaling numerical features to a similar range to prevent certain features from dominating the model training process.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GB"/>
        </w:rPr>
        <w:t>4.</w:t>
      </w:r>
      <w:r>
        <w:rPr>
          <w:rFonts w:hint="default" w:ascii="Times New Roman" w:hAnsi="Times New Roman"/>
          <w:b w:val="0"/>
          <w:bCs w:val="0"/>
          <w:sz w:val="24"/>
          <w:szCs w:val="24"/>
          <w:lang w:val="en-US"/>
        </w:rPr>
        <w:t>Outlier detection and removal: Identifying and handling outliers that might skew the analysis or modeling process.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 Model Development:</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development involves selecting and training a predictive model on preprocessed data. Common models for insurance cost prediction include linear regression, decision trees, random forests, and gradient boosting algorithms like XGBoost or LightGBM.</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3. Anomaly Detection and Failure Mode Analysis: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Anomaly detection involves identifying data points that deviate significantly from the norm. In the context of insurance, anomalies could include unusually high medical costs for a particular individual. Failure mode analysis involves identifying potential failure modes in the predictive model or data preprocessing pipeline and implementing safeguards to mitigate these risks.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 Validation and Testing:</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Validation and testing ensure that the predictive model performs well on unseen data. This typically involves splitting the dataset into training and testing sets, training the model on the training set, and evaluating its performance on the testing set using metrics such as Mean Absolute Error (MAE), Mean Squared Error (MSE), or Root Mean Squared Error (RMSE).</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5. Real-Time Data Integration:</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Real-time data integration involves integrating real-time or streaming data sources into the predictive model. This could include data from wearable devices, electronic health records, or other sources that provide real-time updates on individuals' health status.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6. Holistic Prediction Framework:</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holistic prediction framework encompasses all aspects of the predictive modeling process, from data preprocessing to model development, validation, and deployment. It involves creating a cohesive workflow that integrates various components seamlessly to achieve accurate and reliable predictions.</w:t>
      </w:r>
    </w:p>
    <w:p>
      <w:pPr>
        <w:numPr>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summary, building a predictive model for medical cost insurance prediction involves careful data preprocessing, model development, anomaly detection, validation and testing, real-time data integration, and the implementation of a holistic prediction framework to ensure the model's effectiveness and reliability.</w:t>
      </w:r>
    </w:p>
    <w:p>
      <w:pPr>
        <w:numPr>
          <w:numId w:val="0"/>
        </w:numPr>
        <w:ind w:leftChars="0"/>
        <w:rPr>
          <w:rFonts w:hint="default" w:ascii="Times New Roman" w:hAnsi="Times New Roman"/>
          <w:b w:val="0"/>
          <w:bCs w:val="0"/>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SIGNIFICANCE</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Cost Management for Insurance Providers: Insurance companies can use predictive models to forecast healthcare costs accurately. This enables them to set premiums appropriately, manage financial reserves effectively, and mitigate risks associated with unexpected claims. By understanding the potential healthcare expenses of their policyholders, insurers can optimize their pricing strategies to remain competitive while ensuring financial sustainability.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Resource Allocation in Healthcare Systems: Healthcare providers and policymakers can utilize health cost prediction models to allocate resources efficiently. By forecasting future healthcare expenses, hospitals and healthcare facilities can plan their budgets, staffing levels, and investments in medical equipment and infrastructure more effectively. This ensures that resources are allocated where they are most needed, optimizing patient care and healthcare outcomes.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Disease Prevention and Health Promotion: Predictive models can identify individuals at higher risk of developing certain health conditions or incurring significant healthcare costs in the future. This allows healthcare professionals to intervene proactively with preventive measures, health education programs, and targeted interventions to reduce the likelihood of disease onset or progression. By promoting healthier behaviors and early intervention, health cost prediction contributes to population health management and reduces the overall burden on the healthcare system.</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Personalized Healthcare and Treatment Planning: Health cost prediction models can assist clinicians in personalized treatment planning and decision-making. By analyzing individual patient data, including medical history, lifestyle factors, and genetic predispositions, predictive models can estimate the potential costs associated with different treatment options for specific patients. This enables clinicians to make informed decisions that balance clinical effectiveness with cost considerations, ensuring that patients receive the most appropriate and cost-effective care tailored to their needs.</w:t>
      </w:r>
    </w:p>
    <w:p>
      <w:pPr>
        <w:jc w:val="both"/>
        <w:rPr>
          <w:rFonts w:hint="default" w:ascii="Times New Roman" w:hAnsi="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Healthcare Financing and Policy Development: Health cost prediction informs healthcare financing mechanisms and policy development at both the macro and micro levels. Predictive models provide valuable insights into the drivers of healthcare costs, including demographic trends, disease prevalence, technological advancements, and healthcare utilization patterns. Policymakers can use this information to design and implement policies that address cost drivers, improve healthcare affordability and accessibility, and promote equitable distribution of resources across populations.</w:t>
      </w:r>
    </w:p>
    <w:p>
      <w:pPr>
        <w:jc w:val="both"/>
        <w:rPr>
          <w:rFonts w:hint="default" w:ascii="Times New Roman" w:hAnsi="Times New Roman" w:cs="Times New Roman"/>
          <w:b/>
          <w:bCs/>
          <w:sz w:val="40"/>
          <w:szCs w:val="40"/>
          <w:lang w:val="en-US"/>
        </w:rPr>
      </w:pPr>
    </w:p>
    <w:p>
      <w:pPr>
        <w:jc w:val="both"/>
        <w:rPr>
          <w:rFonts w:hint="default" w:ascii="Times New Roman" w:hAnsi="Times New Roman" w:cs="Times New Roman"/>
          <w:b/>
          <w:bCs/>
          <w:sz w:val="40"/>
          <w:szCs w:val="40"/>
          <w:lang w:val="en-US"/>
        </w:rPr>
      </w:pPr>
    </w:p>
    <w:p>
      <w:pPr>
        <w:jc w:val="both"/>
        <w:rPr>
          <w:rFonts w:hint="default" w:ascii="Times New Roman" w:hAnsi="Times New Roman" w:cs="Times New Roman"/>
          <w:b/>
          <w:bCs/>
          <w:sz w:val="40"/>
          <w:szCs w:val="40"/>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PROPOSED DESIGN/METHODOLOGY</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Collection and Preprocessing:</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GB"/>
        </w:rPr>
        <w:t>1.</w:t>
      </w:r>
      <w:r>
        <w:rPr>
          <w:rFonts w:hint="default" w:ascii="Times New Roman" w:hAnsi="Times New Roman"/>
          <w:b w:val="0"/>
          <w:bCs w:val="0"/>
          <w:sz w:val="24"/>
          <w:szCs w:val="24"/>
          <w:lang w:val="en-US"/>
        </w:rPr>
        <w:t>Data Collection: Gather relevant data sources, including historical medical cost data, demographic information, lifestyle factors, and any other relevant variables.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GB"/>
        </w:rPr>
        <w:t>2.</w:t>
      </w:r>
      <w:r>
        <w:rPr>
          <w:rFonts w:hint="default" w:ascii="Times New Roman" w:hAnsi="Times New Roman"/>
          <w:b w:val="0"/>
          <w:bCs w:val="0"/>
          <w:sz w:val="24"/>
          <w:szCs w:val="24"/>
          <w:lang w:val="en-US"/>
        </w:rPr>
        <w:t>Data Preprocessing: Clean the data to handle missing values, outliers, and inconsistencies. Normalize numerical features and perform feature engineering to create new informative features.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Development:</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GB"/>
        </w:rPr>
        <w:t>1.</w:t>
      </w:r>
      <w:r>
        <w:rPr>
          <w:rFonts w:hint="default" w:ascii="Times New Roman" w:hAnsi="Times New Roman"/>
          <w:b w:val="0"/>
          <w:bCs w:val="0"/>
          <w:sz w:val="24"/>
          <w:szCs w:val="24"/>
          <w:lang w:val="en-US"/>
        </w:rPr>
        <w:t>Logistic Regression: Start with a logistic regression model as a baseline. This simple yet interpretable model can provide insights into the relationship between predictor variables and medical costs.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Supervised Learning Models: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GB"/>
        </w:rPr>
        <w:t>1.</w:t>
      </w:r>
      <w:r>
        <w:rPr>
          <w:rFonts w:hint="default" w:ascii="Times New Roman" w:hAnsi="Times New Roman"/>
          <w:b w:val="0"/>
          <w:bCs w:val="0"/>
          <w:sz w:val="24"/>
          <w:szCs w:val="24"/>
          <w:lang w:val="en-US"/>
        </w:rPr>
        <w:t>Decision Trees and Random Forests: Explore decision tree-based models for their ability to capture complex relationships in the data and handle non-linearity.</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GB"/>
        </w:rPr>
        <w:t>2.</w:t>
      </w:r>
      <w:r>
        <w:rPr>
          <w:rFonts w:hint="default" w:ascii="Times New Roman" w:hAnsi="Times New Roman"/>
          <w:b w:val="0"/>
          <w:bCs w:val="0"/>
          <w:sz w:val="24"/>
          <w:szCs w:val="24"/>
          <w:lang w:val="en-US"/>
        </w:rPr>
        <w:t>Gradient Boosting Machines (GBMs): Utilize GBMs to further improve predictive performance through ensemble learning and gradient boosting techniques.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Hyperparameter Tuning:</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Fine-tune the hyperparameters of each model using techniques like grid search or random search to optimize their performance.</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Cross-Validation:</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Implement cross-validation techniques such as k-fold cross-validation to assess the generalization ability of the models and mitigate overfitting.</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Training and Validation:</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Train the models on the training dataset and validate their performance on the validation dataset. Monitor metrics such as accuracy, precision, recall, and F1-score.</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Integration of Real-Time Data:</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Develop mechanisms for integrating real-time data sources into the predictive modeling pipeline. Implement real-time data processing techniques to handle streaming data efficiently.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Anomaly Detection and Failure Mode Analysis:</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Utilize anomaly detection algorithms to identify unusual patterns or outliers in the data that may indicate errors or anomalies. Perform failure mode analysis to anticipate potential failure scenarios and mitigate risks.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Holistic Predictive Framework:</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Develop a comprehensive predictive framework that integrates all components of the modeling process seamlessly. Ensure scalability, modularity, and interoperability to facilitate future enhancements and extensions.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Validation and Testing:</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Validate the predictive model using a separate test dataset to assess its performance in real-world scenarios. Evaluate metrics such as accuracy, AUC-ROC, and calibration.</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Practical Implementation:</w:t>
      </w:r>
    </w:p>
    <w:p>
      <w:pPr>
        <w:jc w:val="both"/>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US"/>
        </w:rPr>
        <w:t>Integrate the predictive model with existing systems or workflows within insurance companies or healthcare providers. Ensure compatibility, reliability, and ease of use for practical deployment</w:t>
      </w:r>
      <w:r>
        <w:rPr>
          <w:rFonts w:hint="default" w:ascii="Times New Roman" w:hAnsi="Times New Roman"/>
          <w:b w:val="0"/>
          <w:bCs w:val="0"/>
          <w:sz w:val="24"/>
          <w:szCs w:val="24"/>
          <w:lang w:val="en-GB"/>
        </w:rPr>
        <w:t>.</w:t>
      </w:r>
    </w:p>
    <w:p>
      <w:pPr>
        <w:jc w:val="both"/>
        <w:rPr>
          <w:rFonts w:ascii="Times New Roman" w:hAnsi="Times New Roman" w:cs="Times New Roman"/>
          <w:b/>
          <w:bCs/>
          <w:sz w:val="32"/>
          <w:szCs w:val="32"/>
          <w:lang w:val="en-IN"/>
        </w:rPr>
      </w:pPr>
    </w:p>
    <w:p>
      <w:pPr>
        <w:jc w:val="both"/>
        <w:rPr>
          <w:rFonts w:ascii="Times New Roman" w:hAnsi="Times New Roman" w:cs="Times New Roman"/>
          <w:lang w:val="en-IN"/>
        </w:rPr>
      </w:pPr>
    </w:p>
    <w:p>
      <w:pPr>
        <w:jc w:val="both"/>
        <w:rPr>
          <w:rFonts w:ascii="Times New Roman" w:hAnsi="Times New Roman" w:cs="Times New Roman"/>
          <w:lang w:val="en-IN"/>
        </w:rPr>
      </w:pPr>
    </w:p>
    <w:p>
      <w:pPr>
        <w:pStyle w:val="15"/>
        <w:numPr>
          <w:ilvl w:val="0"/>
          <w:numId w:val="0"/>
        </w:numPr>
        <w:rPr>
          <w:rFonts w:ascii="Times New Roman" w:hAnsi="Times New Roman" w:cs="Times New Roman"/>
          <w:sz w:val="24"/>
          <w:szCs w:val="24"/>
          <w:lang w:val="en-IN"/>
        </w:rPr>
      </w:pPr>
    </w:p>
    <w:p>
      <w:pPr>
        <w:pStyle w:val="15"/>
        <w:numPr>
          <w:ilvl w:val="0"/>
          <w:numId w:val="0"/>
        </w:numPr>
        <w:ind w:firstLine="3001" w:firstLineChars="750"/>
        <w:rPr>
          <w:rFonts w:hint="default" w:ascii="Times New Roman" w:hAnsi="Times New Roman" w:cs="Times New Roman"/>
          <w:b/>
          <w:bCs/>
          <w:sz w:val="40"/>
          <w:szCs w:val="40"/>
          <w:lang w:val="en-IN"/>
        </w:rPr>
      </w:pPr>
    </w:p>
    <w:p>
      <w:pPr>
        <w:pStyle w:val="15"/>
        <w:numPr>
          <w:ilvl w:val="0"/>
          <w:numId w:val="0"/>
        </w:numPr>
        <w:ind w:firstLine="3001" w:firstLineChars="750"/>
        <w:rPr>
          <w:rFonts w:hint="default" w:ascii="Times New Roman" w:hAnsi="Times New Roman" w:cs="Times New Roman"/>
          <w:b/>
          <w:bCs/>
          <w:sz w:val="40"/>
          <w:szCs w:val="40"/>
          <w:lang w:val="en-IN"/>
        </w:rPr>
      </w:pPr>
    </w:p>
    <w:p>
      <w:pPr>
        <w:pStyle w:val="15"/>
        <w:numPr>
          <w:ilvl w:val="0"/>
          <w:numId w:val="0"/>
        </w:numPr>
        <w:ind w:firstLine="3001" w:firstLineChars="750"/>
        <w:rPr>
          <w:rFonts w:hint="default" w:ascii="Times New Roman" w:hAnsi="Times New Roman" w:cs="Times New Roman"/>
          <w:b/>
          <w:bCs/>
          <w:sz w:val="40"/>
          <w:szCs w:val="40"/>
          <w:lang w:val="en-IN"/>
        </w:rPr>
      </w:pPr>
    </w:p>
    <w:p>
      <w:pPr>
        <w:pStyle w:val="15"/>
        <w:numPr>
          <w:ilvl w:val="0"/>
          <w:numId w:val="0"/>
        </w:numPr>
        <w:ind w:firstLine="3001" w:firstLineChars="750"/>
        <w:rPr>
          <w:rFonts w:hint="default" w:ascii="Times New Roman" w:hAnsi="Times New Roman" w:cs="Times New Roman"/>
          <w:b/>
          <w:bCs/>
          <w:sz w:val="40"/>
          <w:szCs w:val="40"/>
          <w:lang w:val="en-IN"/>
        </w:rPr>
      </w:pPr>
    </w:p>
    <w:p>
      <w:pPr>
        <w:pStyle w:val="15"/>
        <w:numPr>
          <w:ilvl w:val="0"/>
          <w:numId w:val="0"/>
        </w:numPr>
        <w:ind w:firstLine="3402" w:firstLineChars="850"/>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RESULTS</w:t>
      </w:r>
    </w:p>
    <w:p>
      <w:pPr>
        <w:pStyle w:val="15"/>
        <w:numPr>
          <w:ilvl w:val="0"/>
          <w:numId w:val="0"/>
        </w:numPr>
        <w:ind w:firstLine="3001" w:firstLineChars="750"/>
        <w:rPr>
          <w:rFonts w:hint="default" w:ascii="Times New Roman" w:hAnsi="Times New Roman" w:cs="Times New Roman"/>
          <w:b/>
          <w:bCs/>
          <w:sz w:val="40"/>
          <w:szCs w:val="40"/>
          <w:lang w:val="en-IN"/>
        </w:rPr>
      </w:pPr>
    </w:p>
    <w:p>
      <w:pPr>
        <w:pStyle w:val="15"/>
        <w:numPr>
          <w:ilvl w:val="0"/>
          <w:numId w:val="0"/>
        </w:numPr>
      </w:pPr>
    </w:p>
    <w:p>
      <w:pPr>
        <w:pStyle w:val="15"/>
        <w:numPr>
          <w:ilvl w:val="0"/>
          <w:numId w:val="0"/>
        </w:numPr>
      </w:pPr>
      <w:r>
        <w:drawing>
          <wp:inline distT="0" distB="0" distL="114300" distR="114300">
            <wp:extent cx="9624695" cy="3869690"/>
            <wp:effectExtent l="0" t="0" r="14605" b="165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8"/>
                    <a:stretch>
                      <a:fillRect/>
                    </a:stretch>
                  </pic:blipFill>
                  <pic:spPr>
                    <a:xfrm>
                      <a:off x="0" y="0"/>
                      <a:ext cx="9624695" cy="3869690"/>
                    </a:xfrm>
                    <a:prstGeom prst="rect">
                      <a:avLst/>
                    </a:prstGeom>
                    <a:noFill/>
                    <a:ln>
                      <a:noFill/>
                    </a:ln>
                  </pic:spPr>
                </pic:pic>
              </a:graphicData>
            </a:graphic>
          </wp:inline>
        </w:drawing>
      </w: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r>
        <w:drawing>
          <wp:inline distT="0" distB="0" distL="114300" distR="114300">
            <wp:extent cx="5932805" cy="3956685"/>
            <wp:effectExtent l="0" t="0" r="10795"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
                    <a:stretch>
                      <a:fillRect/>
                    </a:stretch>
                  </pic:blipFill>
                  <pic:spPr>
                    <a:xfrm>
                      <a:off x="0" y="0"/>
                      <a:ext cx="5932805" cy="3956685"/>
                    </a:xfrm>
                    <a:prstGeom prst="rect">
                      <a:avLst/>
                    </a:prstGeom>
                    <a:noFill/>
                    <a:ln>
                      <a:noFill/>
                    </a:ln>
                  </pic:spPr>
                </pic:pic>
              </a:graphicData>
            </a:graphic>
          </wp:inline>
        </w:drawing>
      </w: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r>
        <w:drawing>
          <wp:inline distT="0" distB="0" distL="114300" distR="114300">
            <wp:extent cx="5939790" cy="4666615"/>
            <wp:effectExtent l="0" t="0" r="3810" b="63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0"/>
                    <a:stretch>
                      <a:fillRect/>
                    </a:stretch>
                  </pic:blipFill>
                  <pic:spPr>
                    <a:xfrm>
                      <a:off x="0" y="0"/>
                      <a:ext cx="5939790" cy="4666615"/>
                    </a:xfrm>
                    <a:prstGeom prst="rect">
                      <a:avLst/>
                    </a:prstGeom>
                    <a:noFill/>
                    <a:ln>
                      <a:noFill/>
                    </a:ln>
                  </pic:spPr>
                </pic:pic>
              </a:graphicData>
            </a:graphic>
          </wp:inline>
        </w:drawing>
      </w: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p>
    <w:p>
      <w:pPr>
        <w:pStyle w:val="15"/>
        <w:numPr>
          <w:ilvl w:val="0"/>
          <w:numId w:val="0"/>
        </w:numPr>
      </w:pPr>
    </w:p>
    <w:p>
      <w:pPr>
        <w:pStyle w:val="15"/>
        <w:numPr>
          <w:ilvl w:val="0"/>
          <w:numId w:val="0"/>
        </w:numPr>
        <w:rPr>
          <w:rFonts w:hint="default"/>
          <w:lang w:val="en-IN"/>
        </w:rPr>
      </w:pPr>
      <w:r>
        <w:drawing>
          <wp:inline distT="0" distB="0" distL="114300" distR="114300">
            <wp:extent cx="5934075" cy="4733290"/>
            <wp:effectExtent l="0" t="0" r="952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34075" cy="4733290"/>
                    </a:xfrm>
                    <a:prstGeom prst="rect">
                      <a:avLst/>
                    </a:prstGeom>
                    <a:noFill/>
                    <a:ln>
                      <a:noFill/>
                    </a:ln>
                  </pic:spPr>
                </pic:pic>
              </a:graphicData>
            </a:graphic>
          </wp:inline>
        </w:drawing>
      </w:r>
      <w:r>
        <w:drawing>
          <wp:inline distT="0" distB="0" distL="114300" distR="114300">
            <wp:extent cx="5937250" cy="3872230"/>
            <wp:effectExtent l="0" t="0" r="6350" b="1397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2"/>
                    <a:stretch>
                      <a:fillRect/>
                    </a:stretch>
                  </pic:blipFill>
                  <pic:spPr>
                    <a:xfrm>
                      <a:off x="0" y="0"/>
                      <a:ext cx="5937250" cy="3872230"/>
                    </a:xfrm>
                    <a:prstGeom prst="rect">
                      <a:avLst/>
                    </a:prstGeom>
                    <a:noFill/>
                    <a:ln>
                      <a:noFill/>
                    </a:ln>
                  </pic:spPr>
                </pic:pic>
              </a:graphicData>
            </a:graphic>
          </wp:inline>
        </w:drawing>
      </w:r>
    </w:p>
    <w:sectPr>
      <w:footerReference r:id="rId5" w:type="default"/>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egoe UI Variable Display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0704986"/>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649334"/>
    <w:multiLevelType w:val="multilevel"/>
    <w:tmpl w:val="2164933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80F42"/>
    <w:rsid w:val="0009144A"/>
    <w:rsid w:val="000A3FBA"/>
    <w:rsid w:val="000C2218"/>
    <w:rsid w:val="000C2428"/>
    <w:rsid w:val="000C3BE6"/>
    <w:rsid w:val="000C4127"/>
    <w:rsid w:val="000D1938"/>
    <w:rsid w:val="000D7CDD"/>
    <w:rsid w:val="000F19AD"/>
    <w:rsid w:val="000F7B63"/>
    <w:rsid w:val="0010496A"/>
    <w:rsid w:val="00104EB6"/>
    <w:rsid w:val="00114037"/>
    <w:rsid w:val="001243CC"/>
    <w:rsid w:val="0014785E"/>
    <w:rsid w:val="0017322C"/>
    <w:rsid w:val="00174808"/>
    <w:rsid w:val="00174F2F"/>
    <w:rsid w:val="001805B8"/>
    <w:rsid w:val="00181393"/>
    <w:rsid w:val="001A06BB"/>
    <w:rsid w:val="001A3B8B"/>
    <w:rsid w:val="001B01E5"/>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4A16"/>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A2A53"/>
    <w:rsid w:val="006A56E6"/>
    <w:rsid w:val="007053B8"/>
    <w:rsid w:val="0071337E"/>
    <w:rsid w:val="00731AD1"/>
    <w:rsid w:val="00772BED"/>
    <w:rsid w:val="00776E6D"/>
    <w:rsid w:val="00783279"/>
    <w:rsid w:val="00786C22"/>
    <w:rsid w:val="007A3198"/>
    <w:rsid w:val="007B3503"/>
    <w:rsid w:val="007C0C12"/>
    <w:rsid w:val="007C76B6"/>
    <w:rsid w:val="00804829"/>
    <w:rsid w:val="0081578F"/>
    <w:rsid w:val="0082651E"/>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455A6"/>
    <w:rsid w:val="009510B6"/>
    <w:rsid w:val="00966034"/>
    <w:rsid w:val="00967563"/>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6CAA"/>
    <w:rsid w:val="00D2655B"/>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35C2B"/>
    <w:rsid w:val="00E40F43"/>
    <w:rsid w:val="00E47E52"/>
    <w:rsid w:val="00E544F0"/>
    <w:rsid w:val="00E55427"/>
    <w:rsid w:val="00E649A8"/>
    <w:rsid w:val="00E851CE"/>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7025F"/>
    <w:rsid w:val="00F81078"/>
    <w:rsid w:val="00F8748B"/>
    <w:rsid w:val="00F927F7"/>
    <w:rsid w:val="00FA2E8A"/>
    <w:rsid w:val="00FA7E15"/>
    <w:rsid w:val="00FD481C"/>
    <w:rsid w:val="00FF564E"/>
    <w:rsid w:val="04027CC0"/>
    <w:rsid w:val="07FC01F7"/>
    <w:rsid w:val="0FC93BAD"/>
    <w:rsid w:val="33C41F52"/>
    <w:rsid w:val="62123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4"/>
    <w:unhideWhenUsed/>
    <w:qFormat/>
    <w:uiPriority w:val="9"/>
    <w:pPr>
      <w:keepNext/>
      <w:keepLines/>
      <w:spacing w:before="200" w:after="0" w:line="259" w:lineRule="auto"/>
      <w:outlineLvl w:val="1"/>
    </w:pPr>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3">
    <w:name w:val="heading 3"/>
    <w:basedOn w:val="1"/>
    <w:next w:val="1"/>
    <w:link w:val="19"/>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3"/>
    <w:semiHidden/>
    <w:unhideWhenUsed/>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uiPriority w:val="99"/>
    <w:pPr>
      <w:tabs>
        <w:tab w:val="center" w:pos="4680"/>
        <w:tab w:val="right" w:pos="9360"/>
      </w:tabs>
      <w:spacing w:after="0" w:line="240" w:lineRule="auto"/>
    </w:pPr>
  </w:style>
  <w:style w:type="character" w:styleId="10">
    <w:name w:val="Hyperlink"/>
    <w:basedOn w:val="4"/>
    <w:unhideWhenUsed/>
    <w:qFormat/>
    <w:uiPriority w:val="99"/>
    <w:rPr>
      <w:color w:val="0000FF" w:themeColor="hyperlink"/>
      <w:u w:val="single"/>
      <w14:textFill>
        <w14:solidFill>
          <w14:schemeClr w14:val="hlink"/>
        </w14:solidFill>
      </w14:textFill>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character" w:customStyle="1" w:styleId="13">
    <w:name w:val="Balloon Text Char"/>
    <w:basedOn w:val="4"/>
    <w:link w:val="6"/>
    <w:semiHidden/>
    <w:qFormat/>
    <w:uiPriority w:val="99"/>
    <w:rPr>
      <w:rFonts w:ascii="Tahoma" w:hAnsi="Tahoma" w:cs="Tahoma"/>
      <w:sz w:val="16"/>
      <w:szCs w:val="16"/>
    </w:rPr>
  </w:style>
  <w:style w:type="character" w:customStyle="1" w:styleId="14">
    <w:name w:val="Heading 2 Char"/>
    <w:basedOn w:val="4"/>
    <w:link w:val="2"/>
    <w:qFormat/>
    <w:uiPriority w:val="9"/>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15">
    <w:name w:val="List Paragraph"/>
    <w:basedOn w:val="1"/>
    <w:qFormat/>
    <w:uiPriority w:val="34"/>
    <w:pPr>
      <w:ind w:left="720"/>
      <w:contextualSpacing/>
    </w:pPr>
  </w:style>
  <w:style w:type="character" w:customStyle="1" w:styleId="16">
    <w:name w:val="Header Char"/>
    <w:basedOn w:val="4"/>
    <w:link w:val="9"/>
    <w:qFormat/>
    <w:uiPriority w:val="99"/>
  </w:style>
  <w:style w:type="character" w:customStyle="1" w:styleId="17">
    <w:name w:val="Footer Char"/>
    <w:basedOn w:val="4"/>
    <w:link w:val="8"/>
    <w:uiPriority w:val="99"/>
  </w:style>
  <w:style w:type="character" w:customStyle="1" w:styleId="18">
    <w:name w:val="t"/>
    <w:basedOn w:val="4"/>
    <w:uiPriority w:val="0"/>
  </w:style>
  <w:style w:type="character" w:customStyle="1" w:styleId="19">
    <w:name w:val="Heading 3 Char"/>
    <w:basedOn w:val="4"/>
    <w:link w:val="3"/>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table" w:customStyle="1" w:styleId="20">
    <w:name w:val="TableGrid"/>
    <w:qFormat/>
    <w:uiPriority w:val="0"/>
    <w:pPr>
      <w:spacing w:after="0" w:line="240" w:lineRule="auto"/>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21">
    <w:name w:val="Unresolved Mention"/>
    <w:basedOn w:val="4"/>
    <w:semiHidden/>
    <w:unhideWhenUsed/>
    <w:qFormat/>
    <w:uiPriority w:val="99"/>
    <w:rPr>
      <w:color w:val="605E5C"/>
      <w:shd w:val="clear" w:color="auto" w:fill="E1DFDD"/>
    </w:rPr>
  </w:style>
  <w:style w:type="paragraph" w:styleId="22">
    <w:name w:val=""/>
    <w:basedOn w:val="1"/>
    <w:next w:val="1"/>
    <w:uiPriority w:val="0"/>
    <w:pPr>
      <w:pBdr>
        <w:bottom w:val="single" w:color="auto" w:sz="6" w:space="1"/>
      </w:pBdr>
      <w:jc w:val="center"/>
    </w:pPr>
    <w:rPr>
      <w:rFonts w:ascii="Arial" w:eastAsia="SimSun"/>
      <w:vanish/>
      <w:sz w:val="16"/>
    </w:rPr>
  </w:style>
  <w:style w:type="paragraph" w:styleId="23">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datastoreItem>
</file>

<file path=docProps/app.xml><?xml version="1.0" encoding="utf-8"?>
<Properties xmlns="http://schemas.openxmlformats.org/officeDocument/2006/extended-properties" xmlns:vt="http://schemas.openxmlformats.org/officeDocument/2006/docPropsVTypes">
  <Template>Normal</Template>
  <Pages>14</Pages>
  <Words>2760</Words>
  <Characters>15732</Characters>
  <Lines>131</Lines>
  <Paragraphs>36</Paragraphs>
  <TotalTime>3</TotalTime>
  <ScaleCrop>false</ScaleCrop>
  <LinksUpToDate>false</LinksUpToDate>
  <CharactersWithSpaces>18456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2024-04-29T19:03:00Z</dcterms:created>
  <dc:creator>FEE-II, 22CS0014</dc:creator>
  <cp:lastModifiedBy>Sneha Chhabra</cp:lastModifiedBy>
  <dcterms:modified xsi:type="dcterms:W3CDTF">2024-05-14T17:58:11Z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1033-12.2.0.16909</vt:lpwstr>
  </property>
  <property fmtid="{D5CDD505-2E9C-101B-9397-08002B2CF9AE}" pid="4" name="ICV">
    <vt:lpwstr>102BB291B73B4061BE43C9FA46E06154_13</vt:lpwstr>
  </property>
</Properties>
</file>