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jc w:val="center"/>
      </w:pPr>
      <w:r>
        <w:rPr>
          <w:rFonts w:ascii="Arial" w:cs="Arial" w:eastAsia="Arial" w:hAnsi="Arial"/>
          <w:b/>
          <w:bCs/>
          <w:color w:val="1E2761"/>
          <w:sz w:val="48"/>
          <w:szCs w:val="48"/>
        </w:rPr>
        <w:t xml:space="preserve">MODEL METHODOLOGY DOCUMENT</w:t>
      </w:r>
    </w:p>
    <w:p>
      <w:pPr>
        <w:spacing w:after="60"/>
        <w:jc w:val="center"/>
      </w:pPr>
      <w:r>
        <w:rPr>
          <w:rFonts w:ascii="Arial" w:cs="Arial" w:eastAsia="Arial" w:hAnsi="Arial"/>
          <w:color w:val="2563EB"/>
          <w:sz w:val="36"/>
          <w:szCs w:val="36"/>
        </w:rPr>
        <w:t xml:space="preserve">IFRS 9 Expected Credit Loss (ECL) Model</w:t>
      </w:r>
    </w:p>
    <w:p>
      <w:pPr>
        <w:spacing w:after="720"/>
        <w:jc w:val="center"/>
      </w:pPr>
      <w:r>
        <w:rPr>
          <w:rFonts w:ascii="Arial" w:cs="Arial" w:eastAsia="Arial" w:hAnsi="Arial"/>
          <w:i/>
          <w:iCs/>
          <w:color w:val="64748B"/>
          <w:sz w:val="22"/>
          <w:szCs w:val="22"/>
        </w:rPr>
        <w:t xml:space="preserve">Version 1.0  |  March 2026  |  Risk &amp; Finance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70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Model Methodology Document (MMD)</w:t>
            </w:r>
          </w:p>
        </w:tc>
      </w:tr>
      <w:tr>
        <w:tc>
          <w:tcPr>
            <w:tcW w:type="dxa" w:w="23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sz w:val="20"/>
                <w:szCs w:val="20"/>
              </w:rPr>
              <w:t xml:space="preserve">Model Name</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IFRS 9 ECL – Merton PD Framework</w:t>
            </w:r>
          </w:p>
        </w:tc>
      </w:tr>
      <w:tr>
        <w:tc>
          <w:tcPr>
            <w:tcW w:type="dxa" w:w="23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sz w:val="20"/>
                <w:szCs w:val="20"/>
              </w:rPr>
              <w:t xml:space="preserve">Model Version</w:t>
            </w:r>
          </w:p>
        </w:tc>
        <w:tc>
          <w:tcPr>
            <w:tcW w:type="dxa" w:w="70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3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sz w:val="20"/>
                <w:szCs w:val="20"/>
              </w:rPr>
              <w:t xml:space="preserve">Portfolio Scope</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Retail &amp; SME Loan Portfolio – 3,000 exposures</w:t>
            </w:r>
          </w:p>
        </w:tc>
      </w:tr>
      <w:tr>
        <w:tc>
          <w:tcPr>
            <w:tcW w:type="dxa" w:w="23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sz w:val="20"/>
                <w:szCs w:val="20"/>
              </w:rPr>
              <w:t xml:space="preserve">Reporting Periods</w:t>
            </w:r>
          </w:p>
        </w:tc>
        <w:tc>
          <w:tcPr>
            <w:tcW w:type="dxa" w:w="70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Origination + 9 quarterly periods (Q1–Q9)</w:t>
            </w:r>
          </w:p>
        </w:tc>
      </w:tr>
      <w:tr>
        <w:tc>
          <w:tcPr>
            <w:tcW w:type="dxa" w:w="23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Risk &amp; Finance Analytics</w:t>
            </w:r>
          </w:p>
        </w:tc>
      </w:tr>
      <w:tr>
        <w:tc>
          <w:tcPr>
            <w:tcW w:type="dxa" w:w="23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sz w:val="20"/>
                <w:szCs w:val="20"/>
              </w:rPr>
              <w:t xml:space="preserve">Review Status</w:t>
            </w:r>
          </w:p>
        </w:tc>
        <w:tc>
          <w:tcPr>
            <w:tcW w:type="dxa" w:w="70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Draft – Pending Model Validation Committee</w:t>
            </w:r>
          </w:p>
        </w:tc>
      </w:tr>
      <w:tr>
        <w:tc>
          <w:tcPr>
            <w:tcW w:type="dxa" w:w="23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Confidential</w:t>
            </w:r>
          </w:p>
        </w:tc>
      </w:tr>
    </w:tbl>
    <w:p>
      <w:r>
        <w:br/>
      </w:r>
    </w:p>
    <w:p>
      <w:pPr>
        <w:pStyle w:val="Heading1"/>
        <w:spacing w:before="360" w:after="120"/>
      </w:pPr>
      <w:r>
        <w:rPr>
          <w:rFonts w:ascii="Arial" w:cs="Arial" w:eastAsia="Arial" w:hAnsi="Arial"/>
          <w:b/>
          <w:bCs/>
          <w:color w:val="1E2761"/>
          <w:sz w:val="28"/>
          <w:szCs w:val="28"/>
        </w:rPr>
        <w:t xml:space="preserve">1. Executive Summary</w:t>
      </w:r>
    </w:p>
    <w:p>
      <w:pPr>
        <w:spacing w:after="120"/>
      </w:pPr>
      <w:r>
        <w:rPr>
          <w:rFonts w:ascii="Arial" w:cs="Arial" w:eastAsia="Arial" w:hAnsi="Arial"/>
          <w:color w:val="1E293B"/>
          <w:sz w:val="22"/>
          <w:szCs w:val="22"/>
        </w:rPr>
        <w:t xml:space="preserve">This document describes the methodology underlying the IFRS 9 Expected Credit Loss (ECL) model developed for a portfolio of 3,000 loans. The model is designed to comply with the requirements of IFRS 9 Financial Instruments (paragraph 5.5) and produces forward-looking, probability-weighted credit loss estimates across three stages of credit deterioration.</w:t>
      </w:r>
    </w:p>
    <w:p>
      <w:pPr>
        <w:spacing w:after="120"/>
      </w:pPr>
      <w:r>
        <w:rPr>
          <w:rFonts w:ascii="Arial" w:cs="Arial" w:eastAsia="Arial" w:hAnsi="Arial"/>
          <w:color w:val="1E293B"/>
          <w:sz w:val="22"/>
          <w:szCs w:val="22"/>
        </w:rPr>
        <w:t xml:space="preserve">The model applies the Merton single-factor structural framework to convert Through-the-Cycle Probability of Default (TTC PD) into Point-in-Time (PIT) PD estimates conditioned on quarterly macroeconomic Z-scores. ECL is computed as the product of PD, Loss Given Default (LGD), and Exposure at Default (EAD), discounted at the Effective Interest Rate (EIR).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00"/>
              <w:left w:type="dxa" w:w="180"/>
              <w:bottom w:type="dxa" w:w="100"/>
              <w:right w:type="dxa" w:w="180"/>
            </w:tcMar>
          </w:tcPr>
          <w:p>
            <w:pPr>
              <w:spacing w:after="60"/>
            </w:pPr>
            <w:r>
              <w:rPr>
                <w:rFonts w:ascii="Arial" w:cs="Arial" w:eastAsia="Arial" w:hAnsi="Arial"/>
                <w:b/>
                <w:bCs/>
                <w:color w:val="2563EB"/>
                <w:sz w:val="22"/>
                <w:szCs w:val="22"/>
              </w:rPr>
              <w:t xml:space="preserve">Key Outputs</w:t>
            </w:r>
          </w:p>
          <w:p>
            <w:pPr>
              <w:spacing w:after="0"/>
            </w:pPr>
            <w:r>
              <w:rPr>
                <w:rFonts w:ascii="Arial" w:cs="Arial" w:eastAsia="Arial" w:hAnsi="Arial"/>
                <w:color w:val="1E293B"/>
                <w:sz w:val="21"/>
                <w:szCs w:val="21"/>
              </w:rPr>
              <w:t xml:space="preserve">Total Portfolio: £4.85bn  |  Total Provision: £61.3M  |  Provision Rate: 1.38%  |  Stage 1 ECL: £59.9M  |  Stage 3 ECL: £1.4M</w:t>
            </w:r>
          </w:p>
        </w:tc>
      </w:tr>
    </w:tbl>
    <w:p>
      <w:pPr>
        <w:spacing w:after="0"/>
      </w:pPr>
    </w:p>
    <w:p>
      <w:pPr>
        <w:pStyle w:val="Heading1"/>
        <w:spacing w:before="360" w:after="120"/>
      </w:pPr>
      <w:r>
        <w:rPr>
          <w:rFonts w:ascii="Arial" w:cs="Arial" w:eastAsia="Arial" w:hAnsi="Arial"/>
          <w:b/>
          <w:bCs/>
          <w:color w:val="1E2761"/>
          <w:sz w:val="28"/>
          <w:szCs w:val="28"/>
        </w:rPr>
        <w:t xml:space="preserve">2. Regulatory &amp; Accounting Framework</w:t>
      </w:r>
    </w:p>
    <w:p>
      <w:pPr>
        <w:pStyle w:val="Heading2"/>
        <w:spacing w:before="240" w:after="80"/>
      </w:pPr>
      <w:r>
        <w:rPr>
          <w:rFonts w:ascii="Arial" w:cs="Arial" w:eastAsia="Arial" w:hAnsi="Arial"/>
          <w:b/>
          <w:bCs/>
          <w:color w:val="2563EB"/>
          <w:sz w:val="24"/>
          <w:szCs w:val="24"/>
        </w:rPr>
        <w:t xml:space="preserve">2.1 IFRS 9 Three-Stage Model</w:t>
      </w:r>
    </w:p>
    <w:p>
      <w:pPr>
        <w:spacing w:after="120"/>
      </w:pPr>
      <w:r>
        <w:rPr>
          <w:rFonts w:ascii="Arial" w:cs="Arial" w:eastAsia="Arial" w:hAnsi="Arial"/>
          <w:color w:val="1E293B"/>
          <w:sz w:val="22"/>
          <w:szCs w:val="22"/>
        </w:rPr>
        <w:t xml:space="preserve">IFRS 9 requires an entity to recognise impairment allowances based on the stage of credit quality deterioration since initial recognition:</w:t>
      </w:r>
    </w:p>
    <w:p>
      <w:pPr>
        <w:pStyle w:val="ListParagraph"/>
        <w:numPr>
          <w:ilvl w:val="0"/>
          <w:numId w:val="2"/>
        </w:numPr>
        <w:spacing w:after="60"/>
      </w:pPr>
      <w:r>
        <w:rPr>
          <w:rFonts w:ascii="Arial" w:cs="Arial" w:eastAsia="Arial" w:hAnsi="Arial"/>
          <w:color w:val="1E293B"/>
          <w:sz w:val="22"/>
          <w:szCs w:val="22"/>
        </w:rPr>
        <w:t xml:space="preserve">Stage 1 – Performing: No significant increase in credit risk (SICR) since origination. Allowance = 12-month ECL (expected credit losses from default events within 12 months).</w:t>
      </w:r>
    </w:p>
    <w:p>
      <w:pPr>
        <w:pStyle w:val="ListParagraph"/>
        <w:numPr>
          <w:ilvl w:val="0"/>
          <w:numId w:val="2"/>
        </w:numPr>
        <w:spacing w:after="60"/>
      </w:pPr>
      <w:r>
        <w:rPr>
          <w:rFonts w:ascii="Arial" w:cs="Arial" w:eastAsia="Arial" w:hAnsi="Arial"/>
          <w:color w:val="1E293B"/>
          <w:sz w:val="22"/>
          <w:szCs w:val="22"/>
        </w:rPr>
        <w:t xml:space="preserve">Stage 2 – Underperforming: Significant increase in credit risk since origination, but not yet credit-impaired. Allowance = Lifetime ECL.</w:t>
      </w:r>
    </w:p>
    <w:p>
      <w:pPr>
        <w:pStyle w:val="ListParagraph"/>
        <w:numPr>
          <w:ilvl w:val="0"/>
          <w:numId w:val="2"/>
        </w:numPr>
        <w:spacing w:after="60"/>
      </w:pPr>
      <w:r>
        <w:rPr>
          <w:rFonts w:ascii="Arial" w:cs="Arial" w:eastAsia="Arial" w:hAnsi="Arial"/>
          <w:color w:val="1E293B"/>
          <w:sz w:val="22"/>
          <w:szCs w:val="22"/>
        </w:rPr>
        <w:t xml:space="preserve">Stage 3 – Credit-impaired: Objective evidence of impairment (e.g., missed payments, default). Allowance = Lifetime ECL on a credit-impaired basis.</w:t>
      </w:r>
    </w:p>
    <w:p>
      <w:pPr>
        <w:spacing w:after="0"/>
      </w:pPr>
    </w:p>
    <w:p>
      <w:pPr>
        <w:pStyle w:val="Heading2"/>
        <w:spacing w:before="240" w:after="80"/>
      </w:pPr>
      <w:r>
        <w:rPr>
          <w:rFonts w:ascii="Arial" w:cs="Arial" w:eastAsia="Arial" w:hAnsi="Arial"/>
          <w:b/>
          <w:bCs/>
          <w:color w:val="2563EB"/>
          <w:sz w:val="24"/>
          <w:szCs w:val="24"/>
        </w:rPr>
        <w:t xml:space="preserve">2.2 Key IFRS 9 Requirements</w:t>
      </w:r>
    </w:p>
    <w:p>
      <w:pPr>
        <w:pStyle w:val="ListParagraph"/>
        <w:numPr>
          <w:ilvl w:val="0"/>
          <w:numId w:val="2"/>
        </w:numPr>
        <w:spacing w:after="60"/>
      </w:pPr>
      <w:r>
        <w:rPr>
          <w:rFonts w:ascii="Arial" w:cs="Arial" w:eastAsia="Arial" w:hAnsi="Arial"/>
          <w:color w:val="1E293B"/>
          <w:sz w:val="22"/>
          <w:szCs w:val="22"/>
        </w:rPr>
        <w:t xml:space="preserve">Forward-looking: ECL must incorporate forward-looking macroeconomic information (IFRS 9 B5.5.51).</w:t>
      </w:r>
    </w:p>
    <w:p>
      <w:pPr>
        <w:pStyle w:val="ListParagraph"/>
        <w:numPr>
          <w:ilvl w:val="0"/>
          <w:numId w:val="2"/>
        </w:numPr>
        <w:spacing w:after="60"/>
      </w:pPr>
      <w:r>
        <w:rPr>
          <w:rFonts w:ascii="Arial" w:cs="Arial" w:eastAsia="Arial" w:hAnsi="Arial"/>
          <w:color w:val="1E293B"/>
          <w:sz w:val="22"/>
          <w:szCs w:val="22"/>
        </w:rPr>
        <w:t xml:space="preserve">Probability-weighted: Multiple economic scenarios must be probability-weighted (B5.5.41).</w:t>
      </w:r>
    </w:p>
    <w:p>
      <w:pPr>
        <w:pStyle w:val="ListParagraph"/>
        <w:numPr>
          <w:ilvl w:val="0"/>
          <w:numId w:val="2"/>
        </w:numPr>
        <w:spacing w:after="60"/>
      </w:pPr>
      <w:r>
        <w:rPr>
          <w:rFonts w:ascii="Arial" w:cs="Arial" w:eastAsia="Arial" w:hAnsi="Arial"/>
          <w:color w:val="1E293B"/>
          <w:sz w:val="22"/>
          <w:szCs w:val="22"/>
        </w:rPr>
        <w:t xml:space="preserve">Time value of money: ECL is discounted at the Effective Interest Rate (5.4.1).</w:t>
      </w:r>
    </w:p>
    <w:p>
      <w:pPr>
        <w:pStyle w:val="ListParagraph"/>
        <w:numPr>
          <w:ilvl w:val="0"/>
          <w:numId w:val="2"/>
        </w:numPr>
        <w:spacing w:after="60"/>
      </w:pPr>
      <w:r>
        <w:rPr>
          <w:rFonts w:ascii="Arial" w:cs="Arial" w:eastAsia="Arial" w:hAnsi="Arial"/>
          <w:color w:val="1E293B"/>
          <w:sz w:val="22"/>
          <w:szCs w:val="22"/>
        </w:rPr>
        <w:t xml:space="preserve">SICR assessment: Must consider all reasonable and supportable information (B5.5.17).</w:t>
      </w:r>
    </w:p>
    <w:p>
      <w:pPr>
        <w:spacing w:after="0"/>
      </w:pPr>
    </w:p>
    <w:p>
      <w:r>
        <w:br/>
      </w:r>
    </w:p>
    <w:p>
      <w:pPr>
        <w:pStyle w:val="Heading1"/>
        <w:spacing w:before="360" w:after="120"/>
      </w:pPr>
      <w:r>
        <w:rPr>
          <w:rFonts w:ascii="Arial" w:cs="Arial" w:eastAsia="Arial" w:hAnsi="Arial"/>
          <w:b/>
          <w:bCs/>
          <w:color w:val="1E2761"/>
          <w:sz w:val="28"/>
          <w:szCs w:val="28"/>
        </w:rPr>
        <w:t xml:space="preserve">3. Data &amp; Portfolio Characteristics</w:t>
      </w:r>
    </w:p>
    <w:p>
      <w:pPr>
        <w:pStyle w:val="Heading2"/>
        <w:spacing w:before="240" w:after="80"/>
      </w:pPr>
      <w:r>
        <w:rPr>
          <w:rFonts w:ascii="Arial" w:cs="Arial" w:eastAsia="Arial" w:hAnsi="Arial"/>
          <w:b/>
          <w:bCs/>
          <w:color w:val="2563EB"/>
          <w:sz w:val="24"/>
          <w:szCs w:val="24"/>
        </w:rPr>
        <w:t xml:space="preserve">3.1 Portfolio Overview</w:t>
      </w:r>
    </w:p>
    <w:p>
      <w:pPr>
        <w:spacing w:after="120"/>
      </w:pPr>
      <w:r>
        <w:rPr>
          <w:rFonts w:ascii="Arial" w:cs="Arial" w:eastAsia="Arial" w:hAnsi="Arial"/>
          <w:color w:val="1E293B"/>
          <w:sz w:val="22"/>
          <w:szCs w:val="22"/>
        </w:rPr>
        <w:t xml:space="preserve">The model portfolio consists of 3,000 retail and SME term loans with the following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34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234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 / Source</w:t>
            </w:r>
          </w:p>
        </w:tc>
        <w:tc>
          <w:tcPr>
            <w:tcW w:type="dxa" w:w="234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Portfolio Size</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N</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3,000 loans</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Individual loan-level data</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Loan Amount</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L</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£429K – £2.97M</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Random draw; avg ~£1.6M</w:t>
            </w:r>
          </w:p>
        </w:tc>
      </w:tr>
      <w:tr>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Interest Rate</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r</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9% – 18% p.a.</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Effective Interest Rate (EIR)</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Loan Term</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T</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1 – 5 years</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Original contractual maturity</w:t>
            </w:r>
          </w:p>
        </w:tc>
      </w:tr>
      <w:tr>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TTC PD Range</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PD_TTC</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0.5% – 20.9%</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From TTC PD assignment process</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Correlation Factor</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ρ</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0.15 (15%)</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Basel II / III asset correlation</w:t>
            </w:r>
          </w:p>
        </w:tc>
      </w:tr>
    </w:tbl>
    <w:p>
      <w:pPr>
        <w:spacing w:after="120"/>
      </w:pPr>
    </w:p>
    <w:p>
      <w:pPr>
        <w:pStyle w:val="Heading2"/>
        <w:spacing w:before="240" w:after="80"/>
      </w:pPr>
      <w:r>
        <w:rPr>
          <w:rFonts w:ascii="Arial" w:cs="Arial" w:eastAsia="Arial" w:hAnsi="Arial"/>
          <w:b/>
          <w:bCs/>
          <w:color w:val="2563EB"/>
          <w:sz w:val="24"/>
          <w:szCs w:val="24"/>
        </w:rPr>
        <w:t xml:space="preserve">3.2 Master Rating Scale</w:t>
      </w:r>
    </w:p>
    <w:p>
      <w:pPr>
        <w:spacing w:after="120"/>
      </w:pPr>
      <w:r>
        <w:rPr>
          <w:rFonts w:ascii="Arial" w:cs="Arial" w:eastAsia="Arial" w:hAnsi="Arial"/>
          <w:color w:val="1E293B"/>
          <w:sz w:val="22"/>
          <w:szCs w:val="22"/>
        </w:rPr>
        <w:t xml:space="preserve">Borrowers are assigned to a 15-grade master rating scale based on their TTC PD. Grade 1 corresponds to the lowest risk (PD: 0.05%–0.09%) and Grade 15 to the highest risk (PD: 50%–100%).</w:t>
      </w:r>
    </w:p>
    <w:p>
      <w:r>
        <w:br/>
      </w:r>
    </w:p>
    <w:p>
      <w:pPr>
        <w:pStyle w:val="Heading1"/>
        <w:spacing w:before="360" w:after="120"/>
      </w:pPr>
      <w:r>
        <w:rPr>
          <w:rFonts w:ascii="Arial" w:cs="Arial" w:eastAsia="Arial" w:hAnsi="Arial"/>
          <w:b/>
          <w:bCs/>
          <w:color w:val="1E2761"/>
          <w:sz w:val="28"/>
          <w:szCs w:val="28"/>
        </w:rPr>
        <w:t xml:space="preserve">4. Probability of Default (PD) Methodology</w:t>
      </w:r>
    </w:p>
    <w:p>
      <w:pPr>
        <w:pStyle w:val="Heading2"/>
        <w:spacing w:before="240" w:after="80"/>
      </w:pPr>
      <w:r>
        <w:rPr>
          <w:rFonts w:ascii="Arial" w:cs="Arial" w:eastAsia="Arial" w:hAnsi="Arial"/>
          <w:b/>
          <w:bCs/>
          <w:color w:val="2563EB"/>
          <w:sz w:val="24"/>
          <w:szCs w:val="24"/>
        </w:rPr>
        <w:t xml:space="preserve">4.1 Through-the-Cycle vs Point-in-Time PD</w:t>
      </w:r>
    </w:p>
    <w:p>
      <w:pPr>
        <w:spacing w:after="120"/>
      </w:pPr>
      <w:r>
        <w:rPr>
          <w:rFonts w:ascii="Arial" w:cs="Arial" w:eastAsia="Arial" w:hAnsi="Arial"/>
          <w:color w:val="1E293B"/>
          <w:sz w:val="22"/>
          <w:szCs w:val="22"/>
        </w:rPr>
        <w:t xml:space="preserve">TTC PD represents the long-run average default rate for a borrower segment, independent of the current economic cycle. PIT PD adjusts this estimate to reflect current and forward-looking macroeconomic conditions, making it more responsive to the economic environment as required by IFRS 9.</w:t>
      </w:r>
    </w:p>
    <w:p>
      <w:pPr>
        <w:pStyle w:val="Heading2"/>
        <w:spacing w:before="240" w:after="80"/>
      </w:pPr>
      <w:r>
        <w:rPr>
          <w:rFonts w:ascii="Arial" w:cs="Arial" w:eastAsia="Arial" w:hAnsi="Arial"/>
          <w:b/>
          <w:bCs/>
          <w:color w:val="2563EB"/>
          <w:sz w:val="24"/>
          <w:szCs w:val="24"/>
        </w:rPr>
        <w:t xml:space="preserve">4.2 Merton Model Framework</w:t>
      </w:r>
    </w:p>
    <w:p>
      <w:pPr>
        <w:spacing w:after="120"/>
      </w:pPr>
      <w:r>
        <w:rPr>
          <w:rFonts w:ascii="Arial" w:cs="Arial" w:eastAsia="Arial" w:hAnsi="Arial"/>
          <w:color w:val="1E293B"/>
          <w:sz w:val="22"/>
          <w:szCs w:val="22"/>
        </w:rPr>
        <w:t xml:space="preserve">The model employs the Merton (1974) single-factor structural model, underpinned by Basel II IRB asset correlation assumptions, to convert TTC PD to PIT PD. The transformation is expressed as: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761" w:val="clear"/>
            <w:tcMar>
              <w:top w:type="dxa" w:w="140"/>
              <w:left w:type="dxa" w:w="300"/>
              <w:bottom w:type="dxa" w:w="140"/>
              <w:right w:type="dxa" w:w="300"/>
            </w:tcMar>
            <w:vAlign w:val="center"/>
          </w:tcPr>
          <w:p>
            <w:pPr>
              <w:spacing w:after="0"/>
              <w:jc w:val="center"/>
            </w:pPr>
            <w:r>
              <w:rPr>
                <w:rFonts w:ascii="Courier New" w:cs="Courier New" w:eastAsia="Courier New" w:hAnsi="Courier New"/>
                <w:b/>
                <w:bCs/>
                <w:color w:val="CADCFC"/>
                <w:sz w:val="24"/>
                <w:szCs w:val="24"/>
              </w:rPr>
              <w:t xml:space="preserve">PIT PD = Φ [ ( Φ⁻¹(TTC PD) − √ρ · Z ) / √(1 − ρ) ]</w:t>
            </w:r>
          </w:p>
        </w:tc>
      </w:tr>
    </w:tbl>
    <w:p>
      <w:pPr>
        <w:spacing w:after="120"/>
      </w:pPr>
    </w:p>
    <w:p>
      <w:pPr>
        <w:spacing w:after="120"/>
      </w:pPr>
      <w:r>
        <w:rPr>
          <w:rFonts w:ascii="Arial" w:cs="Arial" w:eastAsia="Arial" w:hAnsi="Arial"/>
          <w:color w:val="1E293B"/>
          <w:sz w:val="22"/>
          <w:szCs w:val="22"/>
        </w:rPr>
        <w:t xml:space="preserv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34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234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 / Source</w:t>
            </w:r>
          </w:p>
        </w:tc>
        <w:tc>
          <w:tcPr>
            <w:tcW w:type="dxa" w:w="234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TTC PD</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PD_TTC</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Borrower-specific</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Through-the-cycle probability of default</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PIT PD</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PD_PIT</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Calculated quarterly</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Point-in-time PD for ECL calculation</w:t>
            </w:r>
          </w:p>
        </w:tc>
      </w:tr>
      <w:tr>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Φ</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N/A</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Standard normal CDF</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Normal cumulative distribution function</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Φ⁻¹</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Inverse normal</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Probit / inverse CDF function</w:t>
            </w:r>
          </w:p>
        </w:tc>
      </w:tr>
      <w:tr>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ρ</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rho</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0.15 (fixed)</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Asset correlation (systematic factor loading)</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Z</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Z-score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Quarterly macro factor</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Standardised economic index (Z-value)</w:t>
            </w:r>
          </w:p>
        </w:tc>
      </w:tr>
    </w:tbl>
    <w:p>
      <w:pPr>
        <w:spacing w:after="120"/>
      </w:pPr>
    </w:p>
    <w:p>
      <w:pPr>
        <w:pStyle w:val="Heading2"/>
        <w:spacing w:before="240" w:after="80"/>
      </w:pPr>
      <w:r>
        <w:rPr>
          <w:rFonts w:ascii="Arial" w:cs="Arial" w:eastAsia="Arial" w:hAnsi="Arial"/>
          <w:b/>
          <w:bCs/>
          <w:color w:val="2563EB"/>
          <w:sz w:val="24"/>
          <w:szCs w:val="24"/>
        </w:rPr>
        <w:t xml:space="preserve">4.3 Economic Factor (Z-Score)</w:t>
      </w:r>
    </w:p>
    <w:p>
      <w:pPr>
        <w:spacing w:after="120"/>
      </w:pPr>
      <w:r>
        <w:rPr>
          <w:rFonts w:ascii="Arial" w:cs="Arial" w:eastAsia="Arial" w:hAnsi="Arial"/>
          <w:color w:val="1E293B"/>
          <w:sz w:val="22"/>
          <w:szCs w:val="22"/>
        </w:rPr>
        <w:t xml:space="preserve">The Z-score represents the macroeconomic state for each quarterly reporting period. Negative Z-values indicate stressed economic conditions (increasing PIT PD); positive values indicate benign conditions (reducing PIT PD). Z-scores are assigned at origination quarter and evolve through the loan life.</w:t>
      </w:r>
    </w:p>
    <w:p>
      <w:pPr>
        <w:pStyle w:val="Heading2"/>
        <w:spacing w:before="240" w:after="80"/>
      </w:pPr>
      <w:r>
        <w:rPr>
          <w:rFonts w:ascii="Arial" w:cs="Arial" w:eastAsia="Arial" w:hAnsi="Arial"/>
          <w:b/>
          <w:bCs/>
          <w:color w:val="2563EB"/>
          <w:sz w:val="24"/>
          <w:szCs w:val="24"/>
        </w:rPr>
        <w:t xml:space="preserve">4.4 Quarterly TTC PD Conversion</w:t>
      </w:r>
    </w:p>
    <w:p>
      <w:pPr>
        <w:spacing w:after="120"/>
      </w:pPr>
      <w:r>
        <w:rPr>
          <w:rFonts w:ascii="Arial" w:cs="Arial" w:eastAsia="Arial" w:hAnsi="Arial"/>
          <w:color w:val="1E293B"/>
          <w:sz w:val="22"/>
          <w:szCs w:val="22"/>
        </w:rPr>
        <w:t xml:space="preserve">Annual TTC PD is converted to a quarterly equivalent using the survival probability relationship: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761" w:val="clear"/>
            <w:tcMar>
              <w:top w:type="dxa" w:w="140"/>
              <w:left w:type="dxa" w:w="300"/>
              <w:bottom w:type="dxa" w:w="140"/>
              <w:right w:type="dxa" w:w="300"/>
            </w:tcMar>
            <w:vAlign w:val="center"/>
          </w:tcPr>
          <w:p>
            <w:pPr>
              <w:spacing w:after="0"/>
              <w:jc w:val="center"/>
            </w:pPr>
            <w:r>
              <w:rPr>
                <w:rFonts w:ascii="Courier New" w:cs="Courier New" w:eastAsia="Courier New" w:hAnsi="Courier New"/>
                <w:b/>
                <w:bCs/>
                <w:color w:val="CADCFC"/>
                <w:sz w:val="24"/>
                <w:szCs w:val="24"/>
              </w:rPr>
              <w:t xml:space="preserve">TTC_PD_quarterly = 1 − (1 − TTC_PD_annual)^(1/4)</w:t>
            </w:r>
          </w:p>
        </w:tc>
      </w:tr>
    </w:tbl>
    <w:p>
      <w:pPr>
        <w:spacing w:after="120"/>
      </w:pPr>
    </w:p>
    <w:p>
      <w:r>
        <w:br/>
      </w:r>
    </w:p>
    <w:p>
      <w:pPr>
        <w:pStyle w:val="Heading1"/>
        <w:spacing w:before="360" w:after="120"/>
      </w:pPr>
      <w:r>
        <w:rPr>
          <w:rFonts w:ascii="Arial" w:cs="Arial" w:eastAsia="Arial" w:hAnsi="Arial"/>
          <w:b/>
          <w:bCs/>
          <w:color w:val="1E2761"/>
          <w:sz w:val="28"/>
          <w:szCs w:val="28"/>
        </w:rPr>
        <w:t xml:space="preserve">5. SICR Assessment &amp; Staging Rules</w:t>
      </w:r>
    </w:p>
    <w:p>
      <w:pPr>
        <w:pStyle w:val="Heading2"/>
        <w:spacing w:before="240" w:after="80"/>
      </w:pPr>
      <w:r>
        <w:rPr>
          <w:rFonts w:ascii="Arial" w:cs="Arial" w:eastAsia="Arial" w:hAnsi="Arial"/>
          <w:b/>
          <w:bCs/>
          <w:color w:val="2563EB"/>
          <w:sz w:val="24"/>
          <w:szCs w:val="24"/>
        </w:rPr>
        <w:t xml:space="preserve">5.1 Significant Increase in Credit Risk (SICR)</w:t>
      </w:r>
    </w:p>
    <w:p>
      <w:pPr>
        <w:spacing w:after="120"/>
      </w:pPr>
      <w:r>
        <w:rPr>
          <w:rFonts w:ascii="Arial" w:cs="Arial" w:eastAsia="Arial" w:hAnsi="Arial"/>
          <w:color w:val="1E293B"/>
          <w:sz w:val="22"/>
          <w:szCs w:val="22"/>
        </w:rPr>
        <w:t xml:space="preserve">SICR is identified through a combination of absolute and relative PD thresholds, compared against the origination PD for each borrower. The relative criterion is the primary trigger in this model.</w:t>
      </w:r>
    </w:p>
    <w:p>
      <w:pPr>
        <w:pStyle w:val="Heading2"/>
        <w:spacing w:before="240" w:after="80"/>
      </w:pPr>
      <w:r>
        <w:rPr>
          <w:rFonts w:ascii="Arial" w:cs="Arial" w:eastAsia="Arial" w:hAnsi="Arial"/>
          <w:b/>
          <w:bCs/>
          <w:color w:val="2563EB"/>
          <w:sz w:val="24"/>
          <w:szCs w:val="24"/>
        </w:rPr>
        <w:t xml:space="preserve">5.2 Staging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34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234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 / Source</w:t>
            </w:r>
          </w:p>
        </w:tc>
        <w:tc>
          <w:tcPr>
            <w:tcW w:type="dxa" w:w="234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Stage 1</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12-Month ECL</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PIT PD ≤ 1.3x origination PD</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Performing — no SICR</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Stage 2</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Lifetime ECL</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PIT PD &gt; 1.3x origination PD</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SICR identified — elevated risk</w:t>
            </w:r>
          </w:p>
        </w:tc>
      </w:tr>
      <w:tr>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Stage 2 (abs.)</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Lifetime ECL</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PIT PD &gt; absolute threshold</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Based on rating grade thresholds</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Stage 3</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Lifetime ECL (impaired)</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Credit-impaired evidence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Objective impairment indicator</w:t>
            </w:r>
          </w:p>
        </w:tc>
      </w:tr>
    </w:tbl>
    <w:p>
      <w:pPr>
        <w:spacing w:after="120"/>
      </w:pPr>
    </w:p>
    <w:p>
      <w:pPr>
        <w:pStyle w:val="Heading2"/>
        <w:spacing w:before="240" w:after="80"/>
      </w:pPr>
      <w:r>
        <w:rPr>
          <w:rFonts w:ascii="Arial" w:cs="Arial" w:eastAsia="Arial" w:hAnsi="Arial"/>
          <w:b/>
          <w:bCs/>
          <w:color w:val="2563EB"/>
          <w:sz w:val="24"/>
          <w:szCs w:val="24"/>
        </w:rPr>
        <w:t xml:space="preserve">5.3 SIRC Sensitivity Testing</w:t>
      </w:r>
    </w:p>
    <w:p>
      <w:pPr>
        <w:spacing w:after="120"/>
      </w:pPr>
      <w:r>
        <w:rPr>
          <w:rFonts w:ascii="Arial" w:cs="Arial" w:eastAsia="Arial" w:hAnsi="Arial"/>
          <w:color w:val="1E293B"/>
          <w:sz w:val="22"/>
          <w:szCs w:val="22"/>
        </w:rPr>
        <w:t xml:space="preserve">The model implements a sensitivity analysis across relative threshold multipliers ranging from 1.0x to 2.5x. At the recommended 1.3x threshold, Stage 2 counts range from approximately 143 to 428 loans per quarter, representing 5–14% of the portfolio. This range is considered appropriate and consistent with regulatory expectations for retail loan books.</w:t>
      </w:r>
    </w:p>
    <w:p>
      <w:r>
        <w:br/>
      </w:r>
    </w:p>
    <w:p>
      <w:pPr>
        <w:pStyle w:val="Heading1"/>
        <w:spacing w:before="360" w:after="120"/>
      </w:pPr>
      <w:r>
        <w:rPr>
          <w:rFonts w:ascii="Arial" w:cs="Arial" w:eastAsia="Arial" w:hAnsi="Arial"/>
          <w:b/>
          <w:bCs/>
          <w:color w:val="1E2761"/>
          <w:sz w:val="28"/>
          <w:szCs w:val="28"/>
        </w:rPr>
        <w:t xml:space="preserve">6. Loss Given Default (LGD) Methodology</w:t>
      </w:r>
    </w:p>
    <w:p>
      <w:pPr>
        <w:spacing w:after="120"/>
      </w:pPr>
      <w:r>
        <w:rPr>
          <w:rFonts w:ascii="Arial" w:cs="Arial" w:eastAsia="Arial" w:hAnsi="Arial"/>
          <w:color w:val="1E293B"/>
          <w:sz w:val="22"/>
          <w:szCs w:val="22"/>
        </w:rPr>
        <w:t xml:space="preserve">The LGD represents the proportion of the outstanding exposure expected to be lost in the event of default, net of recoveries.</w:t>
      </w:r>
    </w:p>
    <w:p>
      <w:pPr>
        <w:pStyle w:val="Heading2"/>
        <w:spacing w:before="240" w:after="80"/>
      </w:pPr>
      <w:r>
        <w:rPr>
          <w:rFonts w:ascii="Arial" w:cs="Arial" w:eastAsia="Arial" w:hAnsi="Arial"/>
          <w:b/>
          <w:bCs/>
          <w:color w:val="2563EB"/>
          <w:sz w:val="24"/>
          <w:szCs w:val="24"/>
        </w:rPr>
        <w:t xml:space="preserve">6.1 LGD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00"/>
              <w:left w:type="dxa" w:w="180"/>
              <w:bottom w:type="dxa" w:w="100"/>
              <w:right w:type="dxa" w:w="180"/>
            </w:tcMar>
          </w:tcPr>
          <w:p>
            <w:pPr>
              <w:spacing w:after="60"/>
            </w:pPr>
            <w:r>
              <w:rPr>
                <w:rFonts w:ascii="Arial" w:cs="Arial" w:eastAsia="Arial" w:hAnsi="Arial"/>
                <w:b/>
                <w:bCs/>
                <w:color w:val="2563EB"/>
                <w:sz w:val="22"/>
                <w:szCs w:val="22"/>
              </w:rPr>
              <w:t xml:space="preserve">LGD = 30%  (implied Recovery Rate = 70%)</w:t>
            </w:r>
          </w:p>
          <w:p>
            <w:pPr>
              <w:spacing w:after="0"/>
            </w:pPr>
            <w:r>
              <w:rPr>
                <w:rFonts w:ascii="Arial" w:cs="Arial" w:eastAsia="Arial" w:hAnsi="Arial"/>
                <w:color w:val="1E293B"/>
                <w:sz w:val="21"/>
                <w:szCs w:val="21"/>
              </w:rPr>
              <w:t xml:space="preserve">A flat LGD of 30% is applied uniformly across all exposures in the current model version. This reflects an assumed recovery rate of 70%, consistent with senior secured retail lending portfolios. Future model enhancements should incorporate loan-level collateral values and downturn LGD adjustments as required by IFRS 9 B5.5.55.</w:t>
            </w:r>
          </w:p>
        </w:tc>
      </w:tr>
    </w:tbl>
    <w:p>
      <w:pPr>
        <w:spacing w:after="0"/>
      </w:pPr>
    </w:p>
    <w:p>
      <w:pPr>
        <w:pStyle w:val="Heading1"/>
        <w:spacing w:before="360" w:after="120"/>
      </w:pPr>
      <w:r>
        <w:rPr>
          <w:rFonts w:ascii="Arial" w:cs="Arial" w:eastAsia="Arial" w:hAnsi="Arial"/>
          <w:b/>
          <w:bCs/>
          <w:color w:val="1E2761"/>
          <w:sz w:val="28"/>
          <w:szCs w:val="28"/>
        </w:rPr>
        <w:t xml:space="preserve">7. Exposure at Default (EAD)</w:t>
      </w:r>
    </w:p>
    <w:p>
      <w:pPr>
        <w:pStyle w:val="Heading2"/>
        <w:spacing w:before="240" w:after="80"/>
      </w:pPr>
      <w:r>
        <w:rPr>
          <w:rFonts w:ascii="Arial" w:cs="Arial" w:eastAsia="Arial" w:hAnsi="Arial"/>
          <w:b/>
          <w:bCs/>
          <w:color w:val="2563EB"/>
          <w:sz w:val="24"/>
          <w:szCs w:val="24"/>
        </w:rPr>
        <w:t xml:space="preserve">7.1 Loan Amortisation Schedule</w:t>
      </w:r>
    </w:p>
    <w:p>
      <w:pPr>
        <w:spacing w:after="120"/>
      </w:pPr>
      <w:r>
        <w:rPr>
          <w:rFonts w:ascii="Arial" w:cs="Arial" w:eastAsia="Arial" w:hAnsi="Arial"/>
          <w:color w:val="1E293B"/>
          <w:sz w:val="22"/>
          <w:szCs w:val="22"/>
        </w:rPr>
        <w:t xml:space="preserve">EAD is calculated using the standard reducing-balance amortisation formula. The Equal Monthly Instalment (EMI) is derived as: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761" w:val="clear"/>
            <w:tcMar>
              <w:top w:type="dxa" w:w="140"/>
              <w:left w:type="dxa" w:w="300"/>
              <w:bottom w:type="dxa" w:w="140"/>
              <w:right w:type="dxa" w:w="300"/>
            </w:tcMar>
            <w:vAlign w:val="center"/>
          </w:tcPr>
          <w:p>
            <w:pPr>
              <w:spacing w:after="0"/>
              <w:jc w:val="center"/>
            </w:pPr>
            <w:r>
              <w:rPr>
                <w:rFonts w:ascii="Courier New" w:cs="Courier New" w:eastAsia="Courier New" w:hAnsi="Courier New"/>
                <w:b/>
                <w:bCs/>
                <w:color w:val="CADCFC"/>
                <w:sz w:val="24"/>
                <w:szCs w:val="24"/>
              </w:rPr>
              <w:t xml:space="preserve">EMI = L × r/12 × (1 + r/12)^n / [ (1 + r/12)^n − 1 ]</w:t>
            </w:r>
          </w:p>
        </w:tc>
      </w:tr>
    </w:tbl>
    <w:p>
      <w:pPr>
        <w:spacing w:after="120"/>
      </w:pPr>
    </w:p>
    <w:p>
      <w:pPr>
        <w:spacing w:after="120"/>
      </w:pPr>
      <w:r>
        <w:rPr>
          <w:rFonts w:ascii="Arial" w:cs="Arial" w:eastAsia="Arial" w:hAnsi="Arial"/>
          <w:color w:val="1E293B"/>
          <w:sz w:val="22"/>
          <w:szCs w:val="22"/>
        </w:rPr>
        <w:t xml:space="preserve">Where L = loan principal, r = annual interest rate, n = total number of monthly payments. The closing balance each month becomes the EAD for that period, amortising to zero at maturity.</w:t>
      </w:r>
    </w:p>
    <w:p>
      <w:pPr>
        <w:pStyle w:val="Heading2"/>
        <w:spacing w:before="240" w:after="80"/>
      </w:pPr>
      <w:r>
        <w:rPr>
          <w:rFonts w:ascii="Arial" w:cs="Arial" w:eastAsia="Arial" w:hAnsi="Arial"/>
          <w:b/>
          <w:bCs/>
          <w:color w:val="2563EB"/>
          <w:sz w:val="24"/>
          <w:szCs w:val="24"/>
        </w:rPr>
        <w:t xml:space="preserve">7.2 EAD at Reporting Date</w:t>
      </w:r>
    </w:p>
    <w:p>
      <w:pPr>
        <w:spacing w:after="120"/>
      </w:pPr>
      <w:r>
        <w:rPr>
          <w:rFonts w:ascii="Arial" w:cs="Arial" w:eastAsia="Arial" w:hAnsi="Arial"/>
          <w:color w:val="1E293B"/>
          <w:sz w:val="22"/>
          <w:szCs w:val="22"/>
        </w:rPr>
        <w:t xml:space="preserve">At each quarterly reporting date, the EAD is the outstanding principal balance of the loan, derived from the amortisation schedule. For loans that have fully amortised, EAD is treated as zero.</w:t>
      </w:r>
    </w:p>
    <w:p>
      <w:r>
        <w:br/>
      </w:r>
    </w:p>
    <w:p>
      <w:pPr>
        <w:pStyle w:val="Heading1"/>
        <w:spacing w:before="360" w:after="120"/>
      </w:pPr>
      <w:r>
        <w:rPr>
          <w:rFonts w:ascii="Arial" w:cs="Arial" w:eastAsia="Arial" w:hAnsi="Arial"/>
          <w:b/>
          <w:bCs/>
          <w:color w:val="1E2761"/>
          <w:sz w:val="28"/>
          <w:szCs w:val="28"/>
        </w:rPr>
        <w:t xml:space="preserve">8. ECL Calculation Framework</w:t>
      </w:r>
    </w:p>
    <w:p>
      <w:pPr>
        <w:pStyle w:val="Heading2"/>
        <w:spacing w:before="240" w:after="80"/>
      </w:pPr>
      <w:r>
        <w:rPr>
          <w:rFonts w:ascii="Arial" w:cs="Arial" w:eastAsia="Arial" w:hAnsi="Arial"/>
          <w:b/>
          <w:bCs/>
          <w:color w:val="2563EB"/>
          <w:sz w:val="24"/>
          <w:szCs w:val="24"/>
        </w:rPr>
        <w:t xml:space="preserve">8.1 12-Month ECL (Stage 1)</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761" w:val="clear"/>
            <w:tcMar>
              <w:top w:type="dxa" w:w="140"/>
              <w:left w:type="dxa" w:w="300"/>
              <w:bottom w:type="dxa" w:w="140"/>
              <w:right w:type="dxa" w:w="300"/>
            </w:tcMar>
            <w:vAlign w:val="center"/>
          </w:tcPr>
          <w:p>
            <w:pPr>
              <w:spacing w:after="0"/>
              <w:jc w:val="center"/>
            </w:pPr>
            <w:r>
              <w:rPr>
                <w:rFonts w:ascii="Courier New" w:cs="Courier New" w:eastAsia="Courier New" w:hAnsi="Courier New"/>
                <w:b/>
                <w:bCs/>
                <w:color w:val="CADCFC"/>
                <w:sz w:val="24"/>
                <w:szCs w:val="24"/>
              </w:rPr>
              <w:t xml:space="preserve">ECL_12M = PD_12M × LGD × EAD × Discount Factor</w:t>
            </w:r>
          </w:p>
        </w:tc>
      </w:tr>
    </w:tbl>
    <w:p>
      <w:pPr>
        <w:spacing w:after="120"/>
      </w:pPr>
    </w:p>
    <w:p>
      <w:pPr>
        <w:spacing w:after="120"/>
      </w:pPr>
      <w:r>
        <w:rPr>
          <w:rFonts w:ascii="Arial" w:cs="Arial" w:eastAsia="Arial" w:hAnsi="Arial"/>
          <w:color w:val="1E293B"/>
          <w:sz w:val="22"/>
          <w:szCs w:val="22"/>
        </w:rPr>
        <w:t xml:space="preserve">The 12-month PD is the PIT PD for the next 12 months, computed from the Merton model. The discount factor uses the Effective Interest Rate (EIR) to discount the expected loss to present value.</w:t>
      </w:r>
    </w:p>
    <w:p>
      <w:pPr>
        <w:pStyle w:val="Heading2"/>
        <w:spacing w:before="240" w:after="80"/>
      </w:pPr>
      <w:r>
        <w:rPr>
          <w:rFonts w:ascii="Arial" w:cs="Arial" w:eastAsia="Arial" w:hAnsi="Arial"/>
          <w:b/>
          <w:bCs/>
          <w:color w:val="2563EB"/>
          <w:sz w:val="24"/>
          <w:szCs w:val="24"/>
        </w:rPr>
        <w:t xml:space="preserve">8.2 Lifetime ECL (Stage 2 &amp; 3)</w:t>
      </w:r>
    </w:p>
    <w:p>
      <w:pPr>
        <w:spacing w:after="120"/>
      </w:pPr>
      <w:r>
        <w:rPr>
          <w:rFonts w:ascii="Arial" w:cs="Arial" w:eastAsia="Arial" w:hAnsi="Arial"/>
          <w:color w:val="1E293B"/>
          <w:sz w:val="22"/>
          <w:szCs w:val="22"/>
        </w:rPr>
        <w:t xml:space="preserve">Lifetime ECL is computed by aggregating the expected credit loss at each future period, weighted by the marginal probability of default at that period (unconditional PD), and discounted to present value. The calculation proceeds as follows:</w:t>
      </w:r>
    </w:p>
    <w:p>
      <w:pPr>
        <w:pStyle w:val="ListParagraph"/>
        <w:numPr>
          <w:ilvl w:val="0"/>
          <w:numId w:val="3"/>
        </w:numPr>
        <w:spacing w:after="60"/>
      </w:pPr>
      <w:r>
        <w:rPr>
          <w:rFonts w:ascii="Arial" w:cs="Arial" w:eastAsia="Arial" w:hAnsi="Arial"/>
          <w:color w:val="1E293B"/>
          <w:sz w:val="22"/>
          <w:szCs w:val="22"/>
        </w:rPr>
        <w:t xml:space="preserve">Compute survival probabilities: S(t) = Π_{i=1}^{t} (1 − PD(i))</w:t>
      </w:r>
    </w:p>
    <w:p>
      <w:pPr>
        <w:pStyle w:val="ListParagraph"/>
        <w:numPr>
          <w:ilvl w:val="0"/>
          <w:numId w:val="3"/>
        </w:numPr>
        <w:spacing w:after="60"/>
      </w:pPr>
      <w:r>
        <w:rPr>
          <w:rFonts w:ascii="Arial" w:cs="Arial" w:eastAsia="Arial" w:hAnsi="Arial"/>
          <w:color w:val="1E293B"/>
          <w:sz w:val="22"/>
          <w:szCs w:val="22"/>
        </w:rPr>
        <w:t xml:space="preserve">Derive unconditional PD: uPD(t) = PD(t) × S(t−1)</w:t>
      </w:r>
    </w:p>
    <w:p>
      <w:pPr>
        <w:pStyle w:val="ListParagraph"/>
        <w:numPr>
          <w:ilvl w:val="0"/>
          <w:numId w:val="3"/>
        </w:numPr>
        <w:spacing w:after="60"/>
      </w:pPr>
      <w:r>
        <w:rPr>
          <w:rFonts w:ascii="Arial" w:cs="Arial" w:eastAsia="Arial" w:hAnsi="Arial"/>
          <w:color w:val="1E293B"/>
          <w:sz w:val="22"/>
          <w:szCs w:val="22"/>
        </w:rPr>
        <w:t xml:space="preserve">Calculate period-level ECL: ECL(t) = uPD(t) × LGD × EAD(t)</w:t>
      </w:r>
    </w:p>
    <w:p>
      <w:pPr>
        <w:pStyle w:val="ListParagraph"/>
        <w:numPr>
          <w:ilvl w:val="0"/>
          <w:numId w:val="3"/>
        </w:numPr>
        <w:spacing w:after="60"/>
      </w:pPr>
      <w:r>
        <w:rPr>
          <w:rFonts w:ascii="Arial" w:cs="Arial" w:eastAsia="Arial" w:hAnsi="Arial"/>
          <w:color w:val="1E293B"/>
          <w:sz w:val="22"/>
          <w:szCs w:val="22"/>
        </w:rPr>
        <w:t xml:space="preserve">Discount to PV: PV_ECL(t) = ECL(t) / (1 + EIR)^t</w:t>
      </w:r>
    </w:p>
    <w:p>
      <w:pPr>
        <w:pStyle w:val="ListParagraph"/>
        <w:numPr>
          <w:ilvl w:val="0"/>
          <w:numId w:val="3"/>
        </w:numPr>
        <w:spacing w:after="60"/>
      </w:pPr>
      <w:r>
        <w:rPr>
          <w:rFonts w:ascii="Arial" w:cs="Arial" w:eastAsia="Arial" w:hAnsi="Arial"/>
          <w:color w:val="1E293B"/>
          <w:sz w:val="22"/>
          <w:szCs w:val="22"/>
        </w:rPr>
        <w:t xml:space="preserve">Sum across lifetime: Lifetime ECL = Σ_t PV_ECL(t)</w:t>
      </w:r>
    </w:p>
    <w:p>
      <w:pPr>
        <w:spacing w:after="0"/>
      </w:pPr>
    </w:p>
    <w:p>
      <w:pPr>
        <w:pStyle w:val="Heading2"/>
        <w:spacing w:before="240" w:after="80"/>
      </w:pPr>
      <w:r>
        <w:rPr>
          <w:rFonts w:ascii="Arial" w:cs="Arial" w:eastAsia="Arial" w:hAnsi="Arial"/>
          <w:b/>
          <w:bCs/>
          <w:color w:val="2563EB"/>
          <w:sz w:val="24"/>
          <w:szCs w:val="24"/>
        </w:rPr>
        <w:t xml:space="preserve">8.3 Discount Rate</w:t>
      </w:r>
    </w:p>
    <w:p>
      <w:pPr>
        <w:spacing w:after="120"/>
      </w:pPr>
      <w:r>
        <w:rPr>
          <w:rFonts w:ascii="Arial" w:cs="Arial" w:eastAsia="Arial" w:hAnsi="Arial"/>
          <w:color w:val="1E293B"/>
          <w:sz w:val="22"/>
          <w:szCs w:val="22"/>
        </w:rPr>
        <w:t xml:space="preserve">ECL is discounted using the original Effective Interest Rate (EIR) of each loan, consistent with IFRS 9 paragraph 5.4.1. EIR rates in the portfolio range from 9% to 18% per annum.</w:t>
      </w:r>
    </w:p>
    <w:p>
      <w:r>
        <w:br/>
      </w:r>
    </w:p>
    <w:p>
      <w:pPr>
        <w:pStyle w:val="Heading1"/>
        <w:spacing w:before="360" w:after="120"/>
      </w:pPr>
      <w:r>
        <w:rPr>
          <w:rFonts w:ascii="Arial" w:cs="Arial" w:eastAsia="Arial" w:hAnsi="Arial"/>
          <w:b/>
          <w:bCs/>
          <w:color w:val="1E2761"/>
          <w:sz w:val="28"/>
          <w:szCs w:val="28"/>
        </w:rPr>
        <w:t xml:space="preserve">9. Model Results &amp; Validation Summary</w:t>
      </w:r>
    </w:p>
    <w:p>
      <w:pPr>
        <w:pStyle w:val="Heading2"/>
        <w:spacing w:before="240" w:after="80"/>
      </w:pPr>
      <w:r>
        <w:rPr>
          <w:rFonts w:ascii="Arial" w:cs="Arial" w:eastAsia="Arial" w:hAnsi="Arial"/>
          <w:b/>
          <w:bCs/>
          <w:color w:val="2563EB"/>
          <w:sz w:val="24"/>
          <w:szCs w:val="24"/>
        </w:rPr>
        <w:t xml:space="preserve">9.1 Portfolio Provision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Total Loan Originations</w:t>
            </w:r>
          </w:p>
        </w:tc>
        <w:tc>
          <w:tcPr>
            <w:tcW w:type="dxa" w:w="4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3,000 loans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Total Portfolio (Face Value)</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£4,853,089,038</w:t>
            </w:r>
          </w:p>
        </w:tc>
      </w:tr>
      <w:tr>
        <w:tc>
          <w:tcPr>
            <w:tcW w:type="dxa" w:w="4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Stage 1 ECL (12-Month)</w:t>
            </w:r>
          </w:p>
        </w:tc>
        <w:tc>
          <w:tcPr>
            <w:tcW w:type="dxa" w:w="4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£59,880,189</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Stage 3 ECL (Lifetime)</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£1,446,479</w:t>
            </w:r>
          </w:p>
        </w:tc>
      </w:tr>
      <w:tr>
        <w:tc>
          <w:tcPr>
            <w:tcW w:type="dxa" w:w="4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Total Provision</w:t>
            </w:r>
          </w:p>
        </w:tc>
        <w:tc>
          <w:tcPr>
            <w:tcW w:type="dxa" w:w="4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£61,326,668</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Stage 1 Provision Rate</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1.23%</w:t>
            </w:r>
          </w:p>
        </w:tc>
      </w:tr>
      <w:tr>
        <w:tc>
          <w:tcPr>
            <w:tcW w:type="dxa" w:w="4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Total Provision Rate (blended)</w:t>
            </w:r>
          </w:p>
        </w:tc>
        <w:tc>
          <w:tcPr>
            <w:tcW w:type="dxa" w:w="4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1.38%</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Average LGD</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r>
      <w:tr>
        <w:tc>
          <w:tcPr>
            <w:tcW w:type="dxa" w:w="4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Average TTC PD (portfolio)</w:t>
            </w:r>
          </w:p>
        </w:tc>
        <w:tc>
          <w:tcPr>
            <w:tcW w:type="dxa" w:w="4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~10.7%</w:t>
            </w:r>
          </w:p>
        </w:tc>
      </w:tr>
    </w:tbl>
    <w:p>
      <w:pPr>
        <w:spacing w:after="120"/>
      </w:pPr>
    </w:p>
    <w:p>
      <w:pPr>
        <w:pStyle w:val="Heading2"/>
        <w:spacing w:before="240" w:after="80"/>
      </w:pPr>
      <w:r>
        <w:rPr>
          <w:rFonts w:ascii="Arial" w:cs="Arial" w:eastAsia="Arial" w:hAnsi="Arial"/>
          <w:b/>
          <w:bCs/>
          <w:color w:val="2563EB"/>
          <w:sz w:val="24"/>
          <w:szCs w:val="24"/>
        </w:rPr>
        <w:t xml:space="preserve">9.2 Stage Distribution</w:t>
      </w:r>
    </w:p>
    <w:p>
      <w:pPr>
        <w:spacing w:after="120"/>
      </w:pPr>
      <w:r>
        <w:rPr>
          <w:rFonts w:ascii="Arial" w:cs="Arial" w:eastAsia="Arial" w:hAnsi="Arial"/>
          <w:color w:val="1E293B"/>
          <w:sz w:val="22"/>
          <w:szCs w:val="22"/>
        </w:rPr>
        <w:t xml:space="preserve">Stage distribution across reporting quarters from the Stability Test (SIRC_test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Stage 1</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2,605</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2,570</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2,854</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2,723</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Stage 2</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392</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428</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143</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276</w:t>
            </w:r>
          </w:p>
        </w:tc>
      </w:tr>
      <w:tr>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Stage 3</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w:t>
            </w:r>
          </w:p>
        </w:tc>
      </w:tr>
      <w:tr>
        <w:tc>
          <w:tcPr>
            <w:tcW w:type="dxa" w:w="234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pPr>
              <w:jc w:val="center"/>
            </w:pPr>
            <w:r>
              <w:rPr>
                <w:rFonts w:ascii="Arial" w:cs="Arial" w:eastAsia="Arial" w:hAnsi="Arial"/>
                <w:b/>
                <w:bCs/>
                <w:sz w:val="20"/>
                <w:szCs w:val="20"/>
              </w:rPr>
              <w:t xml:space="preserve">Total</w:t>
            </w:r>
          </w:p>
        </w:tc>
        <w:tc>
          <w:tcPr>
            <w:tcW w:type="dxa" w:w="234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pPr>
              <w:jc w:val="center"/>
            </w:pPr>
            <w:r>
              <w:rPr>
                <w:rFonts w:ascii="Arial" w:cs="Arial" w:eastAsia="Arial" w:hAnsi="Arial"/>
                <w:b/>
                <w:bCs/>
                <w:sz w:val="20"/>
                <w:szCs w:val="20"/>
              </w:rPr>
              <w:t xml:space="preserve">3,000</w:t>
            </w:r>
          </w:p>
        </w:tc>
        <w:tc>
          <w:tcPr>
            <w:tcW w:type="dxa" w:w="234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pPr>
              <w:jc w:val="center"/>
            </w:pPr>
            <w:r>
              <w:rPr>
                <w:rFonts w:ascii="Arial" w:cs="Arial" w:eastAsia="Arial" w:hAnsi="Arial"/>
                <w:b/>
                <w:bCs/>
                <w:sz w:val="20"/>
                <w:szCs w:val="20"/>
              </w:rPr>
              <w:t xml:space="preserve">3,000</w:t>
            </w:r>
          </w:p>
        </w:tc>
        <w:tc>
          <w:tcPr>
            <w:tcW w:type="dxa" w:w="234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pPr>
              <w:jc w:val="center"/>
            </w:pPr>
            <w:r>
              <w:rPr>
                <w:rFonts w:ascii="Arial" w:cs="Arial" w:eastAsia="Arial" w:hAnsi="Arial"/>
                <w:b/>
                <w:bCs/>
                <w:sz w:val="20"/>
                <w:szCs w:val="20"/>
              </w:rPr>
              <w:t xml:space="preserve">3,000</w:t>
            </w:r>
          </w:p>
        </w:tc>
        <w:tc>
          <w:tcPr>
            <w:tcW w:type="dxa" w:w="234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pPr>
              <w:jc w:val="center"/>
            </w:pPr>
            <w:r>
              <w:rPr>
                <w:rFonts w:ascii="Arial" w:cs="Arial" w:eastAsia="Arial" w:hAnsi="Arial"/>
                <w:b/>
                <w:bCs/>
                <w:sz w:val="20"/>
                <w:szCs w:val="20"/>
              </w:rPr>
              <w:t xml:space="preserve">3,000</w:t>
            </w:r>
          </w:p>
        </w:tc>
      </w:tr>
    </w:tbl>
    <w:p>
      <w:pPr>
        <w:spacing w:after="120"/>
      </w:pPr>
    </w:p>
    <w:p>
      <w:pPr>
        <w:pStyle w:val="Heading2"/>
        <w:spacing w:before="240" w:after="80"/>
      </w:pPr>
      <w:r>
        <w:rPr>
          <w:rFonts w:ascii="Arial" w:cs="Arial" w:eastAsia="Arial" w:hAnsi="Arial"/>
          <w:b/>
          <w:bCs/>
          <w:color w:val="2563EB"/>
          <w:sz w:val="24"/>
          <w:szCs w:val="24"/>
        </w:rPr>
        <w:t xml:space="preserve">9.3 Model Validation Observations</w:t>
      </w:r>
    </w:p>
    <w:p>
      <w:pPr>
        <w:pStyle w:val="ListParagraph"/>
        <w:numPr>
          <w:ilvl w:val="0"/>
          <w:numId w:val="2"/>
        </w:numPr>
        <w:spacing w:after="60"/>
      </w:pPr>
      <w:r>
        <w:rPr>
          <w:rFonts w:ascii="Arial" w:cs="Arial" w:eastAsia="Arial" w:hAnsi="Arial"/>
          <w:color w:val="1E293B"/>
          <w:sz w:val="22"/>
          <w:szCs w:val="22"/>
        </w:rPr>
        <w:t xml:space="preserve">Stage stability: The model produces broadly stable stage counts across quarterly periods, indicating the macro-conditional PD does not create excessive volatility.</w:t>
      </w:r>
    </w:p>
    <w:p>
      <w:pPr>
        <w:pStyle w:val="ListParagraph"/>
        <w:numPr>
          <w:ilvl w:val="0"/>
          <w:numId w:val="2"/>
        </w:numPr>
        <w:spacing w:after="60"/>
      </w:pPr>
      <w:r>
        <w:rPr>
          <w:rFonts w:ascii="Arial" w:cs="Arial" w:eastAsia="Arial" w:hAnsi="Arial"/>
          <w:color w:val="1E293B"/>
          <w:sz w:val="22"/>
          <w:szCs w:val="22"/>
        </w:rPr>
        <w:t xml:space="preserve">SIRC threshold sensitivity: High sensitivity near the 1.2x–1.4x range is consistent with expected borrower PD distribution. The 1.3x threshold is recommended.</w:t>
      </w:r>
    </w:p>
    <w:p>
      <w:pPr>
        <w:pStyle w:val="ListParagraph"/>
        <w:numPr>
          <w:ilvl w:val="0"/>
          <w:numId w:val="2"/>
        </w:numPr>
        <w:spacing w:after="60"/>
      </w:pPr>
      <w:r>
        <w:rPr>
          <w:rFonts w:ascii="Arial" w:cs="Arial" w:eastAsia="Arial" w:hAnsi="Arial"/>
          <w:color w:val="1E293B"/>
          <w:sz w:val="22"/>
          <w:szCs w:val="22"/>
        </w:rPr>
        <w:t xml:space="preserve">Provision rate: Blended provision of 1.38% is within a plausible range for a mixed retail/SME book.</w:t>
      </w:r>
    </w:p>
    <w:p>
      <w:pPr>
        <w:pStyle w:val="ListParagraph"/>
        <w:numPr>
          <w:ilvl w:val="0"/>
          <w:numId w:val="2"/>
        </w:numPr>
        <w:spacing w:after="60"/>
      </w:pPr>
      <w:r>
        <w:rPr>
          <w:rFonts w:ascii="Arial" w:cs="Arial" w:eastAsia="Arial" w:hAnsi="Arial"/>
          <w:color w:val="1E293B"/>
          <w:sz w:val="22"/>
          <w:szCs w:val="22"/>
        </w:rPr>
        <w:t xml:space="preserve">Stage 3 count: Very low Stage 3 count (&lt;0.1%) — the model should be validated against observed default rates once historical data is available.</w:t>
      </w:r>
    </w:p>
    <w:p>
      <w:r>
        <w:br/>
      </w:r>
    </w:p>
    <w:p>
      <w:pPr>
        <w:pStyle w:val="Heading1"/>
        <w:spacing w:before="360" w:after="120"/>
      </w:pPr>
      <w:r>
        <w:rPr>
          <w:rFonts w:ascii="Arial" w:cs="Arial" w:eastAsia="Arial" w:hAnsi="Arial"/>
          <w:b/>
          <w:bCs/>
          <w:color w:val="1E2761"/>
          <w:sz w:val="28"/>
          <w:szCs w:val="28"/>
        </w:rPr>
        <w:t xml:space="preserve">10. Model Limitations &amp; Recommended Enhancements</w:t>
      </w:r>
    </w:p>
    <w:p>
      <w:pPr>
        <w:pStyle w:val="Heading2"/>
        <w:spacing w:before="240" w:after="80"/>
      </w:pPr>
      <w:r>
        <w:rPr>
          <w:rFonts w:ascii="Arial" w:cs="Arial" w:eastAsia="Arial" w:hAnsi="Arial"/>
          <w:b/>
          <w:bCs/>
          <w:color w:val="2563EB"/>
          <w:sz w:val="24"/>
          <w:szCs w:val="24"/>
        </w:rPr>
        <w:t xml:space="preserve">10.1 Current Limitations</w:t>
      </w:r>
    </w:p>
    <w:p>
      <w:pPr>
        <w:pStyle w:val="ListParagraph"/>
        <w:numPr>
          <w:ilvl w:val="0"/>
          <w:numId w:val="3"/>
        </w:numPr>
        <w:spacing w:after="60"/>
      </w:pPr>
      <w:r>
        <w:rPr>
          <w:rFonts w:ascii="Arial" w:cs="Arial" w:eastAsia="Arial" w:hAnsi="Arial"/>
          <w:color w:val="1E293B"/>
          <w:sz w:val="22"/>
          <w:szCs w:val="22"/>
        </w:rPr>
        <w:t xml:space="preserve">LGD is fixed at 30% — does not reflect collateral, loan-to-value ratios, or economic cycle position (downturn LGD).</w:t>
      </w:r>
    </w:p>
    <w:p>
      <w:pPr>
        <w:pStyle w:val="ListParagraph"/>
        <w:numPr>
          <w:ilvl w:val="0"/>
          <w:numId w:val="3"/>
        </w:numPr>
        <w:spacing w:after="60"/>
      </w:pPr>
      <w:r>
        <w:rPr>
          <w:rFonts w:ascii="Arial" w:cs="Arial" w:eastAsia="Arial" w:hAnsi="Arial"/>
          <w:color w:val="1E293B"/>
          <w:sz w:val="22"/>
          <w:szCs w:val="22"/>
        </w:rPr>
        <w:t xml:space="preserve">Single macroeconomic factor — a multi-factor model would better capture sector-specific risks and improve discrimination across borrower types.</w:t>
      </w:r>
    </w:p>
    <w:p>
      <w:pPr>
        <w:pStyle w:val="ListParagraph"/>
        <w:numPr>
          <w:ilvl w:val="0"/>
          <w:numId w:val="3"/>
        </w:numPr>
        <w:spacing w:after="60"/>
      </w:pPr>
      <w:r>
        <w:rPr>
          <w:rFonts w:ascii="Arial" w:cs="Arial" w:eastAsia="Arial" w:hAnsi="Arial"/>
          <w:color w:val="1E293B"/>
          <w:sz w:val="22"/>
          <w:szCs w:val="22"/>
        </w:rPr>
        <w:t xml:space="preserve">No scenario weighting — IFRS 9 B5.5.41 requires probability-weighted multiple scenarios. The current model uses a single Z-score trajectory.</w:t>
      </w:r>
    </w:p>
    <w:p>
      <w:pPr>
        <w:pStyle w:val="ListParagraph"/>
        <w:numPr>
          <w:ilvl w:val="0"/>
          <w:numId w:val="3"/>
        </w:numPr>
        <w:spacing w:after="60"/>
      </w:pPr>
      <w:r>
        <w:rPr>
          <w:rFonts w:ascii="Arial" w:cs="Arial" w:eastAsia="Arial" w:hAnsi="Arial"/>
          <w:color w:val="1E293B"/>
          <w:sz w:val="22"/>
          <w:szCs w:val="22"/>
        </w:rPr>
        <w:t xml:space="preserve">Static TTC PD — borrower rating migrations over time are not modelled.</w:t>
      </w:r>
    </w:p>
    <w:p>
      <w:pPr>
        <w:pStyle w:val="ListParagraph"/>
        <w:numPr>
          <w:ilvl w:val="0"/>
          <w:numId w:val="3"/>
        </w:numPr>
        <w:spacing w:after="60"/>
      </w:pPr>
      <w:r>
        <w:rPr>
          <w:rFonts w:ascii="Arial" w:cs="Arial" w:eastAsia="Arial" w:hAnsi="Arial"/>
          <w:color w:val="1E293B"/>
          <w:sz w:val="22"/>
          <w:szCs w:val="22"/>
        </w:rPr>
        <w:t xml:space="preserve">Stage 3 threshold is not formally defined in the model — objective impairment criteria should be documented.</w:t>
      </w:r>
    </w:p>
    <w:p>
      <w:pPr>
        <w:spacing w:after="0"/>
      </w:pPr>
    </w:p>
    <w:p>
      <w:pPr>
        <w:pStyle w:val="Heading2"/>
        <w:spacing w:before="240" w:after="80"/>
      </w:pPr>
      <w:r>
        <w:rPr>
          <w:rFonts w:ascii="Arial" w:cs="Arial" w:eastAsia="Arial" w:hAnsi="Arial"/>
          <w:b/>
          <w:bCs/>
          <w:color w:val="2563EB"/>
          <w:sz w:val="24"/>
          <w:szCs w:val="24"/>
        </w:rPr>
        <w:t xml:space="preserve">10.2 Recommended Enhancements</w:t>
      </w:r>
    </w:p>
    <w:p>
      <w:pPr>
        <w:pStyle w:val="ListParagraph"/>
        <w:numPr>
          <w:ilvl w:val="0"/>
          <w:numId w:val="3"/>
        </w:numPr>
        <w:spacing w:after="60"/>
      </w:pPr>
      <w:r>
        <w:rPr>
          <w:rFonts w:ascii="Arial" w:cs="Arial" w:eastAsia="Arial" w:hAnsi="Arial"/>
          <w:color w:val="1E293B"/>
          <w:sz w:val="22"/>
          <w:szCs w:val="22"/>
        </w:rPr>
        <w:t xml:space="preserve">Implement downturn LGD per IFRS 9 B5.5.55 using loan-level collateral data.</w:t>
      </w:r>
    </w:p>
    <w:p>
      <w:pPr>
        <w:pStyle w:val="ListParagraph"/>
        <w:numPr>
          <w:ilvl w:val="0"/>
          <w:numId w:val="3"/>
        </w:numPr>
        <w:spacing w:after="60"/>
      </w:pPr>
      <w:r>
        <w:rPr>
          <w:rFonts w:ascii="Arial" w:cs="Arial" w:eastAsia="Arial" w:hAnsi="Arial"/>
          <w:color w:val="1E293B"/>
          <w:sz w:val="22"/>
          <w:szCs w:val="22"/>
        </w:rPr>
        <w:t xml:space="preserve">Develop a multi-scenario ECL framework with at least 3 weighted scenarios (base, upturn, downturn).</w:t>
      </w:r>
    </w:p>
    <w:p>
      <w:pPr>
        <w:pStyle w:val="ListParagraph"/>
        <w:numPr>
          <w:ilvl w:val="0"/>
          <w:numId w:val="3"/>
        </w:numPr>
        <w:spacing w:after="60"/>
      </w:pPr>
      <w:r>
        <w:rPr>
          <w:rFonts w:ascii="Arial" w:cs="Arial" w:eastAsia="Arial" w:hAnsi="Arial"/>
          <w:color w:val="1E293B"/>
          <w:sz w:val="22"/>
          <w:szCs w:val="22"/>
        </w:rPr>
        <w:t xml:space="preserve">Introduce rating migration matrices for dynamic TTC PD updates.</w:t>
      </w:r>
    </w:p>
    <w:p>
      <w:pPr>
        <w:pStyle w:val="ListParagraph"/>
        <w:numPr>
          <w:ilvl w:val="0"/>
          <w:numId w:val="3"/>
        </w:numPr>
        <w:spacing w:after="60"/>
      </w:pPr>
      <w:r>
        <w:rPr>
          <w:rFonts w:ascii="Arial" w:cs="Arial" w:eastAsia="Arial" w:hAnsi="Arial"/>
          <w:color w:val="1E293B"/>
          <w:sz w:val="22"/>
          <w:szCs w:val="22"/>
        </w:rPr>
        <w:t xml:space="preserve">Implement backtesting framework once 12+ months of realised default data is available.</w:t>
      </w:r>
    </w:p>
    <w:p>
      <w:pPr>
        <w:pStyle w:val="ListParagraph"/>
        <w:numPr>
          <w:ilvl w:val="0"/>
          <w:numId w:val="3"/>
        </w:numPr>
        <w:spacing w:after="60"/>
      </w:pPr>
      <w:r>
        <w:rPr>
          <w:rFonts w:ascii="Arial" w:cs="Arial" w:eastAsia="Arial" w:hAnsi="Arial"/>
          <w:color w:val="1E293B"/>
          <w:sz w:val="22"/>
          <w:szCs w:val="22"/>
        </w:rPr>
        <w:t xml:space="preserve">Formalise Stage 3 objective impairment criteria in line with IFRS 9 paragraph B5.5.22.</w:t>
      </w:r>
    </w:p>
    <w:p>
      <w:pPr>
        <w:pStyle w:val="Heading1"/>
        <w:spacing w:before="360" w:after="120"/>
      </w:pPr>
      <w:r>
        <w:rPr>
          <w:rFonts w:ascii="Arial" w:cs="Arial" w:eastAsia="Arial" w:hAnsi="Arial"/>
          <w:b/>
          <w:bCs/>
          <w:color w:val="1E2761"/>
          <w:sz w:val="28"/>
          <w:szCs w:val="28"/>
        </w:rPr>
        <w:t xml:space="preserve">11. Model Governance &amp; Controls</w:t>
      </w:r>
    </w:p>
    <w:p>
      <w:pPr>
        <w:pStyle w:val="Heading2"/>
        <w:spacing w:before="240" w:after="80"/>
      </w:pPr>
      <w:r>
        <w:rPr>
          <w:rFonts w:ascii="Arial" w:cs="Arial" w:eastAsia="Arial" w:hAnsi="Arial"/>
          <w:b/>
          <w:bCs/>
          <w:color w:val="2563EB"/>
          <w:sz w:val="24"/>
          <w:szCs w:val="24"/>
        </w:rPr>
        <w:t xml:space="preserve">11.1 Model Ownership</w:t>
      </w:r>
    </w:p>
    <w:p>
      <w:pPr>
        <w:spacing w:after="120"/>
      </w:pPr>
      <w:r>
        <w:rPr>
          <w:rFonts w:ascii="Arial" w:cs="Arial" w:eastAsia="Arial" w:hAnsi="Arial"/>
          <w:color w:val="1E293B"/>
          <w:sz w:val="22"/>
          <w:szCs w:val="22"/>
        </w:rPr>
        <w:t xml:space="preserve">This model is owned by the Risk &amp; Finance Analytics team. It is subject to independent model validation prior to use in financial reporting.</w:t>
      </w:r>
    </w:p>
    <w:p>
      <w:pPr>
        <w:pStyle w:val="Heading2"/>
        <w:spacing w:before="240" w:after="80"/>
      </w:pPr>
      <w:r>
        <w:rPr>
          <w:rFonts w:ascii="Arial" w:cs="Arial" w:eastAsia="Arial" w:hAnsi="Arial"/>
          <w:b/>
          <w:bCs/>
          <w:color w:val="2563EB"/>
          <w:sz w:val="24"/>
          <w:szCs w:val="24"/>
        </w:rPr>
        <w:t xml:space="preserve">11.2 Review Frequency</w:t>
      </w:r>
    </w:p>
    <w:p>
      <w:pPr>
        <w:pStyle w:val="ListParagraph"/>
        <w:numPr>
          <w:ilvl w:val="0"/>
          <w:numId w:val="2"/>
        </w:numPr>
        <w:spacing w:after="60"/>
      </w:pPr>
      <w:r>
        <w:rPr>
          <w:rFonts w:ascii="Arial" w:cs="Arial" w:eastAsia="Arial" w:hAnsi="Arial"/>
          <w:color w:val="1E293B"/>
          <w:sz w:val="22"/>
          <w:szCs w:val="22"/>
        </w:rPr>
        <w:t xml:space="preserve">Quarterly: Z-score inputs, staging outcomes, and provision levels reviewed by Risk Committee.</w:t>
      </w:r>
    </w:p>
    <w:p>
      <w:pPr>
        <w:pStyle w:val="ListParagraph"/>
        <w:numPr>
          <w:ilvl w:val="0"/>
          <w:numId w:val="2"/>
        </w:numPr>
        <w:spacing w:after="60"/>
      </w:pPr>
      <w:r>
        <w:rPr>
          <w:rFonts w:ascii="Arial" w:cs="Arial" w:eastAsia="Arial" w:hAnsi="Arial"/>
          <w:color w:val="1E293B"/>
          <w:sz w:val="22"/>
          <w:szCs w:val="22"/>
        </w:rPr>
        <w:t xml:space="preserve">Annual: Full model review including parameter recalibration (ρ, LGD, rating scale thresholds).</w:t>
      </w:r>
    </w:p>
    <w:p>
      <w:pPr>
        <w:pStyle w:val="ListParagraph"/>
        <w:numPr>
          <w:ilvl w:val="0"/>
          <w:numId w:val="2"/>
        </w:numPr>
        <w:spacing w:after="60"/>
      </w:pPr>
      <w:r>
        <w:rPr>
          <w:rFonts w:ascii="Arial" w:cs="Arial" w:eastAsia="Arial" w:hAnsi="Arial"/>
          <w:color w:val="1E293B"/>
          <w:sz w:val="22"/>
          <w:szCs w:val="22"/>
        </w:rPr>
        <w:t xml:space="preserve">Ad-hoc: Triggered by material changes in portfolio composition, regulatory guidance updates, or model performance alerts.</w:t>
      </w:r>
    </w:p>
    <w:p>
      <w:pPr>
        <w:pStyle w:val="Heading2"/>
        <w:spacing w:before="240" w:after="80"/>
      </w:pPr>
      <w:r>
        <w:rPr>
          <w:rFonts w:ascii="Arial" w:cs="Arial" w:eastAsia="Arial" w:hAnsi="Arial"/>
          <w:b/>
          <w:bCs/>
          <w:color w:val="2563EB"/>
          <w:sz w:val="24"/>
          <w:szCs w:val="24"/>
        </w:rPr>
        <w:t xml:space="preserve">11.3 Key Controls</w:t>
      </w:r>
    </w:p>
    <w:p>
      <w:pPr>
        <w:pStyle w:val="ListParagraph"/>
        <w:numPr>
          <w:ilvl w:val="0"/>
          <w:numId w:val="2"/>
        </w:numPr>
        <w:spacing w:after="60"/>
      </w:pPr>
      <w:r>
        <w:rPr>
          <w:rFonts w:ascii="Arial" w:cs="Arial" w:eastAsia="Arial" w:hAnsi="Arial"/>
          <w:color w:val="1E293B"/>
          <w:sz w:val="22"/>
          <w:szCs w:val="22"/>
        </w:rPr>
        <w:t xml:space="preserve">Dual authorisation required for parameter changes.</w:t>
      </w:r>
    </w:p>
    <w:p>
      <w:pPr>
        <w:pStyle w:val="ListParagraph"/>
        <w:numPr>
          <w:ilvl w:val="0"/>
          <w:numId w:val="2"/>
        </w:numPr>
        <w:spacing w:after="60"/>
      </w:pPr>
      <w:r>
        <w:rPr>
          <w:rFonts w:ascii="Arial" w:cs="Arial" w:eastAsia="Arial" w:hAnsi="Arial"/>
          <w:color w:val="1E293B"/>
          <w:sz w:val="22"/>
          <w:szCs w:val="22"/>
        </w:rPr>
        <w:t xml:space="preserve">SIRC threshold changes require Model Validation Committee approval.</w:t>
      </w:r>
    </w:p>
    <w:p>
      <w:pPr>
        <w:pStyle w:val="ListParagraph"/>
        <w:numPr>
          <w:ilvl w:val="0"/>
          <w:numId w:val="2"/>
        </w:numPr>
        <w:spacing w:after="60"/>
      </w:pPr>
      <w:r>
        <w:rPr>
          <w:rFonts w:ascii="Arial" w:cs="Arial" w:eastAsia="Arial" w:hAnsi="Arial"/>
          <w:color w:val="1E293B"/>
          <w:sz w:val="22"/>
          <w:szCs w:val="22"/>
        </w:rPr>
        <w:t xml:space="preserve">Quarterly reconciliation of provision to general ledger.</w:t>
      </w:r>
    </w:p>
    <w:p>
      <w:pPr>
        <w:pStyle w:val="ListParagraph"/>
        <w:numPr>
          <w:ilvl w:val="0"/>
          <w:numId w:val="2"/>
        </w:numPr>
        <w:spacing w:after="60"/>
      </w:pPr>
      <w:r>
        <w:rPr>
          <w:rFonts w:ascii="Arial" w:cs="Arial" w:eastAsia="Arial" w:hAnsi="Arial"/>
          <w:color w:val="1E293B"/>
          <w:sz w:val="22"/>
          <w:szCs w:val="22"/>
        </w:rPr>
        <w:t xml:space="preserve">Independent model validation every 2 years or upon material model change.</w:t>
      </w:r>
    </w:p>
    <w:p>
      <w:r>
        <w:br/>
      </w:r>
    </w:p>
    <w:p>
      <w:pPr>
        <w:pStyle w:val="Heading1"/>
        <w:spacing w:before="360" w:after="120"/>
      </w:pPr>
      <w:r>
        <w:rPr>
          <w:rFonts w:ascii="Arial" w:cs="Arial" w:eastAsia="Arial" w:hAnsi="Arial"/>
          <w:b/>
          <w:bCs/>
          <w:color w:val="1E2761"/>
          <w:sz w:val="28"/>
          <w:szCs w:val="28"/>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34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234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 / Source</w:t>
            </w:r>
          </w:p>
        </w:tc>
        <w:tc>
          <w:tcPr>
            <w:tcW w:type="dxa" w:w="234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ECL</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Expected Credit Loss</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IFRS 9 §5.5</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Probability-weighted estimate of credit losses</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TTC PD</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Through-the-Cycle PD</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Model input</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Long-run average default probability</w:t>
            </w:r>
          </w:p>
        </w:tc>
      </w:tr>
      <w:tr>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PIT PD</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Point-in-Time PD</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Model output</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Current/forward-looking default probability</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LGD</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Loss Given Default</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Fixed parameter</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Loss rate conditional on default</w:t>
            </w:r>
          </w:p>
        </w:tc>
      </w:tr>
      <w:tr>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EAD</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Exposure at Default</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Amortised balance</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Outstanding principal at default date</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EIR</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Effective Interest Rate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Per loan</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Contractual interest rate for discounting</w:t>
            </w:r>
          </w:p>
        </w:tc>
      </w:tr>
      <w:tr>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SICR</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Significant Increase in Credit Risk</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Staging trigger</w:t>
            </w:r>
          </w:p>
        </w:tc>
        <w:tc>
          <w:tcPr>
            <w:tcW w:type="dxa" w:w="23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sz w:val="20"/>
                <w:szCs w:val="20"/>
              </w:rPr>
              <w:t xml:space="preserve">Criterion for Stage 1→2 transfer</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SIRC</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Significant Increase in Risk Criterion</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Model test</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sz w:val="20"/>
                <w:szCs w:val="20"/>
              </w:rPr>
              <w:t xml:space="preserve">Sensitivity test on SICR threshold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Risk &amp; Finance Analytics  |  IFRS 9 ECL Model Methodology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8"/>
        <w:szCs w:val="18"/>
      </w:rPr>
      <w:t xml:space="preserve">IFRS 9 ECL Model – Model Methodology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2761"/>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563EB"/>
      <w:sz w:val="26"/>
      <w:szCs w:val="26"/>
    </w:rPr>
  </w:style>
  <w:style w:type="paragraph" w:styleId="Heading3">
    <w:name w:val="Heading 3"/>
    <w:basedOn w:val="Normal"/>
    <w:next w:val="Normal"/>
    <w:qFormat/>
    <w:pPr>
      <w:spacing w:before="160" w:after="6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2026-03-03T11:27:07.024Z</dcterms:created>
  <dcterms:modified xsi:type="dcterms:W3CDTF">2026-03-03T11:27:07.025Z</dcterms:modified>
</cp:coreProperties>
</file>

<file path=docProps/custom.xml><?xml version="1.0" encoding="utf-8"?>
<Properties xmlns="http://schemas.openxmlformats.org/officeDocument/2006/custom-properties" xmlns:vt="http://schemas.openxmlformats.org/officeDocument/2006/docPropsVTypes"/>
</file>