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0A5FBF"/>
          <w:sz w:val="64"/>
          <w:szCs w:val="64"/>
        </w:rPr>
        <w:t xml:space="preserve">RainShield AI</w:t>
      </w:r>
    </w:p>
    <w:p>
      <w:pPr>
        <w:spacing w:after="240"/>
        <w:jc w:val="center"/>
      </w:pPr>
      <w:r>
        <w:rPr>
          <w:rFonts w:ascii="Calibri" w:cs="Calibri" w:eastAsia="Calibri" w:hAnsi="Calibri"/>
          <w:color w:val="595959"/>
          <w:sz w:val="30"/>
          <w:szCs w:val="30"/>
        </w:rPr>
        <w:t xml:space="preserve">Prototype Walkthrough &amp; Technical Pitch</w:t>
      </w:r>
    </w:p>
    <w:p>
      <w:pPr>
        <w:spacing w:after="100"/>
        <w:jc w:val="center"/>
      </w:pPr>
      <w:r>
        <w:rPr>
          <w:rFonts w:ascii="Calibri" w:cs="Calibri" w:eastAsia="Calibri" w:hAnsi="Calibri"/>
          <w:i/>
          <w:iCs/>
          <w:color w:val="595959"/>
          <w:sz w:val="22"/>
          <w:szCs w:val="22"/>
        </w:rPr>
        <w:t xml:space="preserve">Heavy-rainfall early warning and flood inundation prediction</w:t>
      </w:r>
    </w:p>
    <w:p>
      <w:pPr>
        <w:spacing w:after="700"/>
        <w:jc w:val="center"/>
      </w:pPr>
      <w:r>
        <w:rPr>
          <w:rFonts w:ascii="Calibri" w:cs="Calibri" w:eastAsia="Calibri" w:hAnsi="Calibri"/>
          <w:color w:val="595959"/>
          <w:sz w:val="22"/>
          <w:szCs w:val="22"/>
        </w:rPr>
        <w:t xml:space="preserve">Mumbai Suburban 1 km grid  ·  SIH26071  ·  Team HydroNex</w:t>
      </w:r>
    </w:p>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HOW TO USE THIS DOCUMENT</w:t>
            </w:r>
          </w:p>
          <w:p>
            <w:pPr>
              <w:spacing w:line="276"/>
            </w:pPr>
            <w:r>
              <w:rPr>
                <w:rFonts w:ascii="Calibri" w:cs="Calibri" w:eastAsia="Calibri" w:hAnsi="Calibri"/>
                <w:color w:val="1A1A1A"/>
                <w:sz w:val="21"/>
                <w:szCs w:val="21"/>
              </w:rPr>
              <w:t xml:space="preserve">Seven sections, one per tab of the dashboard, in the order you should demo them. Each section has three parts: what the panel shows on screen, what is running behind it, and the one or two sentences to actually say out loud. The last two sections are the honest-limitations slide and a question-and-answer crib sheet.</w:t>
            </w:r>
          </w:p>
        </w:tc>
      </w:tr>
    </w:tbl>
    <w:p>
      <w:r>
        <w:br w:type="page"/>
      </w:r>
    </w:p>
    <w:p>
      <w:pPr>
        <w:pStyle w:val="Heading1"/>
        <w:spacing w:after="140" w:before="360"/>
      </w:pPr>
      <w:r>
        <w:rPr>
          <w:rFonts w:ascii="Calibri" w:cs="Calibri" w:eastAsia="Calibri" w:hAnsi="Calibri"/>
          <w:b/>
          <w:bCs/>
          <w:color w:val="0A5FBF"/>
          <w:sz w:val="32"/>
          <w:szCs w:val="32"/>
        </w:rPr>
        <w:t xml:space="preserve">0.  The 60-second opener</w:t>
      </w:r>
    </w:p>
    <w:p>
      <w:pPr>
        <w:spacing w:after="120" w:line="276"/>
      </w:pPr>
      <w:r>
        <w:rPr>
          <w:rFonts w:ascii="Calibri" w:cs="Calibri" w:eastAsia="Calibri" w:hAnsi="Calibri"/>
          <w:color w:val="1A1A1A"/>
          <w:sz w:val="21"/>
          <w:szCs w:val="21"/>
        </w:rPr>
        <w:t xml:space="preserve">Say this before you touch the mouse.</w:t>
      </w:r>
    </w:p>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THE PITCH IN FOUR SENTENCES</w:t>
            </w:r>
          </w:p>
          <w:p>
            <w:pPr>
              <w:spacing w:line="276"/>
            </w:pPr>
            <w:r>
              <w:rPr>
                <w:rFonts w:ascii="Calibri" w:cs="Calibri" w:eastAsia="Calibri" w:hAnsi="Calibri"/>
                <w:color w:val="1A1A1A"/>
                <w:sz w:val="21"/>
                <w:szCs w:val="21"/>
              </w:rPr>
              <w:t xml:space="preserve">Mumbai floods every monsoon, and the city finds out where it is flooding after it has already happened. RainShield pulls live weather every ten minutes, scores a 45 × 39 grid of 1 km cells over Mumbai Suburban with a trained neural network plus a mass-conserving water-routing solver, and rolls the result up into ward-level warnings out to six hours ahead. It does not just say "risk is high" — it tells you which ward, how deep, how many people, how long until water arrives, and whether the city's seven pumping stations can actually clear what is falling. Every number on the board comes from the live API; nothing is hard-coded.</w:t>
            </w:r>
          </w:p>
        </w:tc>
      </w:tr>
    </w:tbl>
    <w:p>
      <w:pPr>
        <w:pStyle w:val="Heading2"/>
        <w:spacing w:after="100" w:before="260"/>
      </w:pPr>
      <w:r>
        <w:rPr>
          <w:rFonts w:ascii="Calibri" w:cs="Calibri" w:eastAsia="Calibri" w:hAnsi="Calibri"/>
          <w:b/>
          <w:bCs/>
          <w:color w:val="1F2937"/>
          <w:sz w:val="24"/>
          <w:szCs w:val="24"/>
        </w:rPr>
        <w:t xml:space="preserve">The one-line architecture</w:t>
      </w:r>
    </w:p>
    <w:p>
      <w:pPr>
        <w:shd w:fill="F2F5F9" w:val="clear"/>
        <w:spacing w:after="0" w:before="60"/>
        <w:ind w:left="215"/>
      </w:pPr>
      <w:r>
        <w:rPr>
          <w:rFonts w:ascii="Consolas" w:cs="Consolas" w:eastAsia="Consolas" w:hAnsi="Consolas"/>
          <w:color w:val="1F2937"/>
          <w:sz w:val="18"/>
          <w:szCs w:val="18"/>
        </w:rPr>
        <w:t xml:space="preserve">┌─ live feed ───────┐   ┌─ backend/rainshield ──────────────┐   ┌─ dashboard ─┐</w:t>
      </w:r>
    </w:p>
    <w:p>
      <w:pPr>
        <w:shd w:fill="F2F5F9" w:val="clear"/>
        <w:spacing w:after="0" w:before="0"/>
        <w:ind w:left="215"/>
      </w:pPr>
      <w:r>
        <w:rPr>
          <w:rFonts w:ascii="Consolas" w:cs="Consolas" w:eastAsia="Consolas" w:hAnsi="Consolas"/>
          <w:color w:val="1F2937"/>
          <w:sz w:val="18"/>
          <w:szCs w:val="18"/>
        </w:rPr>
        <w:t xml:space="preserve">│ Open-Meteo        │──▶│ 10-channel tensor → RainShieldNet │──▶│ React +     │</w:t>
      </w:r>
    </w:p>
    <w:p>
      <w:pPr>
        <w:shd w:fill="F2F5F9" w:val="clear"/>
        <w:spacing w:after="0" w:before="0"/>
        <w:ind w:left="215"/>
      </w:pPr>
      <w:r>
        <w:rPr>
          <w:rFonts w:ascii="Consolas" w:cs="Consolas" w:eastAsia="Consolas" w:hAnsi="Consolas"/>
          <w:color w:val="1F2937"/>
          <w:sz w:val="18"/>
          <w:szCs w:val="18"/>
        </w:rPr>
        <w:t xml:space="preserve">│ MET Norway (fallb)│   │ → susceptibility × rainfall       │   │ MapLibre    │</w:t>
      </w:r>
    </w:p>
    <w:p>
      <w:pPr>
        <w:shd w:fill="F2F5F9" w:val="clear"/>
        <w:spacing w:after="0" w:before="0"/>
        <w:ind w:left="215"/>
      </w:pPr>
      <w:r>
        <w:rPr>
          <w:rFonts w:ascii="Consolas" w:cs="Consolas" w:eastAsia="Consolas" w:hAnsi="Consolas"/>
          <w:color w:val="1F2937"/>
          <w:sz w:val="18"/>
          <w:szCs w:val="18"/>
        </w:rPr>
        <w:t xml:space="preserve">└───────────────────┘   │ → hydraulics → composite risk     │   └─────────────┘</w:t>
      </w:r>
    </w:p>
    <w:p>
      <w:pPr>
        <w:shd w:fill="F2F5F9" w:val="clear"/>
        <w:spacing w:after="0" w:before="0"/>
        <w:ind w:left="215"/>
      </w:pPr>
      <w:r>
        <w:rPr>
          <w:rFonts w:ascii="Consolas" w:cs="Consolas" w:eastAsia="Consolas" w:hAnsi="Consolas"/>
          <w:color w:val="1F2937"/>
          <w:sz w:val="18"/>
          <w:szCs w:val="18"/>
        </w:rPr>
        <w:t xml:space="preserve">                        │ → ward roll-up → CAP alert        │</w:t>
      </w:r>
    </w:p>
    <w:p>
      <w:pPr>
        <w:shd w:fill="F2F5F9" w:val="clear"/>
        <w:spacing w:after="140" w:before="0"/>
        <w:ind w:left="215"/>
      </w:pPr>
      <w:r>
        <w:rPr>
          <w:rFonts w:ascii="Consolas" w:cs="Consolas" w:eastAsia="Consolas" w:hAnsi="Consolas"/>
          <w:color w:val="1F2937"/>
          <w:sz w:val="18"/>
          <w:szCs w:val="18"/>
        </w:rPr>
        <w:t xml:space="preserve">                        └───────────────────────────────────┘</w:t>
      </w:r>
    </w:p>
    <w:p>
      <w:pPr>
        <w:pStyle w:val="Heading2"/>
        <w:spacing w:after="100" w:before="260"/>
      </w:pPr>
      <w:r>
        <w:rPr>
          <w:rFonts w:ascii="Calibri" w:cs="Calibri" w:eastAsia="Calibri" w:hAnsi="Calibri"/>
          <w:b/>
          <w:bCs/>
          <w:color w:val="1F2937"/>
          <w:sz w:val="24"/>
          <w:szCs w:val="24"/>
        </w:rPr>
        <w:t xml:space="preserve">The stack, so you can answer "what did you build it with?" in one breath</w:t>
      </w:r>
    </w:p>
    <w:tbl>
      <w:tblPr>
        <w:tblW w:type="dxa" w:w="9360"/>
        <w:tblBorders>
          <w:top w:val="single" w:color="C9D4E0" w:sz="2"/>
          <w:left w:val="single" w:color="C9D4E0" w:sz="2"/>
          <w:bottom w:val="single" w:color="C9D4E0" w:sz="2"/>
          <w:right w:val="single" w:color="C9D4E0" w:sz="2"/>
          <w:insideH w:val="single" w:color="DDE5EE" w:sz="2"/>
          <w:insideV w:val="single" w:color="DDE5EE" w:sz="2"/>
        </w:tblBorders>
      </w:tblPr>
      <w:tblGrid>
        <w:gridCol w:w="1500"/>
        <w:gridCol w:w="3600"/>
        <w:gridCol w:w="4260"/>
      </w:tblGrid>
      <w:tr>
        <w:trPr>
          <w:tblHeader/>
        </w:trPr>
        <w:tc>
          <w:tcPr>
            <w:tcW w:type="dxa" w:w="15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Layer</w:t>
            </w:r>
          </w:p>
        </w:tc>
        <w:tc>
          <w:tcPr>
            <w:tcW w:type="dxa" w:w="36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Technology</w:t>
            </w:r>
          </w:p>
        </w:tc>
        <w:tc>
          <w:tcPr>
            <w:tcW w:type="dxa" w:w="426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Why this choice</w:t>
            </w:r>
          </w:p>
        </w:tc>
      </w:tr>
      <w:tr>
        <w:tc>
          <w:tcPr>
            <w:tcW w:type="dxa" w:w="15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Dashboard</w:t>
            </w:r>
          </w:p>
        </w:tc>
        <w:tc>
          <w:tcPr>
            <w:tcW w:type="dxa" w:w="36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React 18 + TypeScript, Vite, Tailwind CSS</w:t>
            </w:r>
          </w:p>
        </w:tc>
        <w:tc>
          <w:tcPr>
            <w:tcW w:type="dxa" w:w="42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Strict typing across 1755-cell payloads; Vite for instant HMR during a 36-hour build</w:t>
            </w:r>
          </w:p>
        </w:tc>
      </w:tr>
      <w:tr>
        <w:tc>
          <w:tcPr>
            <w:tcW w:type="dxa" w:w="15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Mapping</w:t>
            </w:r>
          </w:p>
        </w:tc>
        <w:tc>
          <w:tcPr>
            <w:tcW w:type="dxa" w:w="36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MapLibre GL JS 4, CARTO dark raster basemap</w:t>
            </w:r>
          </w:p>
        </w:tc>
        <w:tc>
          <w:tcPr>
            <w:tcW w:type="dxa" w:w="42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Open-source, no Mapbox token, GPU-rendered vector overlays over 1755 polygons</w:t>
            </w:r>
          </w:p>
        </w:tc>
      </w:tr>
      <w:tr>
        <w:tc>
          <w:tcPr>
            <w:tcW w:type="dxa" w:w="15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Charts</w:t>
            </w:r>
          </w:p>
        </w:tc>
        <w:tc>
          <w:tcPr>
            <w:tcW w:type="dxa" w:w="36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Recharts (SVG)</w:t>
            </w:r>
          </w:p>
        </w:tc>
        <w:tc>
          <w:tcPr>
            <w:tcW w:type="dxa" w:w="42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Composable React charts — donut, composed area+line, meters</w:t>
            </w:r>
          </w:p>
        </w:tc>
      </w:tr>
      <w:tr>
        <w:tc>
          <w:tcPr>
            <w:tcW w:type="dxa" w:w="15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API</w:t>
            </w:r>
          </w:p>
        </w:tc>
        <w:tc>
          <w:tcPr>
            <w:tcW w:type="dxa" w:w="36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FastAPI + Uvicorn (Python)</w:t>
            </w:r>
          </w:p>
        </w:tc>
        <w:tc>
          <w:tcPr>
            <w:tcW w:type="dxa" w:w="42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Typed request models, automatic OpenAPI docs at /docs, async-ready</w:t>
            </w:r>
          </w:p>
        </w:tc>
      </w:tr>
      <w:tr>
        <w:tc>
          <w:tcPr>
            <w:tcW w:type="dxa" w:w="15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Inference</w:t>
            </w:r>
          </w:p>
        </w:tc>
        <w:tc>
          <w:tcPr>
            <w:tcW w:type="dxa" w:w="36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NumPy 2.4 only — no PyTorch in production</w:t>
            </w:r>
          </w:p>
        </w:tc>
        <w:tc>
          <w:tcPr>
            <w:tcW w:type="dxa" w:w="42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175k-parameter model runs in NumPy; saves a ~2.5 GB dependency and a slow cold start</w:t>
            </w:r>
          </w:p>
        </w:tc>
      </w:tr>
      <w:tr>
        <w:tc>
          <w:tcPr>
            <w:tcW w:type="dxa" w:w="15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Numerics</w:t>
            </w:r>
          </w:p>
        </w:tc>
        <w:tc>
          <w:tcPr>
            <w:tcW w:type="dxa" w:w="36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SciPy (splines, terrain ops)</w:t>
            </w:r>
          </w:p>
        </w:tc>
        <w:tc>
          <w:tcPr>
            <w:tcW w:type="dxa" w:w="42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Bicubic spline to resample coarse forecast mesh onto the 1 km grid</w:t>
            </w:r>
          </w:p>
        </w:tc>
      </w:tr>
      <w:tr>
        <w:tc>
          <w:tcPr>
            <w:tcW w:type="dxa" w:w="15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Model</w:t>
            </w:r>
          </w:p>
        </w:tc>
        <w:tc>
          <w:tcPr>
            <w:tcW w:type="dxa" w:w="36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RainShieldNet: 2D CNN → squeeze-excitation → 3-layer spatial transformer → per-cell sigmoid</w:t>
            </w:r>
          </w:p>
        </w:tc>
        <w:tc>
          <w:tcPr>
            <w:tcW w:type="dxa" w:w="42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175k params, trained in PyTorch offline, served torch-free</w:t>
            </w:r>
          </w:p>
        </w:tc>
      </w:tr>
      <w:tr>
        <w:tc>
          <w:tcPr>
            <w:tcW w:type="dxa" w:w="15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Hosting</w:t>
            </w:r>
          </w:p>
        </w:tc>
        <w:tc>
          <w:tcPr>
            <w:tcW w:type="dxa" w:w="36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Vercel (frontend) + Render (API), Dockerfile committed</w:t>
            </w:r>
          </w:p>
        </w:tc>
        <w:tc>
          <w:tcPr>
            <w:tcW w:type="dxa" w:w="42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Two services; frontend is a static bundle, API is a container</w:t>
            </w:r>
          </w:p>
        </w:tc>
      </w:tr>
      <w:tr>
        <w:tc>
          <w:tcPr>
            <w:tcW w:type="dxa" w:w="15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Tests</w:t>
            </w:r>
          </w:p>
        </w:tc>
        <w:tc>
          <w:tcPr>
            <w:tcW w:type="dxa" w:w="36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177 tests (pytest)</w:t>
            </w:r>
          </w:p>
        </w:tc>
        <w:tc>
          <w:tcPr>
            <w:tcW w:type="dxa" w:w="42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Checkpoint reader, NumPy/torch equivalence, ingest, hazard, API, feed, solver mass closure</w:t>
            </w:r>
          </w:p>
        </w:tc>
      </w:tr>
    </w:tbl>
    <w:p>
      <w:pPr>
        <w:pBdr>
          <w:bottom w:val="single" w:color="D6DEE8" w:sz="6"/>
        </w:pBdr>
        <w:spacing w:after="160" w:before="160"/>
      </w:pPr>
      <w:r>
        <w:t xml:space="preserve"/>
      </w:r>
    </w:p>
    <w:p>
      <w:pPr>
        <w:pStyle w:val="Heading2"/>
        <w:spacing w:after="100" w:before="260"/>
      </w:pPr>
      <w:r>
        <w:rPr>
          <w:rFonts w:ascii="Calibri" w:cs="Calibri" w:eastAsia="Calibri" w:hAnsi="Calibri"/>
          <w:b/>
          <w:bCs/>
          <w:color w:val="1F2937"/>
          <w:sz w:val="24"/>
          <w:szCs w:val="24"/>
        </w:rPr>
        <w:t xml:space="preserve">Two regions — mention this early</w:t>
      </w:r>
    </w:p>
    <w:p>
      <w:pPr>
        <w:spacing w:after="120" w:line="276"/>
      </w:pPr>
      <w:r>
        <w:rPr>
          <w:rFonts w:ascii="Calibri" w:cs="Calibri" w:eastAsia="Calibri" w:hAnsi="Calibri"/>
          <w:color w:val="1A1A1A"/>
          <w:sz w:val="21"/>
          <w:szCs w:val="21"/>
        </w:rPr>
        <w:t xml:space="preserve">The region selector in the header offers two places, and the distinction matters because a judge will ask whether anything is faked.</w:t>
      </w:r>
    </w:p>
    <w:tbl>
      <w:tblPr>
        <w:tblW w:type="dxa" w:w="9360"/>
        <w:tblBorders>
          <w:top w:val="single" w:color="C9D4E0" w:sz="2"/>
          <w:left w:val="single" w:color="C9D4E0" w:sz="2"/>
          <w:bottom w:val="single" w:color="C9D4E0" w:sz="2"/>
          <w:right w:val="single" w:color="C9D4E0" w:sz="2"/>
          <w:insideH w:val="single" w:color="DDE5EE" w:sz="2"/>
          <w:insideV w:val="single" w:color="DDE5EE" w:sz="2"/>
        </w:tblBorders>
      </w:tblPr>
      <w:tblGrid>
        <w:gridCol w:w="1900"/>
        <w:gridCol w:w="2600"/>
        <w:gridCol w:w="2500"/>
        <w:gridCol w:w="2360"/>
      </w:tblGrid>
      <w:tr>
        <w:trPr>
          <w:tblHeader/>
        </w:trPr>
        <w:tc>
          <w:tcPr>
            <w:tcW w:type="dxa" w:w="19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Region</w:t>
            </w:r>
          </w:p>
        </w:tc>
        <w:tc>
          <w:tcPr>
            <w:tcW w:type="dxa" w:w="26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Terrain</w:t>
            </w:r>
          </w:p>
        </w:tc>
        <w:tc>
          <w:tcPr>
            <w:tcW w:type="dxa" w:w="25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Weather</w:t>
            </w:r>
          </w:p>
        </w:tc>
        <w:tc>
          <w:tcPr>
            <w:tcW w:type="dxa" w:w="236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What it reaches</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Mumbai Suburban</w:t>
            </w:r>
          </w:p>
          <w:p>
            <w:pPr>
              <w:spacing w:line="256"/>
            </w:pPr>
            <w:r>
              <w:rPr>
                <w:rFonts w:ascii="Calibri" w:cs="Calibri" w:eastAsia="Calibri" w:hAnsi="Calibri"/>
                <w:b w:val="false"/>
                <w:bCs w:val="false"/>
                <w:color w:val="1A1A1A"/>
                <w:sz w:val="19"/>
                <w:szCs w:val="19"/>
              </w:rPr>
              <w:t xml:space="preserve">(mumbai)</w:t>
            </w:r>
          </w:p>
        </w:tc>
        <w:tc>
          <w:tcPr>
            <w:tcW w:type="dxa" w:w="26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Real Stage 0/1 rasters — SRTM DEM, slope, OSM infrastructure, WorldPop</w:t>
            </w:r>
          </w:p>
        </w:tc>
        <w:tc>
          <w:tcPr>
            <w:tcW w:type="dxa" w:w="25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Real, live: Open-Meteo → MET Norway fallback</w:t>
            </w:r>
          </w:p>
        </w:tc>
        <w:tc>
          <w:tcPr>
            <w:tcW w:type="dxa" w:w="23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Whatever the weather is actually doing — usually Normal or Watch</w:t>
            </w:r>
          </w:p>
        </w:tc>
      </w:tr>
      <w:tr>
        <w:tc>
          <w:tcPr>
            <w:tcW w:type="dxa" w:w="19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Coromandel Delta</w:t>
            </w:r>
          </w:p>
          <w:p>
            <w:pPr>
              <w:spacing w:line="256"/>
            </w:pPr>
            <w:r>
              <w:rPr>
                <w:rFonts w:ascii="Calibri" w:cs="Calibri" w:eastAsia="Calibri" w:hAnsi="Calibri"/>
                <w:b w:val="false"/>
                <w:bCs w:val="false"/>
                <w:color w:val="1A1A1A"/>
                <w:sz w:val="19"/>
                <w:szCs w:val="19"/>
              </w:rPr>
              <w:t xml:space="preserve">(coromandel)</w:t>
            </w:r>
          </w:p>
        </w:tc>
        <w:tc>
          <w:tcPr>
            <w:tcW w:type="dxa" w:w="26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Generated deterministically, in the same physical units as the Stage 1 tensor</w:t>
            </w:r>
          </w:p>
        </w:tc>
        <w:tc>
          <w:tcPr>
            <w:tcW w:type="dxa" w:w="25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A scripted monsoon depression that makes landfall and decays on a 90–180 minute cycle</w:t>
            </w:r>
          </w:p>
        </w:tc>
        <w:tc>
          <w:tcPr>
            <w:tcW w:type="dxa" w:w="23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Normal → Watch → Warning → Critical, every cycle</w:t>
            </w:r>
          </w:p>
        </w:tc>
      </w:tr>
    </w:tbl>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SAY THIS, IT WINS TRUST</w:t>
            </w:r>
          </w:p>
          <w:p>
            <w:pPr>
              <w:spacing w:line="276"/>
            </w:pPr>
            <w:r>
              <w:rPr>
                <w:rFonts w:ascii="Calibri" w:cs="Calibri" w:eastAsia="Calibri" w:hAnsi="Calibri"/>
                <w:color w:val="1A1A1A"/>
                <w:sz w:val="21"/>
                <w:szCs w:val="21"/>
              </w:rPr>
              <w:t xml:space="preserve">Mumbai is quiet most of the year, so a genuinely live board sits at Normal and never exercises the Warning and Critical paths — ward escalation, time-to-inundation, the CAP alert chain. The second region exists to drive them. It is never dressed up as real: it is kind "simulated" in the registry, every observation carries simulated: true, an amber banner sits on every view, and its CAP alerts append "[SIMULATED — not a real place]". And it is not a canned risk map — the actual trained network runs over its terrain. Only the inputs are invented; the inference, hazard model and risk weights are the same code path.</w:t>
            </w:r>
          </w:p>
        </w:tc>
      </w:tr>
    </w:tbl>
    <w:p>
      <w:pPr>
        <w:spacing w:after="120" w:line="276"/>
      </w:pPr>
      <w:r>
        <w:rPr>
          <w:rFonts w:ascii="Calibri" w:cs="Calibri" w:eastAsia="Calibri" w:hAnsi="Calibri"/>
          <w:color w:val="1A1A1A"/>
          <w:sz w:val="21"/>
          <w:szCs w:val="21"/>
        </w:rPr>
        <w:t xml:space="preserve">The code also draws a second distinction worth knowing: degraded means a real feed failed and cached or synthetic data stood in. Simulated means the field is generated. A simulated region has no real feed to lose, so it is not degraded — it is simply not a measurement.</w:t>
      </w:r>
    </w:p>
    <w:p>
      <w:r>
        <w:br w:type="page"/>
      </w:r>
    </w:p>
    <w:p>
      <w:pPr>
        <w:pStyle w:val="Heading1"/>
        <w:spacing w:after="140" w:before="360"/>
      </w:pPr>
      <w:r>
        <w:rPr>
          <w:rFonts w:ascii="Calibri" w:cs="Calibri" w:eastAsia="Calibri" w:hAnsi="Calibri"/>
          <w:b/>
          <w:bCs/>
          <w:color w:val="0A5FBF"/>
          <w:sz w:val="32"/>
          <w:szCs w:val="32"/>
        </w:rPr>
        <w:t xml:space="preserve">1.  Dashboard  —  "what is happening, where, and who is exposed"</w:t>
      </w:r>
    </w:p>
    <w:p>
      <w:pPr>
        <w:spacing w:after="120" w:line="276"/>
      </w:pPr>
      <w:r>
        <w:rPr>
          <w:rFonts w:ascii="Calibri" w:cs="Calibri" w:eastAsia="Calibri" w:hAnsi="Calibri"/>
          <w:color w:val="1A1A1A"/>
          <w:sz w:val="21"/>
          <w:szCs w:val="21"/>
        </w:rPr>
        <w:t xml:space="preserve">This is the landing tab and the one an operator would leave open on a wall screen. Demo it for about 90 seconds, then move on — the depth is in the later tabs.</w:t>
      </w:r>
    </w:p>
    <w:p>
      <w:pPr>
        <w:pStyle w:val="Heading2"/>
        <w:spacing w:after="100" w:before="260"/>
      </w:pPr>
      <w:r>
        <w:rPr>
          <w:rFonts w:ascii="Calibri" w:cs="Calibri" w:eastAsia="Calibri" w:hAnsi="Calibri"/>
          <w:b/>
          <w:bCs/>
          <w:color w:val="1F2937"/>
          <w:sz w:val="24"/>
          <w:szCs w:val="24"/>
        </w:rPr>
        <w:t xml:space="preserve">What is on screen</w:t>
      </w:r>
    </w:p>
    <w:p>
      <w:pPr>
        <w:spacing w:after="120" w:line="276"/>
      </w:pPr>
      <w:r>
        <w:rPr>
          <w:rFonts w:ascii="Calibri" w:cs="Calibri" w:eastAsia="Calibri" w:hAnsi="Calibri"/>
          <w:color w:val="1A1A1A"/>
          <w:sz w:val="21"/>
          <w:szCs w:val="21"/>
        </w:rPr>
        <w:t xml:space="preserve">Three columns plus a bottom strip.</w:t>
      </w:r>
    </w:p>
    <w:tbl>
      <w:tblPr>
        <w:tblW w:type="dxa" w:w="9360"/>
        <w:tblBorders>
          <w:top w:val="single" w:color="C9D4E0" w:sz="2"/>
          <w:left w:val="single" w:color="C9D4E0" w:sz="2"/>
          <w:bottom w:val="single" w:color="C9D4E0" w:sz="2"/>
          <w:right w:val="single" w:color="C9D4E0" w:sz="2"/>
          <w:insideH w:val="single" w:color="DDE5EE" w:sz="2"/>
          <w:insideV w:val="single" w:color="DDE5EE" w:sz="2"/>
        </w:tblBorders>
      </w:tblPr>
      <w:tblGrid>
        <w:gridCol w:w="1700"/>
        <w:gridCol w:w="3400"/>
        <w:gridCol w:w="4260"/>
      </w:tblGrid>
      <w:tr>
        <w:trPr>
          <w:tblHeader/>
        </w:trPr>
        <w:tc>
          <w:tcPr>
            <w:tcW w:type="dxa" w:w="17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Panel</w:t>
            </w:r>
          </w:p>
        </w:tc>
        <w:tc>
          <w:tcPr>
            <w:tcW w:type="dxa" w:w="34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What it shows</w:t>
            </w:r>
          </w:p>
        </w:tc>
        <w:tc>
          <w:tcPr>
            <w:tcW w:type="dxa" w:w="426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Behind the scenes</w:t>
            </w:r>
          </w:p>
        </w:tc>
      </w:tr>
      <w:tr>
        <w:tc>
          <w:tcPr>
            <w:tcW w:type="dxa" w:w="17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Flood overview</w:t>
            </w:r>
          </w:p>
          <w:p>
            <w:pPr>
              <w:spacing w:line="256"/>
            </w:pPr>
            <w:r>
              <w:rPr>
                <w:rFonts w:ascii="Calibri" w:cs="Calibri" w:eastAsia="Calibri" w:hAnsi="Calibri"/>
                <w:b w:val="false"/>
                <w:bCs w:val="false"/>
                <w:color w:val="1A1A1A"/>
                <w:sz w:val="19"/>
                <w:szCs w:val="19"/>
              </w:rPr>
              <w:t xml:space="preserve">(top left)</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Critical wards, Warning wards, people at risk — the three numbers an operator reads first</w:t>
            </w:r>
          </w:p>
        </w:tc>
        <w:tc>
          <w:tcPr>
            <w:tcW w:type="dxa" w:w="42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Counted client-side from the ward roll-ups the API returns; population is probability-weighted, not a raw headcount</w:t>
            </w:r>
          </w:p>
        </w:tc>
      </w:tr>
      <w:tr>
        <w:tc>
          <w:tcPr>
            <w:tcW w:type="dxa" w:w="17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Risk summary</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Donut of how the region's wards distribute across the four tiers</w:t>
            </w:r>
          </w:p>
        </w:tc>
        <w:tc>
          <w:tcPr>
            <w:tcW w:type="dxa" w:w="42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Recharts PieChart; tiers come from config.py thresholds — Normal &lt; 0.25 ≤ Watch &lt; 0.50 ≤ Warning &lt; 0.75 ≤ Critical</w:t>
            </w:r>
          </w:p>
        </w:tc>
      </w:tr>
      <w:tr>
        <w:tc>
          <w:tcPr>
            <w:tcW w:type="dxa" w:w="17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Conditions</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Peak rainfall, peak depth, area flooding (km²), peak risk — plus which feed served it</w:t>
            </w:r>
          </w:p>
        </w:tc>
        <w:tc>
          <w:tcPr>
            <w:tcW w:type="dxa" w:w="42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Region-wide aggregates from /api/forecast; the feed label is the provider the current observation really came from</w:t>
            </w:r>
          </w:p>
        </w:tc>
      </w:tr>
      <w:tr>
        <w:tc>
          <w:tcPr>
            <w:tcW w:type="dxa" w:w="17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Forecast horizon</w:t>
            </w:r>
          </w:p>
          <w:p>
            <w:pPr>
              <w:spacing w:line="256"/>
            </w:pPr>
            <w:r>
              <w:rPr>
                <w:rFonts w:ascii="Calibri" w:cs="Calibri" w:eastAsia="Calibri" w:hAnsi="Calibri"/>
                <w:b w:val="false"/>
                <w:bCs w:val="false"/>
                <w:color w:val="1A1A1A"/>
                <w:sz w:val="19"/>
                <w:szCs w:val="19"/>
              </w:rPr>
              <w:t xml:space="preserve">(scrubber)</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Now / +30 min / +1 hr / +2 hr / +3 hr / +6 hr</w:t>
            </w:r>
          </w:p>
        </w:tc>
        <w:tc>
          <w:tcPr>
            <w:tcW w:type="dxa" w:w="42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Sets the lead query parameter; every panel on every tab re-reads from the same React context, so one click moves the whole board</w:t>
            </w:r>
          </w:p>
        </w:tc>
      </w:tr>
      <w:tr>
        <w:tc>
          <w:tcPr>
            <w:tcW w:type="dxa" w:w="17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Flood map</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1 km grid over a dark basemap</w:t>
            </w:r>
          </w:p>
        </w:tc>
        <w:tc>
          <w:tcPr>
            <w:tcW w:type="dxa" w:w="42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Shared MapFrame component — full detail in section 2</w:t>
            </w:r>
          </w:p>
        </w:tc>
      </w:tr>
      <w:tr>
        <w:tc>
          <w:tcPr>
            <w:tcW w:type="dxa" w:w="17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Priority alert</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single ward that needs attention right now</w:t>
            </w:r>
          </w:p>
        </w:tc>
        <w:tc>
          <w:tcPr>
            <w:tcW w:type="dxa" w:w="42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Highest-risk ward, or the ward of the live alert event if the backend has raised one</w:t>
            </w:r>
          </w:p>
        </w:tc>
      </w:tr>
      <w:tr>
        <w:tc>
          <w:tcPr>
            <w:tcW w:type="dxa" w:w="17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Ward risk ranking</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Every ward ordered by composite risk, with tier badge, depth, lead time, population</w:t>
            </w:r>
          </w:p>
        </w:tc>
        <w:tc>
          <w:tcPr>
            <w:tcW w:type="dxa" w:w="42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Server-side roll-up in risk.py; "N of M actionable" counts wards above Normal</w:t>
            </w:r>
          </w:p>
        </w:tc>
      </w:tr>
      <w:tr>
        <w:tc>
          <w:tcPr>
            <w:tcW w:type="dxa" w:w="17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Nowcast trend</w:t>
            </w:r>
          </w:p>
          <w:p>
            <w:pPr>
              <w:spacing w:line="256"/>
            </w:pPr>
            <w:r>
              <w:rPr>
                <w:rFonts w:ascii="Calibri" w:cs="Calibri" w:eastAsia="Calibri" w:hAnsi="Calibri"/>
                <w:b w:val="false"/>
                <w:bCs w:val="false"/>
                <w:color w:val="1A1A1A"/>
                <w:sz w:val="19"/>
                <w:szCs w:val="19"/>
              </w:rPr>
              <w:t xml:space="preserve">(bottom)</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Region-mean rainfall and flood probability across all six horizons</w:t>
            </w:r>
          </w:p>
        </w:tc>
        <w:tc>
          <w:tcPr>
            <w:tcW w:type="dxa" w:w="42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Recharts ComposedChart over /api/series — one call returns the whole curve; clicking a point sets the horizon</w:t>
            </w:r>
          </w:p>
        </w:tc>
      </w:tr>
      <w:tr>
        <w:tc>
          <w:tcPr>
            <w:tcW w:type="dxa" w:w="17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Infrastructure exposure</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Hospitals, schools, shelters, bridges sitting in cells expected to flood</w:t>
            </w:r>
          </w:p>
        </w:tc>
        <w:tc>
          <w:tcPr>
            <w:tcW w:type="dxa" w:w="42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Client-side join of asset positions against cells above the 0.15 m depth threshold at the selected horizon</w:t>
            </w:r>
          </w:p>
        </w:tc>
      </w:tr>
    </w:tbl>
    <w:p>
      <w:pPr>
        <w:pStyle w:val="Heading2"/>
        <w:spacing w:after="100" w:before="260"/>
      </w:pPr>
      <w:r>
        <w:rPr>
          <w:rFonts w:ascii="Calibri" w:cs="Calibri" w:eastAsia="Calibri" w:hAnsi="Calibri"/>
          <w:b/>
          <w:bCs/>
          <w:color w:val="1F2937"/>
          <w:sz w:val="24"/>
          <w:szCs w:val="24"/>
        </w:rPr>
        <w:t xml:space="preserve">The technical points worth making here</w:t>
      </w:r>
    </w:p>
    <w:p>
      <w:pPr>
        <w:pStyle w:val="ListParagraph"/>
        <w:numPr>
          <w:ilvl w:val="0"/>
          <w:numId w:val="2"/>
        </w:numPr>
        <w:spacing w:after="70" w:line="276"/>
      </w:pPr>
      <w:r>
        <w:rPr>
          <w:rFonts w:ascii="Calibri" w:cs="Calibri" w:eastAsia="Calibri" w:hAnsi="Calibri"/>
          <w:b/>
          <w:bCs/>
          <w:color w:val="1A1A1A"/>
          <w:sz w:val="21"/>
          <w:szCs w:val="21"/>
        </w:rPr>
        <w:t xml:space="preserve">One fetch, one context. </w:t>
      </w:r>
      <w:r>
        <w:rPr>
          <w:rFonts w:ascii="Calibri" w:cs="Calibri" w:eastAsia="Calibri" w:hAnsi="Calibri"/>
          <w:color w:val="1A1A1A"/>
          <w:sz w:val="21"/>
          <w:szCs w:val="21"/>
        </w:rPr>
        <w:t xml:space="preserve">A </w:t>
      </w:r>
      <w:r>
        <w:rPr>
          <w:rFonts w:ascii="Consolas" w:cs="Consolas" w:eastAsia="Consolas" w:hAnsi="Consolas"/>
          <w:color w:val="9A3412"/>
          <w:sz w:val="19"/>
          <w:szCs w:val="19"/>
        </w:rPr>
        <w:t xml:space="preserve">DashboardProvider</w:t>
      </w:r>
      <w:r>
        <w:rPr>
          <w:rFonts w:ascii="Calibri" w:cs="Calibri" w:eastAsia="Calibri" w:hAnsi="Calibri"/>
          <w:color w:val="1A1A1A"/>
          <w:sz w:val="21"/>
          <w:szCs w:val="21"/>
        </w:rPr>
        <w:t xml:space="preserve"> React context holds region, horizon, what-if state and the scored grid. Every panel reads from it, so there is exactly one network call per horizon change rather than nine panels each fetching.</w:t>
      </w:r>
    </w:p>
    <w:p>
      <w:pPr>
        <w:pStyle w:val="ListParagraph"/>
        <w:numPr>
          <w:ilvl w:val="0"/>
          <w:numId w:val="2"/>
        </w:numPr>
        <w:spacing w:after="70" w:line="276"/>
      </w:pPr>
      <w:r>
        <w:rPr>
          <w:rFonts w:ascii="Calibri" w:cs="Calibri" w:eastAsia="Calibri" w:hAnsi="Calibri"/>
          <w:b/>
          <w:bCs/>
          <w:color w:val="1A1A1A"/>
          <w:sz w:val="21"/>
          <w:szCs w:val="21"/>
        </w:rPr>
        <w:t xml:space="preserve">Columnar payloads, not GeoJSON. </w:t>
      </w:r>
      <w:r>
        <w:rPr>
          <w:rFonts w:ascii="Calibri" w:cs="Calibri" w:eastAsia="Calibri" w:hAnsi="Calibri"/>
          <w:color w:val="1A1A1A"/>
          <w:sz w:val="21"/>
          <w:szCs w:val="21"/>
        </w:rPr>
        <w:t xml:space="preserve">The API returns one flat array per metric, row-major, row 0 = northern edge. 1755 GeoJSON features per refresh would be an order of magnitude heavier; the client rebuilds cell polygons from the grid geometry instead.</w:t>
      </w:r>
    </w:p>
    <w:p>
      <w:pPr>
        <w:pStyle w:val="ListParagraph"/>
        <w:numPr>
          <w:ilvl w:val="0"/>
          <w:numId w:val="2"/>
        </w:numPr>
        <w:spacing w:after="70" w:line="276"/>
      </w:pPr>
      <w:r>
        <w:rPr>
          <w:rFonts w:ascii="Calibri" w:cs="Calibri" w:eastAsia="Calibri" w:hAnsi="Calibri"/>
          <w:b/>
          <w:bCs/>
          <w:color w:val="1A1A1A"/>
          <w:sz w:val="21"/>
          <w:szCs w:val="21"/>
        </w:rPr>
        <w:t xml:space="preserve">The board is gated, not faked. </w:t>
      </w:r>
      <w:r>
        <w:rPr>
          <w:rFonts w:ascii="Calibri" w:cs="Calibri" w:eastAsia="Calibri" w:hAnsi="Calibri"/>
          <w:color w:val="1A1A1A"/>
          <w:sz w:val="21"/>
          <w:szCs w:val="21"/>
        </w:rPr>
        <w:t xml:space="preserve">Before data arrives you get "Loading live forecast", and if the backend is unreachable you get a named error with the URL it tried — never a grid of zeroes. Because Render's free tier sleeps, a first-request timeout is retried once and the message changes to "Waking the inference API", so a cold start is explained rather than endured.</w:t>
      </w:r>
    </w:p>
    <w:p>
      <w:pPr>
        <w:pStyle w:val="ListParagraph"/>
        <w:numPr>
          <w:ilvl w:val="0"/>
          <w:numId w:val="2"/>
        </w:numPr>
        <w:spacing w:after="70" w:line="276"/>
      </w:pPr>
      <w:r>
        <w:rPr>
          <w:rFonts w:ascii="Calibri" w:cs="Calibri" w:eastAsia="Calibri" w:hAnsi="Calibri"/>
          <w:b/>
          <w:bCs/>
          <w:color w:val="1A1A1A"/>
          <w:sz w:val="21"/>
          <w:szCs w:val="21"/>
        </w:rPr>
        <w:t xml:space="preserve">Two-stage labelling of trust. </w:t>
      </w:r>
      <w:r>
        <w:rPr>
          <w:rFonts w:ascii="Calibri" w:cs="Calibri" w:eastAsia="Calibri" w:hAnsi="Calibri"/>
          <w:color w:val="1A1A1A"/>
          <w:sz w:val="21"/>
          <w:szCs w:val="21"/>
        </w:rPr>
        <w:t xml:space="preserve">The bottom status bar reports the actual provider, the feed age in seconds, and a coloured dot — green for healthy, amber for degraded or simulated. An earlier version listed five fixed feeds with a green dot each regardless of what the backend served; that was removed.</w:t>
      </w:r>
    </w:p>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THE LINE TO SAY</w:t>
            </w:r>
          </w:p>
          <w:p>
            <w:pPr>
              <w:spacing w:line="276"/>
            </w:pPr>
            <w:r>
              <w:rPr>
                <w:rFonts w:ascii="Calibri" w:cs="Calibri" w:eastAsia="Calibri" w:hAnsi="Calibri"/>
                <w:color w:val="1A1A1A"/>
                <w:sz w:val="21"/>
                <w:szCs w:val="21"/>
              </w:rPr>
              <w:t xml:space="preserve">"Everything you see refreshes off one API call per horizon. Change the forecast horizon here and the map, the ward ranking, the alert panel and the exposure list all move together, because they are all reading the same scored grid from the same context."</w:t>
            </w:r>
          </w:p>
        </w:tc>
      </w:tr>
    </w:tbl>
    <w:p>
      <w:r>
        <w:br w:type="page"/>
      </w:r>
    </w:p>
    <w:p>
      <w:pPr>
        <w:pStyle w:val="Heading1"/>
        <w:spacing w:after="140" w:before="360"/>
      </w:pPr>
      <w:r>
        <w:rPr>
          <w:rFonts w:ascii="Calibri" w:cs="Calibri" w:eastAsia="Calibri" w:hAnsi="Calibri"/>
          <w:b/>
          <w:bCs/>
          <w:color w:val="0A5FBF"/>
          <w:sz w:val="32"/>
          <w:szCs w:val="32"/>
        </w:rPr>
        <w:t xml:space="preserve">2.  Flood map  —  the 1 km grid, three ways</w:t>
      </w:r>
    </w:p>
    <w:p>
      <w:pPr>
        <w:spacing w:after="120" w:line="276"/>
      </w:pPr>
      <w:r>
        <w:rPr>
          <w:rFonts w:ascii="Calibri" w:cs="Calibri" w:eastAsia="Calibri" w:hAnsi="Calibri"/>
          <w:color w:val="1A1A1A"/>
          <w:sz w:val="21"/>
          <w:szCs w:val="21"/>
        </w:rPr>
        <w:t xml:space="preserve">Map-first layout: a six-KPI strip along the top, the horizon scrubber, the map canvas taking most of the space, and the cell inspector plus exposure list down the right.</w:t>
      </w:r>
    </w:p>
    <w:p>
      <w:pPr>
        <w:pStyle w:val="Heading2"/>
        <w:spacing w:after="100" w:before="260"/>
      </w:pPr>
      <w:r>
        <w:rPr>
          <w:rFonts w:ascii="Calibri" w:cs="Calibri" w:eastAsia="Calibri" w:hAnsi="Calibri"/>
          <w:b/>
          <w:bCs/>
          <w:color w:val="1F2937"/>
          <w:sz w:val="24"/>
          <w:szCs w:val="24"/>
        </w:rPr>
        <w:t xml:space="preserve">What is on screen</w:t>
      </w:r>
    </w:p>
    <w:tbl>
      <w:tblPr>
        <w:tblW w:type="dxa" w:w="9360"/>
        <w:tblBorders>
          <w:top w:val="single" w:color="C9D4E0" w:sz="2"/>
          <w:left w:val="single" w:color="C9D4E0" w:sz="2"/>
          <w:bottom w:val="single" w:color="C9D4E0" w:sz="2"/>
          <w:right w:val="single" w:color="C9D4E0" w:sz="2"/>
          <w:insideH w:val="single" w:color="DDE5EE" w:sz="2"/>
          <w:insideV w:val="single" w:color="DDE5EE" w:sz="2"/>
        </w:tblBorders>
      </w:tblPr>
      <w:tblGrid>
        <w:gridCol w:w="1700"/>
        <w:gridCol w:w="3600"/>
        <w:gridCol w:w="4060"/>
      </w:tblGrid>
      <w:tr>
        <w:trPr>
          <w:tblHeader/>
        </w:trPr>
        <w:tc>
          <w:tcPr>
            <w:tcW w:type="dxa" w:w="17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Element</w:t>
            </w:r>
          </w:p>
        </w:tc>
        <w:tc>
          <w:tcPr>
            <w:tcW w:type="dxa" w:w="36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What it shows</w:t>
            </w:r>
          </w:p>
        </w:tc>
        <w:tc>
          <w:tcPr>
            <w:tcW w:type="dxa" w:w="406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Behind the scenes</w:t>
            </w:r>
          </w:p>
        </w:tc>
      </w:tr>
      <w:tr>
        <w:tc>
          <w:tcPr>
            <w:tcW w:type="dxa" w:w="17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Metrics strip</w:t>
            </w:r>
          </w:p>
        </w:tc>
        <w:tc>
          <w:tcPr>
            <w:tcW w:type="dxa" w:w="36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Peak risk (composite 0–1), peak rainfall, peak depth, people at risk, area flooding (cells with P ≥ 0.5), lead time to first inundation</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Region aggregates from the same forecast payload; each carries its own hint text so the unit is never ambiguous</w:t>
            </w:r>
          </w:p>
        </w:tc>
      </w:tr>
      <w:tr>
        <w:tc>
          <w:tcPr>
            <w:tcW w:type="dxa" w:w="17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Layer switch</w:t>
            </w:r>
          </w:p>
        </w:tc>
        <w:tc>
          <w:tcPr>
            <w:tcW w:type="dxa" w:w="36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Risk / Rainfall / Depth</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Same 1755 cells, three colour-and-opacity functions in layerPaint.ts — tier colours for risk, a mm/hr ramp for rainfall, a metre ramp for depth. Cells below a threshold are painted at zero opacity so the basemap stays readable</w:t>
            </w:r>
          </w:p>
        </w:tc>
      </w:tr>
      <w:tr>
        <w:tc>
          <w:tcPr>
            <w:tcW w:type="dxa" w:w="17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Infrastructure toggle</w:t>
            </w:r>
          </w:p>
        </w:tc>
        <w:tc>
          <w:tcPr>
            <w:tcW w:type="dxa" w:w="36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Hospitals, schools, shelters, bridges and the seven pumping stations as markers</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MapLibre markers, rebuilt on toggle; positions come from /api/region, fetched once</w:t>
            </w:r>
          </w:p>
        </w:tc>
      </w:tr>
      <w:tr>
        <w:tc>
          <w:tcPr>
            <w:tcW w:type="dxa" w:w="17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Ward outlines</w:t>
            </w:r>
          </w:p>
        </w:tc>
        <w:tc>
          <w:tcPr>
            <w:tcW w:type="dxa" w:w="36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Ward boundaries; the selected one is highlighted</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A second GeoJSON source; clicking selects the ward and cross-highlights the ward list on other tabs</w:t>
            </w:r>
          </w:p>
        </w:tc>
      </w:tr>
      <w:tr>
        <w:tc>
          <w:tcPr>
            <w:tcW w:type="dxa" w:w="17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Cell inspector</w:t>
            </w:r>
          </w:p>
        </w:tc>
        <w:tc>
          <w:tcPr>
            <w:tcW w:type="dxa" w:w="36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One 1 km cell: rainfall nowcast and 3 hr accumulation, flood probability, expected depth, time to inundation, confidence, then the static layers — elevation, slope, population, land use</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Click a cell on the map. Values come straight from the scored grid; the risk breakdown below shows each of the five weighted terms and its contribution</w:t>
            </w:r>
          </w:p>
        </w:tc>
      </w:tr>
      <w:tr>
        <w:tc>
          <w:tcPr>
            <w:tcW w:type="dxa" w:w="17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Legend</w:t>
            </w:r>
          </w:p>
        </w:tc>
        <w:tc>
          <w:tcPr>
            <w:tcW w:type="dxa" w:w="36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active layer's colour ramp with breakpoints</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Driven by the same ramp constants the paint function uses, so the legend cannot drift from the map</w:t>
            </w:r>
          </w:p>
        </w:tc>
      </w:tr>
    </w:tbl>
    <w:p>
      <w:pPr>
        <w:pStyle w:val="Heading2"/>
        <w:spacing w:after="100" w:before="260"/>
      </w:pPr>
      <w:r>
        <w:rPr>
          <w:rFonts w:ascii="Calibri" w:cs="Calibri" w:eastAsia="Calibri" w:hAnsi="Calibri"/>
          <w:b/>
          <w:bCs/>
          <w:color w:val="1F2937"/>
          <w:sz w:val="24"/>
          <w:szCs w:val="24"/>
        </w:rPr>
        <w:t xml:space="preserve">The technical points worth making here</w:t>
      </w:r>
    </w:p>
    <w:p>
      <w:pPr>
        <w:pStyle w:val="ListParagraph"/>
        <w:numPr>
          <w:ilvl w:val="0"/>
          <w:numId w:val="2"/>
        </w:numPr>
        <w:spacing w:after="70" w:line="276"/>
      </w:pPr>
      <w:r>
        <w:rPr>
          <w:rFonts w:ascii="Calibri" w:cs="Calibri" w:eastAsia="Calibri" w:hAnsi="Calibri"/>
          <w:b/>
          <w:bCs/>
          <w:color w:val="1A1A1A"/>
          <w:sz w:val="21"/>
          <w:szCs w:val="21"/>
        </w:rPr>
        <w:t xml:space="preserve">MapLibre GL JS, not Google or Mapbox. </w:t>
      </w:r>
      <w:r>
        <w:rPr>
          <w:rFonts w:ascii="Calibri" w:cs="Calibri" w:eastAsia="Calibri" w:hAnsi="Calibri"/>
          <w:color w:val="1A1A1A"/>
          <w:sz w:val="21"/>
          <w:szCs w:val="21"/>
        </w:rPr>
        <w:t xml:space="preserve">Open-source, no billable token. The basemap is CARTO dark raster tiles at @2x; a solid dark background layer is painted behind the tiles so the grid stays readable even if tiles fail to load.</w:t>
      </w:r>
    </w:p>
    <w:p>
      <w:pPr>
        <w:pStyle w:val="ListParagraph"/>
        <w:numPr>
          <w:ilvl w:val="0"/>
          <w:numId w:val="2"/>
        </w:numPr>
        <w:spacing w:after="70" w:line="276"/>
      </w:pPr>
      <w:r>
        <w:rPr>
          <w:rFonts w:ascii="Calibri" w:cs="Calibri" w:eastAsia="Calibri" w:hAnsi="Calibri"/>
          <w:b/>
          <w:bCs/>
          <w:color w:val="1A1A1A"/>
          <w:sz w:val="21"/>
          <w:szCs w:val="21"/>
        </w:rPr>
        <w:t xml:space="preserve">Polygons are generated, not shipped. </w:t>
      </w:r>
      <w:r>
        <w:rPr>
          <w:rFonts w:ascii="Calibri" w:cs="Calibri" w:eastAsia="Calibri" w:hAnsi="Calibri"/>
          <w:color w:val="1A1A1A"/>
          <w:sz w:val="21"/>
          <w:szCs w:val="21"/>
        </w:rPr>
        <w:t xml:space="preserve">The client knows the grid bounds and the 45 × 39 shape, so it computes each cell's corner coordinates itself and attaches the scored values as feature properties. The network only ever carries numbers.</w:t>
      </w:r>
    </w:p>
    <w:p>
      <w:pPr>
        <w:pStyle w:val="ListParagraph"/>
        <w:numPr>
          <w:ilvl w:val="0"/>
          <w:numId w:val="2"/>
        </w:numPr>
        <w:spacing w:after="70" w:line="276"/>
      </w:pPr>
      <w:r>
        <w:rPr>
          <w:rFonts w:ascii="Calibri" w:cs="Calibri" w:eastAsia="Calibri" w:hAnsi="Calibri"/>
          <w:b/>
          <w:bCs/>
          <w:color w:val="1A1A1A"/>
          <w:sz w:val="21"/>
          <w:szCs w:val="21"/>
        </w:rPr>
        <w:t xml:space="preserve">The camera respects the user. </w:t>
      </w:r>
      <w:r>
        <w:rPr>
          <w:rFonts w:ascii="Calibri" w:cs="Calibri" w:eastAsia="Calibri" w:hAnsi="Calibri"/>
          <w:color w:val="1A1A1A"/>
          <w:sz w:val="21"/>
          <w:szCs w:val="21"/>
        </w:rPr>
        <w:t xml:space="preserve">Once you have panned or zoomed, a resize or a data refresh must not snap the view back — the map tracks whether the user has driven the camera and stops auto-fitting after that. Small thing; very visible in a demo.</w:t>
      </w:r>
    </w:p>
    <w:p>
      <w:pPr>
        <w:pStyle w:val="ListParagraph"/>
        <w:numPr>
          <w:ilvl w:val="0"/>
          <w:numId w:val="2"/>
        </w:numPr>
        <w:spacing w:after="70" w:line="276"/>
      </w:pPr>
      <w:r>
        <w:rPr>
          <w:rFonts w:ascii="Calibri" w:cs="Calibri" w:eastAsia="Calibri" w:hAnsi="Calibri"/>
          <w:b/>
          <w:bCs/>
          <w:color w:val="1A1A1A"/>
          <w:sz w:val="21"/>
          <w:szCs w:val="21"/>
        </w:rPr>
        <w:t xml:space="preserve">Row 0 is the northern edge. </w:t>
      </w:r>
      <w:r>
        <w:rPr>
          <w:rFonts w:ascii="Calibri" w:cs="Calibri" w:eastAsia="Calibri" w:hAnsi="Calibri"/>
          <w:color w:val="1A1A1A"/>
          <w:sz w:val="21"/>
          <w:szCs w:val="21"/>
        </w:rPr>
        <w:t xml:space="preserve">This matches the GeoTIFF convention every processed raster uses. Worth mentioning because it caught a real bug: Stage 0 originally built four of the ten layers by evaluating a spline over ascending latitudes and writing into a north-up raster, which left them vertically flipped against the DEM they were stacked with. Both the pipeline and the live ingest now flip correctly.</w:t>
      </w:r>
    </w:p>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THE LINE TO SAY</w:t>
            </w:r>
          </w:p>
          <w:p>
            <w:pPr>
              <w:spacing w:line="276"/>
            </w:pPr>
            <w:r>
              <w:rPr>
                <w:rFonts w:ascii="Calibri" w:cs="Calibri" w:eastAsia="Calibri" w:hAnsi="Calibri"/>
                <w:color w:val="1A1A1A"/>
                <w:sz w:val="21"/>
                <w:szCs w:val="21"/>
              </w:rPr>
              <w:t xml:space="preserve">"This is not a heat-map painted over a picture of Mumbai. Every square is a real 1 km cell from the grid the model was trained on, with its own elevation, slope, population and its own forecast — click one and you see everything the model read and everything it concluded."</w:t>
            </w:r>
          </w:p>
        </w:tc>
      </w:tr>
    </w:tbl>
    <w:p>
      <w:r>
        <w:br w:type="page"/>
      </w:r>
    </w:p>
    <w:p>
      <w:pPr>
        <w:pStyle w:val="Heading1"/>
        <w:spacing w:after="140" w:before="360"/>
      </w:pPr>
      <w:r>
        <w:rPr>
          <w:rFonts w:ascii="Calibri" w:cs="Calibri" w:eastAsia="Calibri" w:hAnsi="Calibri"/>
          <w:b/>
          <w:bCs/>
          <w:color w:val="0A5FBF"/>
          <w:sz w:val="32"/>
          <w:szCs w:val="32"/>
        </w:rPr>
        <w:t xml:space="preserve">3.  Risk model  —  the workbench, and the honest part</w:t>
      </w:r>
    </w:p>
    <w:p>
      <w:pPr>
        <w:spacing w:after="120" w:line="276"/>
      </w:pPr>
      <w:r>
        <w:rPr>
          <w:rFonts w:ascii="Calibri" w:cs="Calibri" w:eastAsia="Calibri" w:hAnsi="Calibri"/>
          <w:color w:val="1A1A1A"/>
          <w:sz w:val="21"/>
          <w:szCs w:val="21"/>
        </w:rPr>
        <w:t xml:space="preserve">This is the tab that separates a dashboard from a system. It is where you show the maths, admit what the network does and does not do, and let a judge break the model on purpose.</w:t>
      </w:r>
    </w:p>
    <w:p>
      <w:pPr>
        <w:pStyle w:val="Heading2"/>
        <w:spacing w:after="100" w:before="260"/>
      </w:pPr>
      <w:r>
        <w:rPr>
          <w:rFonts w:ascii="Calibri" w:cs="Calibri" w:eastAsia="Calibri" w:hAnsi="Calibri"/>
          <w:b/>
          <w:bCs/>
          <w:color w:val="1F2937"/>
          <w:sz w:val="24"/>
          <w:szCs w:val="24"/>
        </w:rPr>
        <w:t xml:space="preserve">What is on screen</w:t>
      </w:r>
    </w:p>
    <w:tbl>
      <w:tblPr>
        <w:tblW w:type="dxa" w:w="9360"/>
        <w:tblBorders>
          <w:top w:val="single" w:color="C9D4E0" w:sz="2"/>
          <w:left w:val="single" w:color="C9D4E0" w:sz="2"/>
          <w:bottom w:val="single" w:color="C9D4E0" w:sz="2"/>
          <w:right w:val="single" w:color="C9D4E0" w:sz="2"/>
          <w:insideH w:val="single" w:color="DDE5EE" w:sz="2"/>
          <w:insideV w:val="single" w:color="DDE5EE" w:sz="2"/>
        </w:tblBorders>
      </w:tblPr>
      <w:tblGrid>
        <w:gridCol w:w="1800"/>
        <w:gridCol w:w="3500"/>
        <w:gridCol w:w="4060"/>
      </w:tblGrid>
      <w:tr>
        <w:trPr>
          <w:tblHeader/>
        </w:trPr>
        <w:tc>
          <w:tcPr>
            <w:tcW w:type="dxa" w:w="18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Panel</w:t>
            </w:r>
          </w:p>
        </w:tc>
        <w:tc>
          <w:tcPr>
            <w:tcW w:type="dxa" w:w="35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What it shows</w:t>
            </w:r>
          </w:p>
        </w:tc>
        <w:tc>
          <w:tcPr>
            <w:tcW w:type="dxa" w:w="406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Behind the scenes</w:t>
            </w:r>
          </w:p>
        </w:tc>
      </w:tr>
      <w:tr>
        <w:tc>
          <w:tcPr>
            <w:tcW w:type="dxa" w:w="18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What-if simulator</w:t>
            </w:r>
          </w:p>
        </w:tc>
        <w:tc>
          <w:tcPr>
            <w:tcW w:type="dxa" w:w="35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Three sliders: additional rainfall (0–150 mm over the 3 hr window), soil saturation (0.5–1.5×), drainage capacity (30–120% of design). Below them, live deltas in population at risk, flooded area and peak depth</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sliders are query parameters on the forecast endpoints — extra_rainfall, soil_saturation, drainage_capacity. The backend also scores the same horizon at default settings, so the deltas compare like with like rather than against a stale snapshot</w:t>
            </w:r>
          </w:p>
        </w:tc>
      </w:tr>
      <w:tr>
        <w:tc>
          <w:tcPr>
            <w:tcW w:type="dxa" w:w="18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Hazard model</w:t>
            </w:r>
          </w:p>
          <w:p>
            <w:pPr>
              <w:spacing w:line="256"/>
            </w:pPr>
            <w:r>
              <w:rPr>
                <w:rFonts w:ascii="Calibri" w:cs="Calibri" w:eastAsia="Calibri" w:hAnsi="Calibri"/>
                <w:b w:val="false"/>
                <w:bCs w:val="false"/>
                <w:color w:val="1A1A1A"/>
                <w:sz w:val="19"/>
                <w:szCs w:val="19"/>
              </w:rPr>
              <w:t xml:space="preserve">(solver panel)</w:t>
            </w:r>
          </w:p>
        </w:tc>
        <w:tc>
          <w:tcPr>
            <w:tcW w:type="dxa" w:w="35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Which hazard path is serving — heuristic or physics — and on the physics path, the mass-closure error with the volumes behind it</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Reported by the API per request. Closure comes out at ~3 × 10⁻¹⁵: machine precision</w:t>
            </w:r>
          </w:p>
        </w:tc>
      </w:tr>
      <w:tr>
        <w:tc>
          <w:tcPr>
            <w:tcW w:type="dxa" w:w="18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Composite risk weights</w:t>
            </w:r>
          </w:p>
        </w:tc>
        <w:tc>
          <w:tcPr>
            <w:tcW w:type="dxa" w:w="35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five terms and their weights as bars</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Read from config.py, so the panel cannot disagree with the scoring code</w:t>
            </w:r>
          </w:p>
        </w:tc>
      </w:tr>
      <w:tr>
        <w:tc>
          <w:tcPr>
            <w:tcW w:type="dxa" w:w="18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Cell inspector</w:t>
            </w:r>
          </w:p>
        </w:tc>
        <w:tc>
          <w:tcPr>
            <w:tcW w:type="dxa" w:w="35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Same drill-down as the map tab, so you can watch one cell respond to the sliders</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Shared component, shared context</w:t>
            </w:r>
          </w:p>
        </w:tc>
      </w:tr>
      <w:tr>
        <w:tc>
          <w:tcPr>
            <w:tcW w:type="dxa" w:w="18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Nowcast trend</w:t>
            </w:r>
          </w:p>
        </w:tc>
        <w:tc>
          <w:tcPr>
            <w:tcW w:type="dxa" w:w="35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whole horizon curve, which visibly lifts as you drag rainfall up</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Re-fetched from /api/series with the what-if parameters applied</w:t>
            </w:r>
          </w:p>
        </w:tc>
      </w:tr>
    </w:tbl>
    <w:p>
      <w:pPr>
        <w:pStyle w:val="Heading2"/>
        <w:spacing w:after="100" w:before="260"/>
      </w:pPr>
      <w:r>
        <w:rPr>
          <w:rFonts w:ascii="Calibri" w:cs="Calibri" w:eastAsia="Calibri" w:hAnsi="Calibri"/>
          <w:b/>
          <w:bCs/>
          <w:color w:val="1F2937"/>
          <w:sz w:val="24"/>
          <w:szCs w:val="24"/>
        </w:rPr>
        <w:t xml:space="preserve">The composite score</w:t>
      </w:r>
    </w:p>
    <w:p>
      <w:pPr>
        <w:shd w:fill="F2F5F9" w:val="clear"/>
        <w:spacing w:after="0" w:before="60"/>
        <w:ind w:left="215"/>
      </w:pPr>
      <w:r>
        <w:rPr>
          <w:rFonts w:ascii="Consolas" w:cs="Consolas" w:eastAsia="Consolas" w:hAnsi="Consolas"/>
          <w:color w:val="1F2937"/>
          <w:sz w:val="18"/>
          <w:szCs w:val="18"/>
        </w:rPr>
        <w:t xml:space="preserve">Risk = 0.35 · rainfall severity</w:t>
      </w:r>
    </w:p>
    <w:p>
      <w:pPr>
        <w:shd w:fill="F2F5F9" w:val="clear"/>
        <w:spacing w:after="0" w:before="0"/>
        <w:ind w:left="215"/>
      </w:pPr>
      <w:r>
        <w:rPr>
          <w:rFonts w:ascii="Consolas" w:cs="Consolas" w:eastAsia="Consolas" w:hAnsi="Consolas"/>
          <w:color w:val="1F2937"/>
          <w:sz w:val="18"/>
          <w:szCs w:val="18"/>
        </w:rPr>
        <w:t xml:space="preserve">     + 0.30 · flood probability</w:t>
      </w:r>
    </w:p>
    <w:p>
      <w:pPr>
        <w:shd w:fill="F2F5F9" w:val="clear"/>
        <w:spacing w:after="0" w:before="0"/>
        <w:ind w:left="215"/>
      </w:pPr>
      <w:r>
        <w:rPr>
          <w:rFonts w:ascii="Consolas" w:cs="Consolas" w:eastAsia="Consolas" w:hAnsi="Consolas"/>
          <w:color w:val="1F2937"/>
          <w:sz w:val="18"/>
          <w:szCs w:val="18"/>
        </w:rPr>
        <w:t xml:space="preserve">     + 0.20 · water depth</w:t>
      </w:r>
    </w:p>
    <w:p>
      <w:pPr>
        <w:shd w:fill="F2F5F9" w:val="clear"/>
        <w:spacing w:after="0" w:before="0"/>
        <w:ind w:left="215"/>
      </w:pPr>
      <w:r>
        <w:rPr>
          <w:rFonts w:ascii="Consolas" w:cs="Consolas" w:eastAsia="Consolas" w:hAnsi="Consolas"/>
          <w:color w:val="1F2937"/>
          <w:sz w:val="18"/>
          <w:szCs w:val="18"/>
        </w:rPr>
        <w:t xml:space="preserve">     + 0.10 · population exposure</w:t>
      </w:r>
    </w:p>
    <w:p>
      <w:pPr>
        <w:shd w:fill="F2F5F9" w:val="clear"/>
        <w:spacing w:after="0" w:before="0"/>
        <w:ind w:left="215"/>
      </w:pPr>
      <w:r>
        <w:rPr>
          <w:rFonts w:ascii="Consolas" w:cs="Consolas" w:eastAsia="Consolas" w:hAnsi="Consolas"/>
          <w:color w:val="1F2937"/>
          <w:sz w:val="18"/>
          <w:szCs w:val="18"/>
        </w:rPr>
        <w:t xml:space="preserve">     + 0.05 · critical-infrastructure proximity</w:t>
      </w:r>
    </w:p>
    <w:p>
      <w:pPr>
        <w:shd w:fill="F2F5F9" w:val="clear"/>
        <w:spacing w:after="0" w:before="0"/>
        <w:ind w:left="215"/>
      </w:pPr>
      <w:r>
        <w:rPr>
          <w:rFonts w:ascii="Consolas" w:cs="Consolas" w:eastAsia="Consolas" w:hAnsi="Consolas"/>
          <w:color w:val="1F2937"/>
          <w:sz w:val="18"/>
          <w:szCs w:val="18"/>
        </w:rPr>
        <w:t xml:space="preserve"> </w:t>
      </w:r>
    </w:p>
    <w:p>
      <w:pPr>
        <w:shd w:fill="F2F5F9" w:val="clear"/>
        <w:spacing w:after="140" w:before="0"/>
        <w:ind w:left="215"/>
      </w:pPr>
      <w:r>
        <w:rPr>
          <w:rFonts w:ascii="Consolas" w:cs="Consolas" w:eastAsia="Consolas" w:hAnsi="Consolas"/>
          <w:color w:val="1F2937"/>
          <w:sz w:val="18"/>
          <w:szCs w:val="18"/>
        </w:rPr>
        <w:t xml:space="preserve">Normal &lt; 0.25 ≤ Watch &lt; 0.50 ≤ Warning &lt; 0.75 ≤ Critical</w:t>
      </w:r>
    </w:p>
    <w:p>
      <w:pPr>
        <w:spacing w:after="120" w:line="276"/>
      </w:pPr>
      <w:r>
        <w:rPr>
          <w:rFonts w:ascii="Calibri" w:cs="Calibri" w:eastAsia="Calibri" w:hAnsi="Calibri"/>
          <w:color w:val="1A1A1A"/>
          <w:sz w:val="21"/>
          <w:szCs w:val="21"/>
        </w:rPr>
        <w:t xml:space="preserve">Every cell scores 0–1 on each term; the weighted sum sets its tier. The weights live in one config file and are tunable against past events.</w:t>
      </w:r>
    </w:p>
    <w:p>
      <w:pPr>
        <w:pStyle w:val="Heading2"/>
        <w:spacing w:after="100" w:before="260"/>
      </w:pPr>
      <w:r>
        <w:rPr>
          <w:rFonts w:ascii="Calibri" w:cs="Calibri" w:eastAsia="Calibri" w:hAnsi="Calibri"/>
          <w:b/>
          <w:bCs/>
          <w:color w:val="1F2937"/>
          <w:sz w:val="24"/>
          <w:szCs w:val="24"/>
        </w:rPr>
        <w:t xml:space="preserve">What the network actually learned — say this before anyone asks</w:t>
      </w:r>
    </w:p>
    <w:p>
      <w:pPr>
        <w:spacing w:after="120" w:line="276"/>
      </w:pPr>
      <w:r>
        <w:rPr>
          <w:rFonts w:ascii="Calibri" w:cs="Calibri" w:eastAsia="Calibri" w:hAnsi="Calibri"/>
          <w:color w:val="1A1A1A"/>
          <w:sz w:val="21"/>
          <w:szCs w:val="21"/>
        </w:rPr>
        <w:t xml:space="preserve">RainShieldNet is a 2D CNN → squeeze-excitation block → 3-layer spatial transformer → per-cell sigmoid head, 175k parameters, trained offline in PyTorch on the Stage 1 tensor of ten aligned 45 × 39 rasters. Three things about it are worth knowing before trusting a number on the board.</w:t>
      </w:r>
    </w:p>
    <w:p>
      <w:pPr>
        <w:pStyle w:val="ListParagraph"/>
        <w:numPr>
          <w:ilvl w:val="0"/>
          <w:numId w:val="2"/>
        </w:numPr>
        <w:spacing w:after="70" w:line="276"/>
      </w:pPr>
      <w:r>
        <w:rPr>
          <w:rFonts w:ascii="Calibri" w:cs="Calibri" w:eastAsia="Calibri" w:hAnsi="Calibri"/>
          <w:b/>
          <w:bCs/>
          <w:color w:val="1A1A1A"/>
          <w:sz w:val="21"/>
          <w:szCs w:val="21"/>
        </w:rPr>
        <w:t xml:space="preserve">It consumes raw physical units. </w:t>
      </w:r>
      <w:r>
        <w:rPr>
          <w:rFonts w:ascii="Calibri" w:cs="Calibri" w:eastAsia="Calibri" w:hAnsi="Calibri"/>
          <w:color w:val="1A1A1A"/>
          <w:sz w:val="21"/>
          <w:szCs w:val="21"/>
        </w:rPr>
        <w:t xml:space="preserve">Stage 1 writes both a raw tensor and a MinMax-scaled one; training used the raw one and the leading BatchNorm absorbs the differing channel magnitudes. This was confirmed against the checkpoint's stored BatchNorm running statistics — raw input reproduces them to 0.06%, scaled input is 100% off. Feeding scaled input produces garbage.</w:t>
      </w:r>
    </w:p>
    <w:p>
      <w:pPr>
        <w:pStyle w:val="ListParagraph"/>
        <w:numPr>
          <w:ilvl w:val="0"/>
          <w:numId w:val="2"/>
        </w:numPr>
        <w:spacing w:after="70" w:line="276"/>
      </w:pPr>
      <w:r>
        <w:rPr>
          <w:rFonts w:ascii="Calibri" w:cs="Calibri" w:eastAsia="Calibri" w:hAnsi="Calibri"/>
          <w:b/>
          <w:bCs/>
          <w:color w:val="1A1A1A"/>
          <w:sz w:val="21"/>
          <w:szCs w:val="21"/>
        </w:rPr>
        <w:t xml:space="preserve">Its target was topographic. </w:t>
      </w:r>
      <w:r>
        <w:rPr>
          <w:rFonts w:ascii="Calibri" w:cs="Calibri" w:eastAsia="Calibri" w:hAnsi="Calibri"/>
          <w:color w:val="1A1A1A"/>
          <w:sz w:val="21"/>
          <w:szCs w:val="21"/>
        </w:rPr>
        <w:t xml:space="preserve">The Stage 0 ground truth is elevation ≤ 12 m AND slope ≤ 1.5° — and elevation and slope are input channels 0 and 1. So the network learned to re-derive a terrain threshold from data it was handed. That is why the holdout ROC-AUC is high, and it is also why the output barely moves with the weather: scaling every rainfall channel by 4× shifts the mean output by about +0.02.</w:t>
      </w:r>
    </w:p>
    <w:p>
      <w:pPr>
        <w:pStyle w:val="ListParagraph"/>
        <w:numPr>
          <w:ilvl w:val="0"/>
          <w:numId w:val="2"/>
        </w:numPr>
        <w:spacing w:after="70" w:line="276"/>
      </w:pPr>
      <w:r>
        <w:rPr>
          <w:rFonts w:ascii="Calibri" w:cs="Calibri" w:eastAsia="Calibri" w:hAnsi="Calibri"/>
          <w:b/>
          <w:bCs/>
          <w:color w:val="1A1A1A"/>
          <w:sz w:val="21"/>
          <w:szCs w:val="21"/>
        </w:rPr>
        <w:t xml:space="preserve">So the weather drives the hazard, not the network. </w:t>
      </w:r>
      <w:r>
        <w:rPr>
          <w:rFonts w:ascii="Calibri" w:cs="Calibri" w:eastAsia="Calibri" w:hAnsi="Calibri"/>
          <w:color w:val="1A1A1A"/>
          <w:sz w:val="21"/>
          <w:szCs w:val="21"/>
        </w:rPr>
        <w:t xml:space="preserve">The model output is used as flood susceptibility — where water collects, which is what it genuinely knows — and live rainfall drives the hazard on top of it.</w:t>
      </w:r>
    </w:p>
    <w:p>
      <w:pPr>
        <w:shd w:fill="F2F5F9" w:val="clear"/>
        <w:spacing w:after="0" w:before="60"/>
        <w:ind w:left="215"/>
      </w:pPr>
      <w:r>
        <w:rPr>
          <w:rFonts w:ascii="Consolas" w:cs="Consolas" w:eastAsia="Consolas" w:hAnsi="Consolas"/>
          <w:color w:val="1F2937"/>
          <w:sz w:val="18"/>
          <w:szCs w:val="18"/>
        </w:rPr>
        <w:t xml:space="preserve">P(flood) = susceptibility × (1 − exp(−effective_rain / 45 mm))</w:t>
      </w:r>
    </w:p>
    <w:p>
      <w:pPr>
        <w:shd w:fill="F2F5F9" w:val="clear"/>
        <w:spacing w:after="0" w:before="0"/>
        <w:ind w:left="215"/>
      </w:pPr>
      <w:r>
        <w:rPr>
          <w:rFonts w:ascii="Consolas" w:cs="Consolas" w:eastAsia="Consolas" w:hAnsi="Consolas"/>
          <w:color w:val="1F2937"/>
          <w:sz w:val="18"/>
          <w:szCs w:val="18"/>
        </w:rPr>
        <w:t xml:space="preserve"> </w:t>
      </w:r>
    </w:p>
    <w:p>
      <w:pPr>
        <w:shd w:fill="F2F5F9" w:val="clear"/>
        <w:spacing w:after="0" w:before="0"/>
        <w:ind w:left="215"/>
      </w:pPr>
      <w:r>
        <w:rPr>
          <w:rFonts w:ascii="Consolas" w:cs="Consolas" w:eastAsia="Consolas" w:hAnsi="Consolas"/>
          <w:color w:val="1F2937"/>
          <w:sz w:val="18"/>
          <w:szCs w:val="18"/>
        </w:rPr>
        <w:t xml:space="preserve">effective_rain = 3 hr accumulation, scaled by antecedent soil</w:t>
      </w:r>
    </w:p>
    <w:p>
      <w:pPr>
        <w:shd w:fill="F2F5F9" w:val="clear"/>
        <w:spacing w:after="140" w:before="0"/>
        <w:ind w:left="215"/>
      </w:pPr>
      <w:r>
        <w:rPr>
          <w:rFonts w:ascii="Consolas" w:cs="Consolas" w:eastAsia="Consolas" w:hAnsi="Consolas"/>
          <w:color w:val="1F2937"/>
          <w:sz w:val="18"/>
          <w:szCs w:val="18"/>
        </w:rPr>
        <w:t xml:space="preserve">                 wetness and by drainage capacity</w:t>
      </w:r>
    </w:p>
    <w:p>
      <w:pPr>
        <w:spacing w:after="120" w:line="276"/>
      </w:pPr>
      <w:r>
        <w:rPr>
          <w:rFonts w:ascii="Calibri" w:cs="Calibri" w:eastAsia="Calibri" w:hAnsi="Calibri"/>
          <w:color w:val="1A1A1A"/>
          <w:sz w:val="21"/>
          <w:szCs w:val="21"/>
        </w:rPr>
        <w:t xml:space="preserve">No rain gives no flooding however low-lying the cell; sustained heavy rain saturates toward that cell's susceptibility.</w:t>
      </w:r>
    </w:p>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WHY THIS IS A STRENGTH, NOT AN EXCUSE</w:t>
            </w:r>
          </w:p>
          <w:p>
            <w:pPr>
              <w:spacing w:line="276"/>
            </w:pPr>
            <w:r>
              <w:rPr>
                <w:rFonts w:ascii="Calibri" w:cs="Calibri" w:eastAsia="Calibri" w:hAnsi="Calibri"/>
                <w:color w:val="1A1A1A"/>
                <w:sz w:val="21"/>
                <w:szCs w:val="21"/>
              </w:rPr>
              <w:t xml:space="preserve">Most teams will present a CNN output as a flood forecast and hope nobody probes it. We tested ours, found it was a terrain classifier wearing a weather model's clothes, and rebuilt the pipeline so the network fills the role it can honestly fill. To make the network itself weather-responsive it needs a target that depends on weather — observed inundation from multiple storm dates rather than a DEM threshold — and more than one training sample. That is a data problem, not an architecture one, and the socket it plugs into is already there.</w:t>
            </w:r>
          </w:p>
        </w:tc>
      </w:tr>
    </w:tbl>
    <w:p>
      <w:pPr>
        <w:pStyle w:val="Heading2"/>
        <w:spacing w:after="100" w:before="260"/>
      </w:pPr>
      <w:r>
        <w:rPr>
          <w:rFonts w:ascii="Calibri" w:cs="Calibri" w:eastAsia="Calibri" w:hAnsi="Calibri"/>
          <w:b/>
          <w:bCs/>
          <w:color w:val="1F2937"/>
          <w:sz w:val="24"/>
          <w:szCs w:val="24"/>
        </w:rPr>
        <w:t xml:space="preserve">The physics path — RAINSHIELD_SOLVER=physics</w:t>
      </w:r>
    </w:p>
    <w:p>
      <w:pPr>
        <w:spacing w:after="120" w:line="276"/>
      </w:pPr>
      <w:r>
        <w:rPr>
          <w:rFonts w:ascii="Calibri" w:cs="Calibri" w:eastAsia="Calibri" w:hAnsi="Calibri"/>
          <w:color w:val="1A1A1A"/>
          <w:sz w:val="21"/>
          <w:szCs w:val="21"/>
        </w:rPr>
        <w:t xml:space="preserve">The default heuristic path evaluates every cell independently, which means it conserves nothing: rain landing on a hillside raises that hillside's flood probability and never arrives in the basin below, a pumped cell is no drier than its neighbour, and water does not move. The physics path replaces it with a mass-conserving finite-volume diffusive-wave solver.</w:t>
      </w:r>
    </w:p>
    <w:p>
      <w:pPr>
        <w:shd w:fill="F2F5F9" w:val="clear"/>
        <w:spacing w:after="0" w:before="60"/>
        <w:ind w:left="215"/>
      </w:pPr>
      <w:r>
        <w:rPr>
          <w:rFonts w:ascii="Consolas" w:cs="Consolas" w:eastAsia="Consolas" w:hAnsi="Consolas"/>
          <w:color w:val="1F2937"/>
          <w:sz w:val="18"/>
          <w:szCs w:val="18"/>
        </w:rPr>
        <w:t xml:space="preserve">∂h/∂t + ∇·q = R − I − P − D</w:t>
      </w:r>
    </w:p>
    <w:p>
      <w:pPr>
        <w:shd w:fill="F2F5F9" w:val="clear"/>
        <w:spacing w:after="0" w:before="0"/>
        <w:ind w:left="215"/>
      </w:pPr>
      <w:r>
        <w:rPr>
          <w:rFonts w:ascii="Consolas" w:cs="Consolas" w:eastAsia="Consolas" w:hAnsi="Consolas"/>
          <w:color w:val="1F2937"/>
          <w:sz w:val="18"/>
          <w:szCs w:val="18"/>
        </w:rPr>
        <w:t xml:space="preserve"> </w:t>
      </w:r>
    </w:p>
    <w:p>
      <w:pPr>
        <w:shd w:fill="F2F5F9" w:val="clear"/>
        <w:spacing w:after="140" w:before="0"/>
        <w:ind w:left="215"/>
      </w:pPr>
      <w:r>
        <w:rPr>
          <w:rFonts w:ascii="Consolas" w:cs="Consolas" w:eastAsia="Consolas" w:hAnsi="Consolas"/>
          <w:color w:val="1F2937"/>
          <w:sz w:val="18"/>
          <w:szCs w:val="18"/>
        </w:rPr>
        <w:t xml:space="preserve">q = −(1/n) · h^(5/3) · ∇(z+h) / |∇(z+h)|^(1/2)</w:t>
      </w:r>
    </w:p>
    <w:p>
      <w:pPr>
        <w:pStyle w:val="ListParagraph"/>
        <w:numPr>
          <w:ilvl w:val="0"/>
          <w:numId w:val="2"/>
        </w:numPr>
        <w:spacing w:after="70" w:line="276"/>
      </w:pPr>
      <w:r>
        <w:rPr>
          <w:rFonts w:ascii="Calibri" w:cs="Calibri" w:eastAsia="Calibri" w:hAnsi="Calibri"/>
          <w:b/>
          <w:bCs/>
          <w:color w:val="1A1A1A"/>
          <w:sz w:val="21"/>
          <w:szCs w:val="21"/>
        </w:rPr>
        <w:t xml:space="preserve">Mass conservation is a property of the discretisation, not a penalty term. </w:t>
      </w:r>
      <w:r>
        <w:rPr>
          <w:rFonts w:ascii="Calibri" w:cs="Calibri" w:eastAsia="Calibri" w:hAnsi="Calibri"/>
          <w:color w:val="1A1A1A"/>
          <w:sz w:val="21"/>
          <w:szCs w:val="21"/>
        </w:rPr>
        <w:t xml:space="preserve">Fluxes are computed on cell faces and applied with opposite signs to the two cells sharing a face, so water removed from one is exactly the water added to the other.</w:t>
      </w:r>
    </w:p>
    <w:p>
      <w:pPr>
        <w:pStyle w:val="ListParagraph"/>
        <w:numPr>
          <w:ilvl w:val="0"/>
          <w:numId w:val="2"/>
        </w:numPr>
        <w:spacing w:after="70" w:line="276"/>
      </w:pPr>
      <w:r>
        <w:rPr>
          <w:rFonts w:ascii="Calibri" w:cs="Calibri" w:eastAsia="Calibri" w:hAnsi="Calibri"/>
          <w:b/>
          <w:bCs/>
          <w:color w:val="1A1A1A"/>
          <w:sz w:val="21"/>
          <w:szCs w:val="21"/>
        </w:rPr>
        <w:t xml:space="preserve">The coast is an open, tide-gated boundary. </w:t>
      </w:r>
      <w:r>
        <w:rPr>
          <w:rFonts w:ascii="Calibri" w:cs="Calibri" w:eastAsia="Calibri" w:hAnsi="Calibri"/>
          <w:color w:val="1A1A1A"/>
          <w:sz w:val="21"/>
          <w:szCs w:val="21"/>
        </w:rPr>
        <w:t xml:space="preserve">Land cells next to the sea discharge over a weir driven by head over sea level, and the flap gate shuts rather than reversing when the sea is higher. A no-flux coast would pond water against the shoreline exactly where the city drains.</w:t>
      </w:r>
    </w:p>
    <w:p>
      <w:pPr>
        <w:pStyle w:val="ListParagraph"/>
        <w:numPr>
          <w:ilvl w:val="0"/>
          <w:numId w:val="2"/>
        </w:numPr>
        <w:spacing w:after="70" w:line="276"/>
      </w:pPr>
      <w:r>
        <w:rPr>
          <w:rFonts w:ascii="Calibri" w:cs="Calibri" w:eastAsia="Calibri" w:hAnsi="Calibri"/>
          <w:b/>
          <w:bCs/>
          <w:color w:val="1A1A1A"/>
          <w:sz w:val="21"/>
          <w:szCs w:val="21"/>
        </w:rPr>
        <w:t xml:space="preserve">One solve gives every horizon. </w:t>
      </w:r>
      <w:r>
        <w:rPr>
          <w:rFonts w:ascii="Calibri" w:cs="Calibri" w:eastAsia="Calibri" w:hAnsi="Calibri"/>
          <w:color w:val="1A1A1A"/>
          <w:sz w:val="21"/>
          <w:szCs w:val="21"/>
        </w:rPr>
        <w:t xml:space="preserve">"+3 hr" is genuinely the state "+1 hr" evolved into — and water can recede when rain stops, which a per-lead response curve cannot represent. A full 6-hour solve takes about 160 ms.</w:t>
      </w:r>
    </w:p>
    <w:p>
      <w:pPr>
        <w:pStyle w:val="ListParagraph"/>
        <w:numPr>
          <w:ilvl w:val="0"/>
          <w:numId w:val="2"/>
        </w:numPr>
        <w:spacing w:after="70" w:line="276"/>
      </w:pPr>
      <w:r>
        <w:rPr>
          <w:rFonts w:ascii="Calibri" w:cs="Calibri" w:eastAsia="Calibri" w:hAnsi="Calibri"/>
          <w:b/>
          <w:bCs/>
          <w:color w:val="1A1A1A"/>
          <w:sz w:val="21"/>
          <w:szCs w:val="21"/>
        </w:rPr>
        <w:t xml:space="preserve">The network stays in the loop. </w:t>
      </w:r>
      <w:r>
        <w:rPr>
          <w:rFonts w:ascii="Calibri" w:cs="Calibri" w:eastAsia="Calibri" w:hAnsi="Calibri"/>
          <w:color w:val="1A1A1A"/>
          <w:sz w:val="21"/>
          <w:szCs w:val="21"/>
        </w:rPr>
        <w:t xml:space="preserve">The solver needs two parameters no raster in the project contains: depression storage (where water ponds before routing) and drain removal rate (how badly the drains cope). Both are functions of the network's susceptibility — a dimensionless 0–1 statement about where water collects and lingers, exactly what it genuinely learned. Manning's n comes from built density instead, because roughness is a physical property the terrain layers already describe. Depth is never read from the network; it comes from conservation of mass over terrain.</w:t>
      </w:r>
    </w:p>
    <w:p>
      <w:pPr>
        <w:pStyle w:val="Heading3"/>
        <w:spacing w:after="80" w:before="200"/>
      </w:pPr>
      <w:r>
        <w:rPr>
          <w:rFonts w:ascii="Calibri" w:cs="Calibri" w:eastAsia="Calibri" w:hAnsi="Calibri"/>
          <w:b/>
          <w:bCs/>
          <w:color w:val="595959"/>
          <w:sz w:val="21"/>
          <w:szCs w:val="21"/>
        </w:rPr>
        <w:t xml:space="preserve">Mass closure instead of a PDE residual</w:t>
      </w:r>
    </w:p>
    <w:p>
      <w:pPr>
        <w:spacing w:after="120" w:line="276"/>
      </w:pPr>
      <w:r>
        <w:rPr>
          <w:rFonts w:ascii="Calibri" w:cs="Calibri" w:eastAsia="Calibri" w:hAnsi="Calibri"/>
          <w:color w:val="1A1A1A"/>
          <w:sz w:val="21"/>
          <w:szCs w:val="21"/>
        </w:rPr>
        <w:t xml:space="preserve">The solve tallies every volume that entered or left and reports the closure error — the governing equation integrated over the whole domain and the whole run. It comes out at about 3 × 10⁻¹⁵, machine precision, and the Hazard model panel prints it with the volumes behind it. That is a checkable claim, unlike "physics-informed".</w:t>
      </w:r>
    </w:p>
    <w:p>
      <w:pPr>
        <w:pStyle w:val="Heading3"/>
        <w:spacing w:after="80" w:before="200"/>
      </w:pPr>
      <w:r>
        <w:rPr>
          <w:rFonts w:ascii="Calibri" w:cs="Calibri" w:eastAsia="Calibri" w:hAnsi="Calibri"/>
          <w:b/>
          <w:bCs/>
          <w:color w:val="595959"/>
          <w:sz w:val="21"/>
          <w:szCs w:val="21"/>
        </w:rPr>
        <w:t xml:space="preserve">Why not a strict PINN</w:t>
      </w:r>
    </w:p>
    <w:p>
      <w:pPr>
        <w:spacing w:after="120" w:line="276"/>
      </w:pPr>
      <w:r>
        <w:rPr>
          <w:rFonts w:ascii="Calibri" w:cs="Calibri" w:eastAsia="Calibri" w:hAnsi="Calibri"/>
          <w:color w:val="1A1A1A"/>
          <w:sz w:val="21"/>
          <w:szCs w:val="21"/>
        </w:rPr>
        <w:t xml:space="preserve">A residual-loss PINN has to be trained, and the Stage 0 target is a terrain threshold on a single grid at one timestep, with both threshold variables as input channels. There is nothing to train a residual against. A hard-constrained solver is strictly stronger anyway: mass conservation exact by construction beats mass conservation approximately penalised.</w:t>
      </w:r>
    </w:p>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THE LINE TO SAY</w:t>
            </w:r>
          </w:p>
          <w:p>
            <w:pPr>
              <w:spacing w:line="276"/>
            </w:pPr>
            <w:r>
              <w:rPr>
                <w:rFonts w:ascii="Calibri" w:cs="Calibri" w:eastAsia="Calibri" w:hAnsi="Calibri"/>
                <w:color w:val="1A1A1A"/>
                <w:sz w:val="21"/>
                <w:szCs w:val="21"/>
              </w:rPr>
              <w:t xml:space="preserve">"Drag additional rainfall to +100 mm and watch population at risk and flooded area move — and the alert engine react on its own. Then look at the hazard-model panel: on the physics path we report the mass-closure error, three times ten to the minus fifteen. That is the governing equation integrated over the whole run. We are not asking you to believe our physics; we are showing you the audit."</w:t>
            </w:r>
          </w:p>
        </w:tc>
      </w:tr>
    </w:tbl>
    <w:p>
      <w:r>
        <w:br w:type="page"/>
      </w:r>
    </w:p>
    <w:p>
      <w:pPr>
        <w:pStyle w:val="Heading1"/>
        <w:spacing w:after="140" w:before="360"/>
      </w:pPr>
      <w:r>
        <w:rPr>
          <w:rFonts w:ascii="Calibri" w:cs="Calibri" w:eastAsia="Calibri" w:hAnsi="Calibri"/>
          <w:b/>
          <w:bCs/>
          <w:color w:val="0A5FBF"/>
          <w:sz w:val="32"/>
          <w:szCs w:val="32"/>
        </w:rPr>
        <w:t xml:space="preserve">4.  Drainage  —  can the city actually cope?</w:t>
      </w:r>
    </w:p>
    <w:p>
      <w:pPr>
        <w:spacing w:after="120" w:line="276"/>
      </w:pPr>
      <w:r>
        <w:rPr>
          <w:rFonts w:ascii="Calibri" w:cs="Calibri" w:eastAsia="Calibri" w:hAnsi="Calibri"/>
          <w:color w:val="1A1A1A"/>
          <w:sz w:val="21"/>
          <w:szCs w:val="21"/>
        </w:rPr>
        <w:t xml:space="preserve">This tab answers the question an engineer, rather than a data scientist, would ask: given the rain that is falling, how much pumping capacity does the city need, does it have it, and if not, what more? Everything here is a volumetric balance — rain in, gravity and pumps out. Nothing on this page feeds back into the risk scores, deliberately: it changes no number already on the board.</w:t>
      </w:r>
    </w:p>
    <w:p>
      <w:pPr>
        <w:pStyle w:val="Heading2"/>
        <w:spacing w:after="100" w:before="260"/>
      </w:pPr>
      <w:r>
        <w:rPr>
          <w:rFonts w:ascii="Calibri" w:cs="Calibri" w:eastAsia="Calibri" w:hAnsi="Calibri"/>
          <w:b/>
          <w:bCs/>
          <w:color w:val="1F2937"/>
          <w:sz w:val="24"/>
          <w:szCs w:val="24"/>
        </w:rPr>
        <w:t xml:space="preserve">What is on screen</w:t>
      </w:r>
    </w:p>
    <w:tbl>
      <w:tblPr>
        <w:tblW w:type="dxa" w:w="9360"/>
        <w:tblBorders>
          <w:top w:val="single" w:color="C9D4E0" w:sz="2"/>
          <w:left w:val="single" w:color="C9D4E0" w:sz="2"/>
          <w:bottom w:val="single" w:color="C9D4E0" w:sz="2"/>
          <w:right w:val="single" w:color="C9D4E0" w:sz="2"/>
          <w:insideH w:val="single" w:color="DDE5EE" w:sz="2"/>
          <w:insideV w:val="single" w:color="DDE5EE" w:sz="2"/>
        </w:tblBorders>
      </w:tblPr>
      <w:tblGrid>
        <w:gridCol w:w="1900"/>
        <w:gridCol w:w="3400"/>
        <w:gridCol w:w="4060"/>
      </w:tblGrid>
      <w:tr>
        <w:trPr>
          <w:tblHeader/>
        </w:trPr>
        <w:tc>
          <w:tcPr>
            <w:tcW w:type="dxa" w:w="19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Panel</w:t>
            </w:r>
          </w:p>
        </w:tc>
        <w:tc>
          <w:tcPr>
            <w:tcW w:type="dxa" w:w="34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What it shows</w:t>
            </w:r>
          </w:p>
        </w:tc>
        <w:tc>
          <w:tcPr>
            <w:tcW w:type="dxa" w:w="406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Behind the scenes</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Can the network keep up?</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A verdict — "Capacity is sufficient" or "Capacity is short" — then inflow, supply, deficit and how many gravity gates are shut. If short, how many extra 6 m³/s pumps would close every gap</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Per-catchment mass balance: inflow = (rainfall − infiltration) × area; supply = tide-gated gravity outfall + installed pumps; deficit = inflow − supply. Deficits are summed per catchment, never netted — spare capacity at one outfall cannot drain another's water</w:t>
            </w:r>
          </w:p>
        </w:tc>
      </w:tr>
      <w:tr>
        <w:tc>
          <w:tcPr>
            <w:tcW w:type="dxa" w:w="19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Catchments table</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Every catchment side by side: rain arriving vs what the current supply clears, the deficit, the pumps needed, and whether its gate is shut</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two columns that carry the argument are "rain" and "clears" — putting them next to each other makes the comparison readable without doing arithmetic on cumecs</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Tide dial + sea-level slider</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Where the sea currently sits between lowest and highest astronomical tide, which way it is going, and a slider to pin it anywhere in that range</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Four-constituent harmonic model — M2, S2, K1, O1 — giving the spring–neap cycle and the diurnal inequality: a 4.6 m spring range over a 30-day span of 0.12–4.97 m above chart datum, the right character for Apollo Bandar</w:t>
            </w:r>
          </w:p>
        </w:tc>
      </w:tr>
      <w:tr>
        <w:tc>
          <w:tcPr>
            <w:tcW w:type="dxa" w:w="19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Pump availability slider</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What a station out of service would cost, before the rain arrives</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Scales installed capacity 0–100% and re-runs the balance</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Stations list</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seven real BRIMSTOWAD stations with capacity, pump count, outfall invert level, commissioning year and gate state</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Haji Ali, Love Grove, Cleveland Bunder, Britannia, Gazdhar Bandh, Irla, Mogra — 180 m³/s installed, at their real locations</w:t>
            </w:r>
          </w:p>
        </w:tc>
      </w:tr>
      <w:tr>
        <w:tc>
          <w:tcPr>
            <w:tcW w:type="dxa" w:w="19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What this model can be read to say</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caveat, served by the API rather than written into the UI</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So the limitation travels with the data instead of being a footnote someone can delete</w:t>
            </w:r>
          </w:p>
        </w:tc>
      </w:tr>
    </w:tbl>
    <w:p>
      <w:pPr>
        <w:pStyle w:val="Heading2"/>
        <w:spacing w:after="100" w:before="260"/>
      </w:pPr>
      <w:r>
        <w:rPr>
          <w:rFonts w:ascii="Calibri" w:cs="Calibri" w:eastAsia="Calibri" w:hAnsi="Calibri"/>
          <w:b/>
          <w:bCs/>
          <w:color w:val="1F2937"/>
          <w:sz w:val="24"/>
          <w:szCs w:val="24"/>
        </w:rPr>
        <w:t xml:space="preserve">Tide gating is the mechanism, not a detail</w:t>
      </w:r>
    </w:p>
    <w:p>
      <w:pPr>
        <w:spacing w:after="120" w:line="276"/>
      </w:pPr>
      <w:r>
        <w:rPr>
          <w:rFonts w:ascii="Calibri" w:cs="Calibri" w:eastAsia="Calibri" w:hAnsi="Calibri"/>
          <w:color w:val="1A1A1A"/>
          <w:sz w:val="21"/>
          <w:szCs w:val="21"/>
        </w:rPr>
        <w:t xml:space="preserve">Mumbai's gravity outfalls shut when the sea rises above their inverts, and both 2005 and 2017 were extreme rain on a high tide. The answer genuinely flips, and it is one slider drag away:</w:t>
      </w:r>
    </w:p>
    <w:tbl>
      <w:tblPr>
        <w:tblW w:type="dxa" w:w="9360"/>
        <w:tblBorders>
          <w:top w:val="single" w:color="C9D4E0" w:sz="2"/>
          <w:left w:val="single" w:color="C9D4E0" w:sz="2"/>
          <w:bottom w:val="single" w:color="C9D4E0" w:sz="2"/>
          <w:right w:val="single" w:color="C9D4E0" w:sz="2"/>
          <w:insideH w:val="single" w:color="DDE5EE" w:sz="2"/>
          <w:insideV w:val="single" w:color="DDE5EE" w:sz="2"/>
        </w:tblBorders>
      </w:tblPr>
      <w:tblGrid>
        <w:gridCol w:w="4200"/>
        <w:gridCol w:w="2580"/>
        <w:gridCol w:w="2580"/>
      </w:tblGrid>
      <w:tr>
        <w:trPr>
          <w:tblHeader/>
        </w:trPr>
        <w:tc>
          <w:tcPr>
            <w:tcW w:type="dxa" w:w="42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Rainfall</w:t>
            </w:r>
          </w:p>
        </w:tc>
        <w:tc>
          <w:tcPr>
            <w:tcW w:type="dxa" w:w="258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At low water</w:t>
            </w:r>
          </w:p>
        </w:tc>
        <w:tc>
          <w:tcPr>
            <w:tcW w:type="dxa" w:w="258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At high water</w:t>
            </w:r>
          </w:p>
        </w:tc>
      </w:tr>
      <w:tr>
        <w:tc>
          <w:tcPr>
            <w:tcW w:type="dxa" w:w="42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25 mm/hr</w:t>
            </w:r>
          </w:p>
        </w:tc>
        <w:tc>
          <w:tcPr>
            <w:tcW w:type="dxa" w:w="258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sufficient</w:t>
            </w:r>
          </w:p>
        </w:tc>
        <w:tc>
          <w:tcPr>
            <w:tcW w:type="dxa" w:w="258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sufficient</w:t>
            </w:r>
          </w:p>
        </w:tc>
      </w:tr>
      <w:tr>
        <w:tc>
          <w:tcPr>
            <w:tcW w:type="dxa" w:w="42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50 mm/hr (BRIMSTOWAD design standard)</w:t>
            </w:r>
          </w:p>
        </w:tc>
        <w:tc>
          <w:tcPr>
            <w:tcW w:type="dxa" w:w="258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sufficient</w:t>
            </w:r>
          </w:p>
        </w:tc>
        <w:tc>
          <w:tcPr>
            <w:tcW w:type="dxa" w:w="258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3 of 7 catchments short</w:t>
            </w:r>
          </w:p>
        </w:tc>
      </w:tr>
      <w:tr>
        <w:tc>
          <w:tcPr>
            <w:tcW w:type="dxa" w:w="42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100 mm/hr</w:t>
            </w:r>
          </w:p>
        </w:tc>
        <w:tc>
          <w:tcPr>
            <w:tcW w:type="dxa" w:w="258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3 of 7 short</w:t>
            </w:r>
          </w:p>
        </w:tc>
        <w:tc>
          <w:tcPr>
            <w:tcW w:type="dxa" w:w="258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7 of 7 short, +30 pumps needed</w:t>
            </w:r>
          </w:p>
        </w:tc>
      </w:tr>
    </w:tbl>
    <w:p>
      <w:pPr>
        <w:spacing w:after="120" w:line="276"/>
      </w:pPr>
      <w:r>
        <w:rPr>
          <w:rFonts w:ascii="Calibri" w:cs="Calibri" w:eastAsia="Calibri" w:hAnsi="Calibri"/>
          <w:color w:val="1A1A1A"/>
          <w:sz w:val="21"/>
          <w:szCs w:val="21"/>
        </w:rPr>
        <w:t xml:space="preserve">Supply collapses from 320 to 180 m³/s as the gates shut. That is the whole argument for why a rainfall threshold alone is not a warning system.</w:t>
      </w:r>
    </w:p>
    <w:p>
      <w:pPr>
        <w:pStyle w:val="Heading2"/>
        <w:spacing w:after="100" w:before="260"/>
      </w:pPr>
      <w:r>
        <w:rPr>
          <w:rFonts w:ascii="Calibri" w:cs="Calibri" w:eastAsia="Calibri" w:hAnsi="Calibri"/>
          <w:b/>
          <w:bCs/>
          <w:color w:val="1F2937"/>
          <w:sz w:val="24"/>
          <w:szCs w:val="24"/>
        </w:rPr>
        <w:t xml:space="preserve">Why the service areas are design-derived — the caveat, stated plainly</w:t>
      </w:r>
    </w:p>
    <w:p>
      <w:pPr>
        <w:spacing w:after="120" w:line="276"/>
      </w:pPr>
      <w:r>
        <w:rPr>
          <w:rFonts w:ascii="Calibri" w:cs="Calibri" w:eastAsia="Calibri" w:hAnsi="Calibri"/>
          <w:color w:val="1A1A1A"/>
          <w:sz w:val="21"/>
          <w:szCs w:val="21"/>
        </w:rPr>
        <w:t xml:space="preserve">Working back from installed capacity at the 50 mm/hr standard, these stations were built for catchments of 1.3–2.6 km². One cell of our grid is 0.94 km² — an engineered catchment is smaller than the model's resolution. Asked for topographic catchments within 1 km of each station, D8 flow routing returns nothing; relaxed to 4.5 km it returns basins 5–25× too large, because Mumbai has on the order of a hundred outfalls and only seven are pumped, so attributing a coastal stretch to one station hands it every other outfall's water. That produced a headline of 3,194 extra pumps — obviously wrong.</w:t>
      </w:r>
    </w:p>
    <w:p>
      <w:pPr>
        <w:spacing w:after="120" w:line="276"/>
      </w:pPr>
      <w:r>
        <w:rPr>
          <w:rFonts w:ascii="Calibri" w:cs="Calibri" w:eastAsia="Calibri" w:hAnsi="Calibri"/>
          <w:color w:val="1A1A1A"/>
          <w:sz w:val="21"/>
          <w:szCs w:val="21"/>
        </w:rPr>
        <w:t xml:space="preserve">So terrain decides which cells — a cell is eligible only if its own flow path reaches the coast near that station — and the design standard decides how many. One consequence bounds what the model can conclude: because service areas are derived from capacity, every station is by construction sized for its own design standard. This cannot discover that a station is under-built for what it was designed for. It can say whether rain exceeds the standard, and how much of the margin the tide takes.</w:t>
      </w:r>
    </w:p>
    <w:p>
      <w:pPr>
        <w:spacing w:after="120" w:line="276"/>
      </w:pPr>
      <w:r>
        <w:rPr>
          <w:rFonts w:ascii="Calibri" w:cs="Calibri" w:eastAsia="Calibri" w:hAnsi="Calibri"/>
          <w:color w:val="1A1A1A"/>
          <w:sz w:val="21"/>
          <w:szCs w:val="21"/>
        </w:rPr>
        <w:t xml:space="preserve">Land outside those areas is reported with its inflow and no capacity figure at all, below a rule and without a verdict, rather than a deficit against a capacity that was never modelled.</w:t>
      </w:r>
    </w:p>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THE LINE TO SAY</w:t>
            </w:r>
          </w:p>
          <w:p>
            <w:pPr>
              <w:spacing w:line="276"/>
            </w:pPr>
            <w:r>
              <w:rPr>
                <w:rFonts w:ascii="Calibri" w:cs="Calibri" w:eastAsia="Calibri" w:hAnsi="Calibri"/>
                <w:color w:val="1A1A1A"/>
                <w:sz w:val="21"/>
                <w:szCs w:val="21"/>
              </w:rPr>
              <w:t xml:space="preserve">"Pump capacities are estimates from public reporting of pump counts, and every one carries the basis string you can see printed under the station list. But the mechanism is real: drag the tide to high water at fifty millimetres an hour — the design standard — and three of seven catchments go short. Supply falls from 320 to 180 cumecs because the gravity gates shut. That is why 2005 and 2017 were both extreme rain on a high tide."</w:t>
            </w:r>
          </w:p>
        </w:tc>
      </w:tr>
    </w:tbl>
    <w:p>
      <w:r>
        <w:br w:type="page"/>
      </w:r>
    </w:p>
    <w:p>
      <w:pPr>
        <w:pStyle w:val="Heading1"/>
        <w:spacing w:after="140" w:before="360"/>
      </w:pPr>
      <w:r>
        <w:rPr>
          <w:rFonts w:ascii="Calibri" w:cs="Calibri" w:eastAsia="Calibri" w:hAnsi="Calibri"/>
          <w:b/>
          <w:bCs/>
          <w:color w:val="0A5FBF"/>
          <w:sz w:val="32"/>
          <w:szCs w:val="32"/>
        </w:rPr>
        <w:t xml:space="preserve">5.  Wards  —  the administrative view</w:t>
      </w:r>
    </w:p>
    <w:p>
      <w:pPr>
        <w:spacing w:after="120" w:line="276"/>
      </w:pPr>
      <w:r>
        <w:rPr>
          <w:rFonts w:ascii="Calibri" w:cs="Calibri" w:eastAsia="Calibri" w:hAnsi="Calibri"/>
          <w:color w:val="1A1A1A"/>
          <w:sz w:val="21"/>
          <w:szCs w:val="21"/>
        </w:rPr>
        <w:t xml:space="preserve">The same intelligence, reorganised around the unit that actually acts. A ward officer does not deploy to a 1 km cell; they deploy to a ward.</w:t>
      </w:r>
    </w:p>
    <w:p>
      <w:pPr>
        <w:pStyle w:val="Heading2"/>
        <w:spacing w:after="100" w:before="260"/>
      </w:pPr>
      <w:r>
        <w:rPr>
          <w:rFonts w:ascii="Calibri" w:cs="Calibri" w:eastAsia="Calibri" w:hAnsi="Calibri"/>
          <w:b/>
          <w:bCs/>
          <w:color w:val="1F2937"/>
          <w:sz w:val="24"/>
          <w:szCs w:val="24"/>
        </w:rPr>
        <w:t xml:space="preserve">What is on screen</w:t>
      </w:r>
    </w:p>
    <w:tbl>
      <w:tblPr>
        <w:tblW w:type="dxa" w:w="9360"/>
        <w:tblBorders>
          <w:top w:val="single" w:color="C9D4E0" w:sz="2"/>
          <w:left w:val="single" w:color="C9D4E0" w:sz="2"/>
          <w:bottom w:val="single" w:color="C9D4E0" w:sz="2"/>
          <w:right w:val="single" w:color="C9D4E0" w:sz="2"/>
          <w:insideH w:val="single" w:color="DDE5EE" w:sz="2"/>
          <w:insideV w:val="single" w:color="DDE5EE" w:sz="2"/>
        </w:tblBorders>
      </w:tblPr>
      <w:tblGrid>
        <w:gridCol w:w="1900"/>
        <w:gridCol w:w="3400"/>
        <w:gridCol w:w="4060"/>
      </w:tblGrid>
      <w:tr>
        <w:trPr>
          <w:tblHeader/>
        </w:trPr>
        <w:tc>
          <w:tcPr>
            <w:tcW w:type="dxa" w:w="19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Panel</w:t>
            </w:r>
          </w:p>
        </w:tc>
        <w:tc>
          <w:tcPr>
            <w:tcW w:type="dxa" w:w="34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What it shows</w:t>
            </w:r>
          </w:p>
        </w:tc>
        <w:tc>
          <w:tcPr>
            <w:tcW w:type="dxa" w:w="406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Behind the scenes</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Ward risk grid</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Every ward at once as cards, ordered by composite risk, each with tier badge, flood probability, expected depth, time to inundation and population at risk</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Same WardList component as the dashboard rail, rendered in its grid variant — one component, two layouts</w:t>
            </w:r>
          </w:p>
        </w:tc>
      </w:tr>
      <w:tr>
        <w:tc>
          <w:tcPr>
            <w:tcW w:type="dxa" w:w="19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Priority alert</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selected ward expanded, or the highest-risk one by default</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Selecting a ward here cross-highlights it on the map tab, because selection lives in shared context</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Risk summary</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Tier distribution donut</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Recharts</w:t>
            </w:r>
          </w:p>
        </w:tc>
      </w:tr>
      <w:tr>
        <w:tc>
          <w:tcPr>
            <w:tcW w:type="dxa" w:w="19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Conditions</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Region-wide rainfall and inundation figures</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Shared panel</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Nowcast trend + exposure</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horizon curve and the exposed-asset list side by side</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Shared panels</w:t>
            </w:r>
          </w:p>
        </w:tc>
      </w:tr>
    </w:tbl>
    <w:p>
      <w:pPr>
        <w:pStyle w:val="Heading2"/>
        <w:spacing w:after="100" w:before="260"/>
      </w:pPr>
      <w:r>
        <w:rPr>
          <w:rFonts w:ascii="Calibri" w:cs="Calibri" w:eastAsia="Calibri" w:hAnsi="Calibri"/>
          <w:b/>
          <w:bCs/>
          <w:color w:val="1F2937"/>
          <w:sz w:val="24"/>
          <w:szCs w:val="24"/>
        </w:rPr>
        <w:t xml:space="preserve">The technical point worth making here</w:t>
      </w:r>
    </w:p>
    <w:p>
      <w:pPr>
        <w:pStyle w:val="ListParagraph"/>
        <w:numPr>
          <w:ilvl w:val="0"/>
          <w:numId w:val="2"/>
        </w:numPr>
        <w:spacing w:after="70" w:line="276"/>
      </w:pPr>
      <w:r>
        <w:rPr>
          <w:rFonts w:ascii="Calibri" w:cs="Calibri" w:eastAsia="Calibri" w:hAnsi="Calibri"/>
          <w:b/>
          <w:bCs/>
          <w:color w:val="1A1A1A"/>
          <w:sz w:val="21"/>
          <w:szCs w:val="21"/>
        </w:rPr>
        <w:t xml:space="preserve">Roll-ups are peaks, not means. </w:t>
      </w:r>
      <w:r>
        <w:rPr>
          <w:rFonts w:ascii="Calibri" w:cs="Calibri" w:eastAsia="Calibri" w:hAnsi="Calibri"/>
          <w:color w:val="1A1A1A"/>
          <w:sz w:val="21"/>
          <w:szCs w:val="21"/>
        </w:rPr>
        <w:t xml:space="preserve">A ward is warned on its worst cell, not its average one — averaging a low-lying pocket against the high ground around it hides exactly the thing you need to know. The API does this roll-up server-side in risk.py so every client agrees.</w:t>
      </w:r>
    </w:p>
    <w:p>
      <w:pPr>
        <w:pStyle w:val="ListParagraph"/>
        <w:numPr>
          <w:ilvl w:val="0"/>
          <w:numId w:val="2"/>
        </w:numPr>
        <w:spacing w:after="70" w:line="276"/>
      </w:pPr>
      <w:r>
        <w:rPr>
          <w:rFonts w:ascii="Calibri" w:cs="Calibri" w:eastAsia="Calibri" w:hAnsi="Calibri"/>
          <w:b/>
          <w:bCs/>
          <w:color w:val="1A1A1A"/>
          <w:sz w:val="21"/>
          <w:szCs w:val="21"/>
        </w:rPr>
        <w:t xml:space="preserve">Population at risk is probability-weighted. </w:t>
      </w:r>
      <w:r>
        <w:rPr>
          <w:rFonts w:ascii="Calibri" w:cs="Calibri" w:eastAsia="Calibri" w:hAnsi="Calibri"/>
          <w:color w:val="1A1A1A"/>
          <w:sz w:val="21"/>
          <w:szCs w:val="21"/>
        </w:rPr>
        <w:t xml:space="preserve">It is not "everyone in a ward that has any flooding". Each cell's WorldPop count is weighted by that cell's flood probability and summed, which is why the figure moves smoothly as the what-if sliders move rather than jumping in ward-sized steps.</w:t>
      </w:r>
    </w:p>
    <w:p>
      <w:pPr>
        <w:pStyle w:val="ListParagraph"/>
        <w:numPr>
          <w:ilvl w:val="0"/>
          <w:numId w:val="2"/>
        </w:numPr>
        <w:spacing w:after="70" w:line="276"/>
      </w:pPr>
      <w:r>
        <w:rPr>
          <w:rFonts w:ascii="Calibri" w:cs="Calibri" w:eastAsia="Calibri" w:hAnsi="Calibri"/>
          <w:b/>
          <w:bCs/>
          <w:color w:val="1A1A1A"/>
          <w:sz w:val="21"/>
          <w:szCs w:val="21"/>
        </w:rPr>
        <w:t xml:space="preserve">Time to inundation is an onset estimate, not a countdown. </w:t>
      </w:r>
      <w:r>
        <w:rPr>
          <w:rFonts w:ascii="Calibri" w:cs="Calibri" w:eastAsia="Calibri" w:hAnsi="Calibri"/>
          <w:color w:val="1A1A1A"/>
          <w:sz w:val="21"/>
          <w:szCs w:val="21"/>
        </w:rPr>
        <w:t xml:space="preserve">It is derived per cell in the hazard model and reported as the earliest onset in the ward — the operationally useful number, because it is how long crews have.</w:t>
      </w:r>
    </w:p>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THE LINE TO SAY</w:t>
            </w:r>
          </w:p>
          <w:p>
            <w:pPr>
              <w:spacing w:line="276"/>
            </w:pPr>
            <w:r>
              <w:rPr>
                <w:rFonts w:ascii="Calibri" w:cs="Calibri" w:eastAsia="Calibri" w:hAnsi="Calibri"/>
                <w:color w:val="1A1A1A"/>
                <w:sz w:val="21"/>
                <w:szCs w:val="21"/>
              </w:rPr>
              <w:t xml:space="preserve">"Same data, reorganised for the person who has to act. And note the ranking is by composite risk, not by rainfall — a ward with less rain but lower ground, denser population and a hospital in a flood cell ranks higher, which is the whole point of a weighted score."</w:t>
            </w:r>
          </w:p>
        </w:tc>
      </w:tr>
    </w:tbl>
    <w:p>
      <w:r>
        <w:br w:type="page"/>
      </w:r>
    </w:p>
    <w:p>
      <w:pPr>
        <w:pStyle w:val="Heading1"/>
        <w:spacing w:after="140" w:before="360"/>
      </w:pPr>
      <w:r>
        <w:rPr>
          <w:rFonts w:ascii="Calibri" w:cs="Calibri" w:eastAsia="Calibri" w:hAnsi="Calibri"/>
          <w:b/>
          <w:bCs/>
          <w:color w:val="0A5FBF"/>
          <w:sz w:val="32"/>
          <w:szCs w:val="32"/>
        </w:rPr>
        <w:t xml:space="preserve">6.  Alerts  —  from a score to a dispatchable warning</w:t>
      </w:r>
    </w:p>
    <w:p>
      <w:pPr>
        <w:spacing w:after="120" w:line="276"/>
      </w:pPr>
      <w:r>
        <w:rPr>
          <w:rFonts w:ascii="Calibri" w:cs="Calibri" w:eastAsia="Calibri" w:hAnsi="Calibri"/>
          <w:color w:val="1A1A1A"/>
          <w:sz w:val="21"/>
          <w:szCs w:val="21"/>
        </w:rPr>
        <w:t xml:space="preserve">This is the tab that makes the prototype a warning system rather than a visualisation. Demo it after the what-if sliders, because the cleanest way to show it is to make an alert happen.</w:t>
      </w:r>
    </w:p>
    <w:p>
      <w:pPr>
        <w:pStyle w:val="Heading2"/>
        <w:spacing w:after="100" w:before="260"/>
      </w:pPr>
      <w:r>
        <w:rPr>
          <w:rFonts w:ascii="Calibri" w:cs="Calibri" w:eastAsia="Calibri" w:hAnsi="Calibri"/>
          <w:b/>
          <w:bCs/>
          <w:color w:val="1F2937"/>
          <w:sz w:val="24"/>
          <w:szCs w:val="24"/>
        </w:rPr>
        <w:t xml:space="preserve">What is on screen</w:t>
      </w:r>
    </w:p>
    <w:tbl>
      <w:tblPr>
        <w:tblW w:type="dxa" w:w="9360"/>
        <w:tblBorders>
          <w:top w:val="single" w:color="C9D4E0" w:sz="2"/>
          <w:left w:val="single" w:color="C9D4E0" w:sz="2"/>
          <w:bottom w:val="single" w:color="C9D4E0" w:sz="2"/>
          <w:right w:val="single" w:color="C9D4E0" w:sz="2"/>
          <w:insideH w:val="single" w:color="DDE5EE" w:sz="2"/>
          <w:insideV w:val="single" w:color="DDE5EE" w:sz="2"/>
        </w:tblBorders>
      </w:tblPr>
      <w:tblGrid>
        <w:gridCol w:w="1900"/>
        <w:gridCol w:w="3400"/>
        <w:gridCol w:w="4060"/>
      </w:tblGrid>
      <w:tr>
        <w:trPr>
          <w:tblHeader/>
        </w:trPr>
        <w:tc>
          <w:tcPr>
            <w:tcW w:type="dxa" w:w="19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Panel</w:t>
            </w:r>
          </w:p>
        </w:tc>
        <w:tc>
          <w:tcPr>
            <w:tcW w:type="dxa" w:w="34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What it shows</w:t>
            </w:r>
          </w:p>
        </w:tc>
        <w:tc>
          <w:tcPr>
            <w:tcW w:type="dxa" w:w="406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Behind the scenes</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Alert operations</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Counts of critical, under-review and total alerts, and whether the engine is armed or active</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Polls the backend alert store every 2 seconds</w:t>
            </w:r>
          </w:p>
        </w:tc>
      </w:tr>
      <w:tr>
        <w:tc>
          <w:tcPr>
            <w:tcW w:type="dxa" w:w="19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Emergency alert preview</w:t>
            </w:r>
          </w:p>
          <w:p>
            <w:pPr>
              <w:spacing w:line="256"/>
            </w:pPr>
            <w:r>
              <w:rPr>
                <w:rFonts w:ascii="Calibri" w:cs="Calibri" w:eastAsia="Calibri" w:hAnsi="Calibri"/>
                <w:b w:val="false"/>
                <w:bCs w:val="false"/>
                <w:color w:val="1A1A1A"/>
                <w:sz w:val="19"/>
                <w:szCs w:val="19"/>
              </w:rPr>
              <w:t xml:space="preserve">— Operations tab</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warning as a citizen would receive it: area, headline, description, tier-appropriate instruction, then probability, depth, lead time and people affected</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Built from the ward roll-up; instructions are tier-mapped — Watch pre-positions crews, Warning closes underpasses, Critical evacuates low-lying pockets</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Emergency alert preview</w:t>
            </w:r>
          </w:p>
          <w:p>
            <w:pPr>
              <w:spacing w:line="256"/>
            </w:pPr>
            <w:r>
              <w:rPr>
                <w:rFonts w:ascii="Calibri" w:cs="Calibri" w:eastAsia="Calibri" w:hAnsi="Calibri"/>
                <w:b w:val="false"/>
                <w:bCs w:val="false"/>
                <w:color w:val="1A1A1A"/>
                <w:sz w:val="19"/>
                <w:szCs w:val="19"/>
              </w:rPr>
              <w:t xml:space="preserve">— CAP 1.2 tab</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same alert as raw CAP 1.2 XML</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Common Alerting Protocol is the international standard SDMA/NDMA gateways consume. Severity maps Minor/Moderate/Severe/Extreme, urgency Future/Expected/Immediate, certainty from the forecast confidence</w:t>
            </w:r>
          </w:p>
        </w:tc>
      </w:tr>
      <w:tr>
        <w:tc>
          <w:tcPr>
            <w:tcW w:type="dxa" w:w="19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Impact at a glance</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People at risk, wards above Normal, flooding cell count, max depth, composite risk, and the three risk drivers as bars</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Straight from the ward summary</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Workflow chips</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Detect → Draft → Review → Broadcast → Active, with approve and broadcast buttons</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Each button calls a backend lifecycle endpoint; the poll picks up the new status</w:t>
            </w:r>
          </w:p>
        </w:tc>
      </w:tr>
      <w:tr>
        <w:tc>
          <w:tcPr>
            <w:tcW w:type="dxa" w:w="19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Alert event stream</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Every threshold crossing with timestamp, reason and population</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backend's in-memory store, newest first</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Broadcast network</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SMS cell broadcast, mobile app, web portal, authority API, siren network, with delivery percentages</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Explicitly labelled as simulated telemetry — real telecom, siren and government gateways are not connected</w:t>
            </w:r>
          </w:p>
        </w:tc>
      </w:tr>
    </w:tbl>
    <w:p>
      <w:pPr>
        <w:pStyle w:val="Heading2"/>
        <w:spacing w:after="100" w:before="260"/>
      </w:pPr>
      <w:r>
        <w:rPr>
          <w:rFonts w:ascii="Calibri" w:cs="Calibri" w:eastAsia="Calibri" w:hAnsi="Calibri"/>
          <w:b/>
          <w:bCs/>
          <w:color w:val="1F2937"/>
          <w:sz w:val="24"/>
          <w:szCs w:val="24"/>
        </w:rPr>
        <w:t xml:space="preserve">The three things that make this credible</w:t>
      </w:r>
    </w:p>
    <w:p>
      <w:pPr>
        <w:pStyle w:val="Heading3"/>
        <w:spacing w:after="80" w:before="200"/>
      </w:pPr>
      <w:r>
        <w:rPr>
          <w:rFonts w:ascii="Calibri" w:cs="Calibri" w:eastAsia="Calibri" w:hAnsi="Calibri"/>
          <w:b/>
          <w:bCs/>
          <w:color w:val="595959"/>
          <w:sz w:val="21"/>
          <w:szCs w:val="21"/>
        </w:rPr>
        <w:t xml:space="preserve">1.  The frontend does not decide whether an alert exists</w:t>
      </w:r>
    </w:p>
    <w:p>
      <w:pPr>
        <w:spacing w:after="120" w:line="276"/>
      </w:pPr>
      <w:r>
        <w:rPr>
          <w:rFonts w:ascii="Calibri" w:cs="Calibri" w:eastAsia="Calibri" w:hAnsi="Calibri"/>
          <w:color w:val="1A1A1A"/>
          <w:sz w:val="21"/>
          <w:szCs w:val="21"/>
        </w:rPr>
        <w:t xml:space="preserve">FastAPI evaluates every forecast response and owns the alert lifecycle. The dashboard polls that store and turns newly-created records into UI events. A judge cannot argue the alert is a front-end animation — close the browser, reopen it, and the alert is still there, because the server created it.</w:t>
      </w:r>
    </w:p>
    <w:p>
      <w:pPr>
        <w:spacing w:after="120" w:line="276"/>
      </w:pPr>
      <w:r>
        <w:rPr>
          <w:rFonts w:ascii="Calibri" w:cs="Calibri" w:eastAsia="Calibri" w:hAnsi="Calibri"/>
          <w:color w:val="1A1A1A"/>
          <w:sz w:val="21"/>
          <w:szCs w:val="21"/>
        </w:rPr>
        <w:t xml:space="preserve">Thresholds, in </w:t>
      </w:r>
      <w:r>
        <w:rPr>
          <w:rFonts w:ascii="Consolas" w:cs="Consolas" w:eastAsia="Consolas" w:hAnsi="Consolas"/>
          <w:color w:val="9A3412"/>
          <w:sz w:val="19"/>
          <w:szCs w:val="19"/>
        </w:rPr>
        <w:t xml:space="preserve">alerting.py</w:t>
      </w:r>
      <w:r>
        <w:rPr>
          <w:rFonts w:ascii="Calibri" w:cs="Calibri" w:eastAsia="Calibri" w:hAnsi="Calibri"/>
          <w:color w:val="1A1A1A"/>
          <w:sz w:val="21"/>
          <w:szCs w:val="21"/>
        </w:rPr>
        <w:t xml:space="preserve">: flood probability ≥ 0.90, expected depth ≥ 1.50 m, or composite risk ≥ 0.75 — and the alert records which one fired, plus an onset reason if inundation is within 60 minutes. Every transition is appended to a bounded audit trail, and the store is guarded by a reentrant lock because the feed clock thread and request handlers both touch it.</w:t>
      </w:r>
    </w:p>
    <w:p>
      <w:pPr>
        <w:pStyle w:val="Heading3"/>
        <w:spacing w:after="80" w:before="200"/>
      </w:pPr>
      <w:r>
        <w:rPr>
          <w:rFonts w:ascii="Calibri" w:cs="Calibri" w:eastAsia="Calibri" w:hAnsi="Calibri"/>
          <w:b/>
          <w:bCs/>
          <w:color w:val="595959"/>
          <w:sz w:val="21"/>
          <w:szCs w:val="21"/>
        </w:rPr>
        <w:t xml:space="preserve">2.  No "generate alert" button</w:t>
      </w:r>
    </w:p>
    <w:p>
      <w:pPr>
        <w:spacing w:after="120" w:line="276"/>
      </w:pPr>
      <w:r>
        <w:rPr>
          <w:rFonts w:ascii="Calibri" w:cs="Calibri" w:eastAsia="Calibri" w:hAnsi="Calibri"/>
          <w:color w:val="1A1A1A"/>
          <w:sz w:val="21"/>
          <w:szCs w:val="21"/>
        </w:rPr>
        <w:t xml:space="preserve">There is deliberately no demo trigger. The engine continuously evaluates ward risk; a critical crossing creates an alert on its own. Authority approval is required only before broadcast — which is the correct division of responsibility, and the one a disaster-management authority would insist on. To show it live, go to the Risk tab, push additional rainfall up, and come back: the alert is already waiting.</w:t>
      </w:r>
    </w:p>
    <w:p>
      <w:pPr>
        <w:pStyle w:val="Heading3"/>
        <w:spacing w:after="80" w:before="200"/>
      </w:pPr>
      <w:r>
        <w:rPr>
          <w:rFonts w:ascii="Calibri" w:cs="Calibri" w:eastAsia="Calibri" w:hAnsi="Calibri"/>
          <w:b/>
          <w:bCs/>
          <w:color w:val="595959"/>
          <w:sz w:val="21"/>
          <w:szCs w:val="21"/>
        </w:rPr>
        <w:t xml:space="preserve">3.  Full-screen escalation, with the browser's consent</w:t>
      </w:r>
    </w:p>
    <w:p>
      <w:pPr>
        <w:spacing w:after="120" w:line="276"/>
      </w:pPr>
      <w:r>
        <w:rPr>
          <w:rFonts w:ascii="Calibri" w:cs="Calibri" w:eastAsia="Calibri" w:hAnsi="Calibri"/>
          <w:color w:val="1A1A1A"/>
          <w:sz w:val="21"/>
          <w:szCs w:val="21"/>
        </w:rPr>
        <w:t xml:space="preserve">A new critical event raises a modal alert dialog over the whole board with a countdown, plus a persistent command banner in the header and an audible alarm. The alarm has to be armed by a click first — browsers block autoplaying audio — so the board shows an "Arm alert audio" prompt rather than silently failing. One alert provider serves both the shell and the alerts tab, so there is one poll loop and one shared set of seen event IDs rather than duplicated state.</w:t>
      </w:r>
    </w:p>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THE LINE TO SAY</w:t>
            </w:r>
          </w:p>
          <w:p>
            <w:pPr>
              <w:spacing w:line="276"/>
            </w:pPr>
            <w:r>
              <w:rPr>
                <w:rFonts w:ascii="Calibri" w:cs="Calibri" w:eastAsia="Calibri" w:hAnsi="Calibri"/>
                <w:color w:val="1A1A1A"/>
                <w:sz w:val="21"/>
                <w:szCs w:val="21"/>
              </w:rPr>
              <w:t xml:space="preserve">"Watch: I raise rainfall on the risk tab, and within two seconds the backend has created a critical alert for the highest-exposure ward, the board escalates on its own, and the CAP 1.2 XML is ready to hand to an NDMA gateway. The broadcast channel telemetry is simulated and we label it as such — but the alert itself, its thresholds, its audit trail and its approval workflow are real server-side state."</w:t>
            </w:r>
          </w:p>
        </w:tc>
      </w:tr>
    </w:tbl>
    <w:p>
      <w:r>
        <w:br w:type="page"/>
      </w:r>
    </w:p>
    <w:p>
      <w:pPr>
        <w:pStyle w:val="Heading1"/>
        <w:spacing w:after="140" w:before="360"/>
      </w:pPr>
      <w:r>
        <w:rPr>
          <w:rFonts w:ascii="Calibri" w:cs="Calibri" w:eastAsia="Calibri" w:hAnsi="Calibri"/>
          <w:b/>
          <w:bCs/>
          <w:color w:val="0A5FBF"/>
          <w:sz w:val="32"/>
          <w:szCs w:val="32"/>
        </w:rPr>
        <w:t xml:space="preserve">7.  Live feed  —  the receipts</w:t>
      </w:r>
    </w:p>
    <w:p>
      <w:pPr>
        <w:spacing w:after="120" w:line="276"/>
      </w:pPr>
      <w:r>
        <w:rPr>
          <w:rFonts w:ascii="Calibri" w:cs="Calibri" w:eastAsia="Calibri" w:hAnsi="Calibri"/>
          <w:color w:val="1A1A1A"/>
          <w:sz w:val="21"/>
          <w:szCs w:val="21"/>
        </w:rPr>
        <w:t xml:space="preserve">Every other tab shows what the model made of the data. This one shows the data. It is the tab to open when someone says "how do we know any of this is live?" — and it is the strongest single answer in the prototype.</w:t>
      </w:r>
    </w:p>
    <w:p>
      <w:pPr>
        <w:pStyle w:val="Heading2"/>
        <w:spacing w:after="100" w:before="260"/>
      </w:pPr>
      <w:r>
        <w:rPr>
          <w:rFonts w:ascii="Calibri" w:cs="Calibri" w:eastAsia="Calibri" w:hAnsi="Calibri"/>
          <w:b/>
          <w:bCs/>
          <w:color w:val="1F2937"/>
          <w:sz w:val="24"/>
          <w:szCs w:val="24"/>
        </w:rPr>
        <w:t xml:space="preserve">What is on screen</w:t>
      </w:r>
    </w:p>
    <w:tbl>
      <w:tblPr>
        <w:tblW w:type="dxa" w:w="9360"/>
        <w:tblBorders>
          <w:top w:val="single" w:color="C9D4E0" w:sz="2"/>
          <w:left w:val="single" w:color="C9D4E0" w:sz="2"/>
          <w:bottom w:val="single" w:color="C9D4E0" w:sz="2"/>
          <w:right w:val="single" w:color="C9D4E0" w:sz="2"/>
          <w:insideH w:val="single" w:color="DDE5EE" w:sz="2"/>
          <w:insideV w:val="single" w:color="DDE5EE" w:sz="2"/>
        </w:tblBorders>
      </w:tblPr>
      <w:tblGrid>
        <w:gridCol w:w="1900"/>
        <w:gridCol w:w="3400"/>
        <w:gridCol w:w="4060"/>
      </w:tblGrid>
      <w:tr>
        <w:trPr>
          <w:tblHeader/>
        </w:trPr>
        <w:tc>
          <w:tcPr>
            <w:tcW w:type="dxa" w:w="19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Panel</w:t>
            </w:r>
          </w:p>
        </w:tc>
        <w:tc>
          <w:tcPr>
            <w:tcW w:type="dxa" w:w="34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What it shows</w:t>
            </w:r>
          </w:p>
        </w:tc>
        <w:tc>
          <w:tcPr>
            <w:tcW w:type="dxa" w:w="406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Behind the scenes</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Feed provenance</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Region, whether this is a live upstream observation or generated, the source, feed state (healthy or degraded), which model backend is serving, the grid it covers, the region's IANA time zone, and when the payload was served. Upstream failure notes are listed verbatim underneath</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One call to /api/observation. If the model checkpoint failed to load it says "analytical fallback" instead of pretending</w:t>
            </w:r>
          </w:p>
        </w:tc>
      </w:tr>
      <w:tr>
        <w:tc>
          <w:tcPr>
            <w:tcW w:type="dxa" w:w="19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Timing</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When this observation is valid, when the next one is due, the age counting up against the cadence, and a progress bar that turns amber when a refresh is overdue</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Every timestamp is given in both UTC and the region's own zone, with the offset and zone abbreviation</w:t>
            </w:r>
          </w:p>
        </w:tc>
      </w:tr>
      <w:tr>
        <w:tc>
          <w:tcPr>
            <w:tcW w:type="dxa" w:w="19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Fields in this observation</w:t>
            </w:r>
          </w:p>
        </w:tc>
        <w:tc>
          <w:tcPr>
            <w:tcW w:type="dxa" w:w="34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Every channel the model is about to read, with unit and min/mean/max across the grid — split into what the upstream served, what is derived from it, and the static layers. Rainfall fields break down per lead time, selectable from a dropdown</w:t>
            </w:r>
          </w:p>
        </w:tc>
        <w:tc>
          <w:tcPr>
            <w:tcW w:type="dxa" w:w="4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model-channel badge next to a field name shows which of the ten tensor channels it feeds</w:t>
            </w:r>
          </w:p>
        </w:tc>
      </w:tr>
      <w:tr>
        <w:tc>
          <w:tcPr>
            <w:tcW w:type="dxa" w:w="19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Arrivals</w:t>
            </w:r>
          </w:p>
        </w:tc>
        <w:tc>
          <w:tcPr>
            <w:tcW w:type="dxa" w:w="34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log of observations that have actually landed, newest first, each tagged with its source and flagged simulated or degraded where applicable, with peak rain rate, 3 hr total, soil moisture and mean cloud cover</w:t>
            </w:r>
          </w:p>
        </w:tc>
        <w:tc>
          <w:tcPr>
            <w:tcW w:type="dxa" w:w="4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A background thread issues observations on the cadence whether or not anyone is asking, and every arrival for both regions is appended to a bounded log</w:t>
            </w:r>
          </w:p>
        </w:tc>
      </w:tr>
    </w:tbl>
    <w:p>
      <w:pPr>
        <w:pStyle w:val="Heading2"/>
        <w:spacing w:after="100" w:before="260"/>
      </w:pPr>
      <w:r>
        <w:rPr>
          <w:rFonts w:ascii="Calibri" w:cs="Calibri" w:eastAsia="Calibri" w:hAnsi="Calibri"/>
          <w:b/>
          <w:bCs/>
          <w:color w:val="1F2937"/>
          <w:sz w:val="24"/>
          <w:szCs w:val="24"/>
        </w:rPr>
        <w:t xml:space="preserve">The live data chain</w:t>
      </w:r>
    </w:p>
    <w:p>
      <w:pPr>
        <w:spacing w:after="120" w:line="276"/>
      </w:pPr>
      <w:r>
        <w:rPr>
          <w:rFonts w:ascii="Calibri" w:cs="Calibri" w:eastAsia="Calibri" w:hAnsi="Calibri"/>
          <w:color w:val="1A1A1A"/>
          <w:sz w:val="21"/>
          <w:szCs w:val="21"/>
        </w:rPr>
        <w:t xml:space="preserve">Six of the ten model channels are refetched per inference; the four terrain and exposure layers are read once from the Stage 1 tensor.</w:t>
      </w:r>
    </w:p>
    <w:tbl>
      <w:tblPr>
        <w:tblW w:type="dxa" w:w="9360"/>
        <w:tblBorders>
          <w:top w:val="single" w:color="C9D4E0" w:sz="2"/>
          <w:left w:val="single" w:color="C9D4E0" w:sz="2"/>
          <w:bottom w:val="single" w:color="C9D4E0" w:sz="2"/>
          <w:right w:val="single" w:color="C9D4E0" w:sz="2"/>
          <w:insideH w:val="single" w:color="DDE5EE" w:sz="2"/>
          <w:insideV w:val="single" w:color="DDE5EE" w:sz="2"/>
        </w:tblBorders>
      </w:tblPr>
      <w:tblGrid>
        <w:gridCol w:w="2600"/>
        <w:gridCol w:w="6760"/>
      </w:tblGrid>
      <w:tr>
        <w:trPr>
          <w:tblHeader/>
        </w:trPr>
        <w:tc>
          <w:tcPr>
            <w:tcW w:type="dxa" w:w="26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Model channel</w:t>
            </w:r>
          </w:p>
        </w:tc>
        <w:tc>
          <w:tcPr>
            <w:tcW w:type="dxa" w:w="676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Live derivation</w:t>
            </w:r>
          </w:p>
        </w:tc>
      </w:tr>
      <w:tr>
        <w:tc>
          <w:tcPr>
            <w:tcW w:type="dxa" w:w="26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aws_rain</w:t>
            </w:r>
          </w:p>
        </w:tc>
        <w:tc>
          <w:tcPr>
            <w:tcW w:type="dxa" w:w="67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3-hour accumulation from the forecast provider</w:t>
            </w:r>
          </w:p>
        </w:tc>
      </w:tr>
      <w:tr>
        <w:tc>
          <w:tcPr>
            <w:tcW w:type="dxa" w:w="26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gpm_rain</w:t>
            </w:r>
          </w:p>
        </w:tc>
        <w:tc>
          <w:tcPr>
            <w:tcW w:type="dxa" w:w="67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Instantaneous precipitation rate</w:t>
            </w:r>
          </w:p>
        </w:tc>
      </w:tr>
      <w:tr>
        <w:tc>
          <w:tcPr>
            <w:tcW w:type="dxa" w:w="26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gfs_forecast</w:t>
            </w:r>
          </w:p>
        </w:tc>
        <w:tc>
          <w:tcPr>
            <w:tcW w:type="dxa" w:w="67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Provider forecast at the selected lead time</w:t>
            </w:r>
          </w:p>
        </w:tc>
      </w:tr>
      <w:tr>
        <w:tc>
          <w:tcPr>
            <w:tcW w:type="dxa" w:w="26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river_level</w:t>
            </w:r>
          </w:p>
        </w:tc>
        <w:tc>
          <w:tcPr>
            <w:tcW w:type="dxa" w:w="67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Soil moisture combined with antecedent 24-hour rainfall</w:t>
            </w:r>
          </w:p>
        </w:tc>
      </w:tr>
      <w:tr>
        <w:tc>
          <w:tcPr>
            <w:tcW w:type="dxa" w:w="26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cloud_top_temp</w:t>
            </w:r>
          </w:p>
        </w:tc>
        <w:tc>
          <w:tcPr>
            <w:tcW w:type="dxa" w:w="67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Cloud cover converted to brightness temperature, using Stage 0's own conversion</w:t>
            </w:r>
          </w:p>
        </w:tc>
      </w:tr>
      <w:tr>
        <w:tc>
          <w:tcPr>
            <w:tcW w:type="dxa" w:w="26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radar_reflectivity</w:t>
            </w:r>
          </w:p>
        </w:tc>
        <w:tc>
          <w:tcPr>
            <w:tcW w:type="dxa" w:w="67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Rain rate to dBZ via Marshall–Palmer, Z = 200 R^1.6</w:t>
            </w:r>
          </w:p>
        </w:tc>
      </w:tr>
    </w:tbl>
    <w:p>
      <w:pPr>
        <w:spacing w:after="120" w:line="276"/>
      </w:pPr>
      <w:r>
        <w:rPr>
          <w:rFonts w:ascii="Calibri" w:cs="Calibri" w:eastAsia="Calibri" w:hAnsi="Calibri"/>
          <w:color w:val="1A1A1A"/>
          <w:sz w:val="21"/>
          <w:szCs w:val="21"/>
        </w:rPr>
        <w:t xml:space="preserve">A 5 × 5 mesh is requested from the provider and splined onto the 1 km grid. That already over-samples the source: GFS is 11–25 km native. Observations are cached for ten minutes by default.</w:t>
      </w:r>
    </w:p>
    <w:p>
      <w:pPr>
        <w:pStyle w:val="Heading2"/>
        <w:spacing w:after="100" w:before="260"/>
      </w:pPr>
      <w:r>
        <w:rPr>
          <w:rFonts w:ascii="Calibri" w:cs="Calibri" w:eastAsia="Calibri" w:hAnsi="Calibri"/>
          <w:b/>
          <w:bCs/>
          <w:color w:val="1F2937"/>
          <w:sz w:val="24"/>
          <w:szCs w:val="24"/>
        </w:rPr>
        <w:t xml:space="preserve">Two live sources, because one is not enough</w:t>
      </w:r>
    </w:p>
    <w:p>
      <w:pPr>
        <w:spacing w:after="120" w:line="276"/>
      </w:pPr>
      <w:r>
        <w:rPr>
          <w:rFonts w:ascii="Calibri" w:cs="Calibri" w:eastAsia="Calibri" w:hAnsi="Calibri"/>
          <w:color w:val="1A1A1A"/>
          <w:sz w:val="21"/>
          <w:szCs w:val="21"/>
        </w:rPr>
        <w:t xml:space="preserve">Open-Meteo's free tier is capped per IP, and Render's outbound addresses are shared between customers — the first deploy was rejected with "429: Daily API request limit exceeded" before it had made a single successful call. So MET Norway's Locationforecast follows it: keyless, no per-IP cap, and an independent forecast rather than a retry. The provider setting names the preferred source, not the only one.</w:t>
      </w:r>
    </w:p>
    <w:p>
      <w:pPr>
        <w:spacing w:after="120" w:line="276"/>
      </w:pPr>
      <w:r>
        <w:rPr>
          <w:rFonts w:ascii="Calibri" w:cs="Calibri" w:eastAsia="Calibri" w:hAnsi="Calibri"/>
          <w:color w:val="1A1A1A"/>
          <w:sz w:val="21"/>
          <w:szCs w:val="21"/>
        </w:rPr>
        <w:t xml:space="preserve">met.no serves one coordinate per request, so its mesh is 3 × 3, and its series is forecast-only, so antecedent rainfall is unavailable and soil wetness uses a substitution. Only when every live source fails is the last good observation reused, and then a synthetic field — and just those cases are flagged degraded. A working second source is still live data.</w:t>
      </w:r>
    </w:p>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A BUG WORTH TELLING</w:t>
            </w:r>
          </w:p>
          <w:p>
            <w:pPr>
              <w:spacing w:line="276"/>
            </w:pPr>
            <w:r>
              <w:rPr>
                <w:rFonts w:ascii="Calibri" w:cs="Calibri" w:eastAsia="Calibri" w:hAnsi="Calibri"/>
                <w:color w:val="1A1A1A"/>
                <w:sz w:val="21"/>
                <w:szCs w:val="21"/>
              </w:rPr>
              <w:t xml:space="preserve">The header clock used to render the browser's local time and then label it IST regardless of where the browser was, so an operator outside India read a time hours off under a label saying otherwise. The backend knows each region's IANA zone and now says so explicitly; the client formats in that zone rather than assuming. This is why every timestamp on this tab carries its zone abbreviation and UTC offset — a warning system that is wrong about what time it is, is worse than no warning system.</w:t>
            </w:r>
          </w:p>
        </w:tc>
      </w:tr>
    </w:tbl>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THE LINE TO SAY</w:t>
            </w:r>
          </w:p>
          <w:p>
            <w:pPr>
              <w:spacing w:line="276"/>
            </w:pPr>
            <w:r>
              <w:rPr>
                <w:rFonts w:ascii="Calibri" w:cs="Calibri" w:eastAsia="Calibri" w:hAnsi="Calibri"/>
                <w:color w:val="1A1A1A"/>
                <w:sz w:val="21"/>
                <w:szCs w:val="21"/>
              </w:rPr>
              <w:t xml:space="preserve">"This tab exists so you do not have to take our word for it. That is the observation the model is reading right now, field by field, with units, the spread across 1755 cells, which upstream served it, and when the next one is due. The arrivals log at the right is every observation that has landed since the service started — issued by a background clock, not by me clicking refresh."</w:t>
            </w:r>
          </w:p>
        </w:tc>
      </w:tr>
    </w:tbl>
    <w:p>
      <w:r>
        <w:br w:type="page"/>
      </w:r>
    </w:p>
    <w:p>
      <w:pPr>
        <w:pStyle w:val="Heading1"/>
        <w:spacing w:after="140" w:before="360"/>
      </w:pPr>
      <w:r>
        <w:rPr>
          <w:rFonts w:ascii="Calibri" w:cs="Calibri" w:eastAsia="Calibri" w:hAnsi="Calibri"/>
          <w:b/>
          <w:bCs/>
          <w:color w:val="0A5FBF"/>
          <w:sz w:val="32"/>
          <w:szCs w:val="32"/>
        </w:rPr>
        <w:t xml:space="preserve">8.  What this is not  —  say it before you are asked</w:t>
      </w:r>
    </w:p>
    <w:p>
      <w:pPr>
        <w:spacing w:after="120" w:line="276"/>
      </w:pPr>
      <w:r>
        <w:rPr>
          <w:rFonts w:ascii="Calibri" w:cs="Calibri" w:eastAsia="Calibri" w:hAnsi="Calibri"/>
          <w:color w:val="1A1A1A"/>
          <w:sz w:val="21"/>
          <w:szCs w:val="21"/>
        </w:rPr>
        <w:t xml:space="preserve">Volunteering the limits is the single highest-value thirty seconds in a technical pitch. Every item below is already printed somewhere in the UI, so a judge who goes looking will find that the product agrees with you.</w:t>
      </w:r>
    </w:p>
    <w:p>
      <w:pPr>
        <w:pStyle w:val="ListParagraph"/>
        <w:numPr>
          <w:ilvl w:val="0"/>
          <w:numId w:val="2"/>
        </w:numPr>
        <w:spacing w:after="70" w:line="276"/>
      </w:pPr>
      <w:r>
        <w:rPr>
          <w:rFonts w:ascii="Calibri" w:cs="Calibri" w:eastAsia="Calibri" w:hAnsi="Calibri"/>
          <w:b/>
          <w:bCs/>
          <w:color w:val="1A1A1A"/>
          <w:sz w:val="21"/>
          <w:szCs w:val="21"/>
        </w:rPr>
        <w:t xml:space="preserve">1 km is catchment scale, not street scale. </w:t>
      </w:r>
      <w:r>
        <w:rPr>
          <w:rFonts w:ascii="Calibri" w:cs="Calibri" w:eastAsia="Calibri" w:hAnsi="Calibri"/>
          <w:color w:val="1A1A1A"/>
          <w:sz w:val="21"/>
          <w:szCs w:val="21"/>
        </w:rPr>
        <w:t xml:space="preserve">Real BRIMSTOWAD hydraulic modelling runs at 10–30 m on the surveyed drain layout. Nothing here supports a claim about which road is under water.</w:t>
      </w:r>
    </w:p>
    <w:p>
      <w:pPr>
        <w:pStyle w:val="ListParagraph"/>
        <w:numPr>
          <w:ilvl w:val="0"/>
          <w:numId w:val="2"/>
        </w:numPr>
        <w:spacing w:after="70" w:line="276"/>
      </w:pPr>
      <w:r>
        <w:rPr>
          <w:rFonts w:ascii="Calibri" w:cs="Calibri" w:eastAsia="Calibri" w:hAnsi="Calibri"/>
          <w:b/>
          <w:bCs/>
          <w:color w:val="1A1A1A"/>
          <w:sz w:val="21"/>
          <w:szCs w:val="21"/>
        </w:rPr>
        <w:t xml:space="preserve">The hydraulic parameters are uncalibrated estimates. </w:t>
      </w:r>
      <w:r>
        <w:rPr>
          <w:rFonts w:ascii="Calibri" w:cs="Calibri" w:eastAsia="Calibri" w:hAnsi="Calibri"/>
          <w:color w:val="1A1A1A"/>
          <w:sz w:val="21"/>
          <w:szCs w:val="21"/>
        </w:rPr>
        <w:t xml:space="preserve">Manning's n, infiltration rates, pump capacities, outfall invert levels, the depression-storage range and the tidal phases. Every pump capacity carries a basis string the API serves and the dashboard prints; invert levels are a weaker estimate still, and say so.</w:t>
      </w:r>
    </w:p>
    <w:p>
      <w:pPr>
        <w:pStyle w:val="ListParagraph"/>
        <w:numPr>
          <w:ilvl w:val="0"/>
          <w:numId w:val="2"/>
        </w:numPr>
        <w:spacing w:after="70" w:line="276"/>
      </w:pPr>
      <w:r>
        <w:rPr>
          <w:rFonts w:ascii="Calibri" w:cs="Calibri" w:eastAsia="Calibri" w:hAnsi="Calibri"/>
          <w:b/>
          <w:bCs/>
          <w:color w:val="1A1A1A"/>
          <w:sz w:val="21"/>
          <w:szCs w:val="21"/>
        </w:rPr>
        <w:t xml:space="preserve">The model is defensible, not validated. </w:t>
      </w:r>
      <w:r>
        <w:rPr>
          <w:rFonts w:ascii="Calibri" w:cs="Calibri" w:eastAsia="Calibri" w:hAnsi="Calibri"/>
          <w:color w:val="1A1A1A"/>
          <w:sz w:val="21"/>
          <w:szCs w:val="21"/>
        </w:rPr>
        <w:t xml:space="preserve">It conserves mass, and it responds to terrain, tide and pumping the way the real system does. It has not been checked against a gauged flood, because we do not have one.</w:t>
      </w:r>
    </w:p>
    <w:p>
      <w:pPr>
        <w:pStyle w:val="ListParagraph"/>
        <w:numPr>
          <w:ilvl w:val="0"/>
          <w:numId w:val="2"/>
        </w:numPr>
        <w:spacing w:after="70" w:line="276"/>
      </w:pPr>
      <w:r>
        <w:rPr>
          <w:rFonts w:ascii="Calibri" w:cs="Calibri" w:eastAsia="Calibri" w:hAnsi="Calibri"/>
          <w:b/>
          <w:bCs/>
          <w:color w:val="1A1A1A"/>
          <w:sz w:val="21"/>
          <w:szCs w:val="21"/>
        </w:rPr>
        <w:t xml:space="preserve">The network is a susceptibility model, not a rainfall-response model. </w:t>
      </w:r>
      <w:r>
        <w:rPr>
          <w:rFonts w:ascii="Calibri" w:cs="Calibri" w:eastAsia="Calibri" w:hAnsi="Calibri"/>
          <w:color w:val="1A1A1A"/>
          <w:sz w:val="21"/>
          <w:szCs w:val="21"/>
        </w:rPr>
        <w:t xml:space="preserve">Covered in section 3. Retraining on observed inundation from multiple storm dates is the fix, and the socket is already in place.</w:t>
      </w:r>
    </w:p>
    <w:p>
      <w:pPr>
        <w:pStyle w:val="ListParagraph"/>
        <w:numPr>
          <w:ilvl w:val="0"/>
          <w:numId w:val="2"/>
        </w:numPr>
        <w:spacing w:after="70" w:line="276"/>
      </w:pPr>
      <w:r>
        <w:rPr>
          <w:rFonts w:ascii="Calibri" w:cs="Calibri" w:eastAsia="Calibri" w:hAnsi="Calibri"/>
          <w:b/>
          <w:bCs/>
          <w:color w:val="1A1A1A"/>
          <w:sz w:val="21"/>
          <w:szCs w:val="21"/>
        </w:rPr>
        <w:t xml:space="preserve">The broadcast network is simulated. </w:t>
      </w:r>
      <w:r>
        <w:rPr>
          <w:rFonts w:ascii="Calibri" w:cs="Calibri" w:eastAsia="Calibri" w:hAnsi="Calibri"/>
          <w:color w:val="1A1A1A"/>
          <w:sz w:val="21"/>
          <w:szCs w:val="21"/>
        </w:rPr>
        <w:t xml:space="preserve">Real telecom, siren and government gateways are not connected, and the panel says so on screen. The CAP 1.2 payload is real and standards-compliant, which is the part that matters for integration.</w:t>
      </w:r>
    </w:p>
    <w:p>
      <w:pPr>
        <w:pStyle w:val="ListParagraph"/>
        <w:numPr>
          <w:ilvl w:val="0"/>
          <w:numId w:val="2"/>
        </w:numPr>
        <w:spacing w:after="70" w:line="276"/>
      </w:pPr>
      <w:r>
        <w:rPr>
          <w:rFonts w:ascii="Calibri" w:cs="Calibri" w:eastAsia="Calibri" w:hAnsi="Calibri"/>
          <w:b/>
          <w:bCs/>
          <w:color w:val="1A1A1A"/>
          <w:sz w:val="21"/>
          <w:szCs w:val="21"/>
        </w:rPr>
        <w:t xml:space="preserve">The alert store is in memory. </w:t>
      </w:r>
      <w:r>
        <w:rPr>
          <w:rFonts w:ascii="Calibri" w:cs="Calibri" w:eastAsia="Calibri" w:hAnsi="Calibri"/>
          <w:color w:val="1A1A1A"/>
          <w:sz w:val="21"/>
          <w:szCs w:val="21"/>
        </w:rPr>
        <w:t xml:space="preserve">Production would replace it with a transactional database and an authenticated authority gateway. The module's own docstring says this.</w:t>
      </w:r>
    </w:p>
    <w:tbl>
      <w:tblPr>
        <w:tblW w:type="dxa" w:w="9360"/>
        <w:tblBorders>
          <w:top w:val="single" w:color="D6DEE8" w:sz="2"/>
          <w:left w:val="single" w:color="0A5FBF" w:sz="18"/>
          <w:bottom w:val="single" w:color="D6DEE8" w:sz="2"/>
          <w:right w:val="single" w:color="D6DEE8" w:sz="2"/>
          <w:insideH w:val="none" w:color="FFFFFF" w:sz="0"/>
          <w:insideV w:val="none" w:color="FFFFFF" w:sz="0"/>
        </w:tblBorders>
      </w:tblPr>
      <w:tblGrid>
        <w:gridCol w:w="9360"/>
      </w:tblGrid>
      <w:tr>
        <w:tc>
          <w:tcPr>
            <w:tcW w:type="dxa" w:w="9360"/>
            <w:shd w:fill="F7FAFD" w:val="clear"/>
            <w:tcMar>
              <w:top w:type="dxa" w:w="120"/>
              <w:left w:type="dxa" w:w="160"/>
              <w:bottom w:type="dxa" w:w="120"/>
              <w:right w:type="dxa" w:w="160"/>
            </w:tcMar>
          </w:tcPr>
          <w:p>
            <w:pPr>
              <w:spacing w:after="50"/>
            </w:pPr>
            <w:r>
              <w:rPr>
                <w:rFonts w:ascii="Calibri" w:cs="Calibri" w:eastAsia="Calibri" w:hAnsi="Calibri"/>
                <w:b/>
                <w:bCs/>
                <w:color w:val="0A5FBF"/>
                <w:sz w:val="17"/>
                <w:szCs w:val="17"/>
              </w:rPr>
              <w:t xml:space="preserve">HOW TO FRAME IT</w:t>
            </w:r>
          </w:p>
          <w:p>
            <w:pPr>
              <w:spacing w:line="276"/>
            </w:pPr>
            <w:r>
              <w:rPr>
                <w:rFonts w:ascii="Calibri" w:cs="Calibri" w:eastAsia="Calibri" w:hAnsi="Calibri"/>
                <w:color w:val="1A1A1A"/>
                <w:sz w:val="21"/>
                <w:szCs w:val="21"/>
              </w:rPr>
              <w:t xml:space="preserve">"We have been careful to build a system that cannot flatter itself. Where a number is an estimate, the API serves the basis for it and the dashboard prints it. Where data is generated rather than measured, it is flagged in the payload, banner-labelled in the UI and marked in the CAP output. Where a claim is checkable — mass conservation — we report the number instead of the adjective."</w:t>
            </w:r>
          </w:p>
        </w:tc>
      </w:tr>
    </w:tbl>
    <w:p>
      <w:r>
        <w:br w:type="page"/>
      </w:r>
    </w:p>
    <w:p>
      <w:pPr>
        <w:pStyle w:val="Heading1"/>
        <w:spacing w:after="140" w:before="360"/>
      </w:pPr>
      <w:r>
        <w:rPr>
          <w:rFonts w:ascii="Calibri" w:cs="Calibri" w:eastAsia="Calibri" w:hAnsi="Calibri"/>
          <w:b/>
          <w:bCs/>
          <w:color w:val="0A5FBF"/>
          <w:sz w:val="32"/>
          <w:szCs w:val="32"/>
        </w:rPr>
        <w:t xml:space="preserve">9.  Question-and-answer crib sheet</w:t>
      </w:r>
    </w:p>
    <w:tbl>
      <w:tblPr>
        <w:tblW w:type="dxa" w:w="9360"/>
        <w:tblBorders>
          <w:top w:val="single" w:color="C9D4E0" w:sz="2"/>
          <w:left w:val="single" w:color="C9D4E0" w:sz="2"/>
          <w:bottom w:val="single" w:color="C9D4E0" w:sz="2"/>
          <w:right w:val="single" w:color="C9D4E0" w:sz="2"/>
          <w:insideH w:val="single" w:color="DDE5EE" w:sz="2"/>
          <w:insideV w:val="single" w:color="DDE5EE" w:sz="2"/>
        </w:tblBorders>
      </w:tblPr>
      <w:tblGrid>
        <w:gridCol w:w="2300"/>
        <w:gridCol w:w="7060"/>
      </w:tblGrid>
      <w:tr>
        <w:trPr>
          <w:tblHeader/>
        </w:trPr>
        <w:tc>
          <w:tcPr>
            <w:tcW w:type="dxa" w:w="230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If they ask…</w:t>
            </w:r>
          </w:p>
        </w:tc>
        <w:tc>
          <w:tcPr>
            <w:tcW w:type="dxa" w:w="7060"/>
            <w:shd w:fill="0A5FBF" w:val="clear"/>
            <w:tcMar>
              <w:top w:type="dxa" w:w="80"/>
              <w:left w:type="dxa" w:w="110"/>
              <w:bottom w:type="dxa" w:w="80"/>
              <w:right w:type="dxa" w:w="110"/>
            </w:tcMar>
          </w:tcPr>
          <w:p>
            <w:pPr>
              <w:spacing w:line="256"/>
            </w:pPr>
            <w:r>
              <w:rPr>
                <w:rFonts w:ascii="Calibri" w:cs="Calibri" w:eastAsia="Calibri" w:hAnsi="Calibri"/>
                <w:b/>
                <w:bCs/>
                <w:color w:val="FFFFFF"/>
                <w:sz w:val="19"/>
                <w:szCs w:val="19"/>
              </w:rPr>
              <w:t xml:space="preserve">Answer with</w:t>
            </w:r>
          </w:p>
        </w:tc>
      </w:tr>
      <w:tr>
        <w:tc>
          <w:tcPr>
            <w:tcW w:type="dxa" w:w="23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"Is this real data or a demo?"</w:t>
            </w:r>
          </w:p>
        </w:tc>
        <w:tc>
          <w:tcPr>
            <w:tcW w:type="dxa" w:w="7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Mumbai Suburban is live — Open-Meteo with MET Norway as an independent second source, refreshed every ten minutes. Open the Live feed tab and you can see the current observation field by field, plus the arrivals log. The second region, Coromandel Delta, is deliberately simulated so the Warning and Critical paths can be demonstrated; it is flagged in the payload, banner-labelled on every view and marked in its CAP output.</w:t>
            </w:r>
          </w:p>
        </w:tc>
      </w:tr>
      <w:tr>
        <w:tc>
          <w:tcPr>
            <w:tcW w:type="dxa" w:w="23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"So it is just a CNN with a map on top?"</w:t>
            </w:r>
          </w:p>
        </w:tc>
        <w:tc>
          <w:tcPr>
            <w:tcW w:type="dxa" w:w="7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No — and we can prove the CNN alone would not be honest. We tested it: scaling every rainfall channel by 4× moves the mean output by 0.02, because its training target was a terrain threshold whose two variables were input channels. So we use it as a susceptibility model, which is what it genuinely learned, and drive the hazard with live rainfall on top. The physics path then routes water between cells with a mass-conserving solver and reports a closure error of 3 × 10⁻¹⁵.</w:t>
            </w:r>
          </w:p>
        </w:tc>
      </w:tr>
      <w:tr>
        <w:tc>
          <w:tcPr>
            <w:tcW w:type="dxa" w:w="23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"Where is the AI, then?"</w:t>
            </w:r>
          </w:p>
        </w:tc>
        <w:tc>
          <w:tcPr>
            <w:tcW w:type="dxa" w:w="7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In two places. The trained network supplies susceptibility, and on the physics path it also supplies the two parameters the solver cannot measure at 1 km — depression storage and drain removal rate. Both are functions of a dimensionless 0–1 statement about where water collects and lingers. What we deliberately do not do is read water depth off a neural network; depth comes from conservation of mass over terrain.</w:t>
            </w:r>
          </w:p>
        </w:tc>
      </w:tr>
      <w:tr>
        <w:tc>
          <w:tcPr>
            <w:tcW w:type="dxa" w:w="23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"Why no PyTorch in production?"</w:t>
            </w:r>
          </w:p>
        </w:tc>
        <w:tc>
          <w:tcPr>
            <w:tcW w:type="dxa" w:w="7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The checkpoint reader loads a .pth into NumPy arrays bit-identically to torch.load, and the forward pass runs in NumPy alone, matching torch to about 2 × 10⁻⁶. Attention is computed a block of query rows at a time — the grid is a 1755-token sequence, so a full score matrix is 1755 × 1755 and materialising it three layers deep peaked at 104 MB, which got the worker OOM-killed on a 512 MB instance. Softmax is independent per row, so blocking is bit-identical, and it is faster because the blocks fit in cache: peak allocation 12.8 MB, forward pass 0.46 s to 0.29 s. For a 175k-parameter model on one small grid, torch bought nothing and cost a 2.5 GB dependency.</w:t>
            </w:r>
          </w:p>
        </w:tc>
      </w:tr>
      <w:tr>
        <w:tc>
          <w:tcPr>
            <w:tcW w:type="dxa" w:w="23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"How would this scale to another city?"</w:t>
            </w:r>
          </w:p>
        </w:tc>
        <w:tc>
          <w:tcPr>
            <w:tcW w:type="dxa" w:w="7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Geometry, channel order, risk weights and tiers all live in one config file, and regions are entries in a registry. Re-pointing the system at another district is a config change plus running Stage 0 for its rasters, not a rewrite. The fact that a second region already exists and is scored by the same code path is the demonstration.</w:t>
            </w:r>
          </w:p>
        </w:tc>
      </w:tr>
      <w:tr>
        <w:tc>
          <w:tcPr>
            <w:tcW w:type="dxa" w:w="23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"What is the forecast horizon and how accurate is it?"</w:t>
            </w:r>
          </w:p>
        </w:tc>
        <w:tc>
          <w:tcPr>
            <w:tcW w:type="dxa" w:w="7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Six horizons out to +6 hours. We report confidence per cell rather than a single accuracy figure, and we are explicit that the system is defensible but not validated against a gauged flood — we do not have observed inundation to validate against. What we can show you is that it conserves mass exactly, and that it responds to tide, terrain and pumping the way the real network does.</w:t>
            </w:r>
          </w:p>
        </w:tc>
      </w:tr>
      <w:tr>
        <w:tc>
          <w:tcPr>
            <w:tcW w:type="dxa" w:w="230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"Who is the user?"</w:t>
            </w:r>
          </w:p>
        </w:tc>
        <w:tc>
          <w:tcPr>
            <w:tcW w:type="dxa" w:w="7060"/>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Three, and there is a tab for each. A ward-level disaster-management officer reads the Dashboard and Wards tabs. A drainage engineer reads the Drainage tab and drags the tide. A state authority receives the CAP 1.2 alert from the Alerts tab. The Risk and Live feed tabs are for the person who has to trust the system before any of the other three will.</w:t>
            </w:r>
          </w:p>
        </w:tc>
      </w:tr>
      <w:tr>
        <w:tc>
          <w:tcPr>
            <w:tcW w:type="dxa" w:w="230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"What would you build next?"</w:t>
            </w:r>
          </w:p>
        </w:tc>
        <w:tc>
          <w:tcPr>
            <w:tcW w:type="dxa" w:w="7060"/>
            <w:shd w:fill="F7FAFD" w:val="clear"/>
            <w:tcMar>
              <w:top w:type="dxa" w:w="80"/>
              <w:left w:type="dxa" w:w="110"/>
              <w:bottom w:type="dxa" w:w="80"/>
              <w:right w:type="dxa" w:w="110"/>
            </w:tcMar>
          </w:tcPr>
          <w:p>
            <w:pPr>
              <w:spacing w:line="256"/>
            </w:pPr>
            <w:r>
              <w:rPr>
                <w:rFonts w:ascii="Calibri" w:cs="Calibri" w:eastAsia="Calibri" w:hAnsi="Calibri"/>
                <w:b w:val="false"/>
                <w:bCs w:val="false"/>
                <w:color w:val="1A1A1A"/>
                <w:sz w:val="19"/>
                <w:szCs w:val="19"/>
              </w:rPr>
              <w:t xml:space="preserve">In order: retrain on observed inundation from multiple storm dates so the network becomes weather-responsive; move the alert store to a transactional database with an authenticated authority gateway; and calibrate the hydraulic parameters against a gauged event. The first is a data problem, the second is plumbing, and the third needs the city's survey data.</w:t>
            </w:r>
          </w:p>
        </w:tc>
      </w:tr>
    </w:tbl>
    <w:p>
      <w:pPr>
        <w:pBdr>
          <w:bottom w:val="single" w:color="D6DEE8" w:sz="6"/>
        </w:pBdr>
        <w:spacing w:after="160" w:before="160"/>
      </w:pPr>
      <w:r>
        <w:t xml:space="preserve"/>
      </w:r>
    </w:p>
    <w:p>
      <w:pPr>
        <w:spacing w:after="100" w:line="276"/>
      </w:pPr>
      <w:r>
        <w:rPr>
          <w:rFonts w:ascii="Calibri" w:cs="Calibri" w:eastAsia="Calibri" w:hAnsi="Calibri"/>
          <w:b/>
          <w:bCs/>
          <w:color w:val="1A1A1A"/>
          <w:sz w:val="21"/>
          <w:szCs w:val="21"/>
        </w:rPr>
        <w:t xml:space="preserve">Appendix: the numbers to have ready</w:t>
      </w:r>
    </w:p>
    <w:p>
      <w:pPr>
        <w:pStyle w:val="ListParagraph"/>
        <w:numPr>
          <w:ilvl w:val="0"/>
          <w:numId w:val="2"/>
        </w:numPr>
        <w:spacing w:after="70" w:line="276"/>
      </w:pPr>
      <w:r>
        <w:rPr>
          <w:rFonts w:ascii="Calibri" w:cs="Calibri" w:eastAsia="Calibri" w:hAnsi="Calibri"/>
          <w:sz w:val="21"/>
          <w:szCs w:val="21"/>
        </w:rPr>
        <w:t xml:space="preserve">Grid: 45 × 39 cells, 1755 cells, ~1 km each (0.94 km²), 18.85–19.25° N, 72.75–73.10° E. Row 0 is the northern edge.</w:t>
      </w:r>
    </w:p>
    <w:p>
      <w:pPr>
        <w:pStyle w:val="ListParagraph"/>
        <w:numPr>
          <w:ilvl w:val="0"/>
          <w:numId w:val="2"/>
        </w:numPr>
        <w:spacing w:after="70" w:line="276"/>
      </w:pPr>
      <w:r>
        <w:rPr>
          <w:rFonts w:ascii="Calibri" w:cs="Calibri" w:eastAsia="Calibri" w:hAnsi="Calibri"/>
          <w:sz w:val="21"/>
          <w:szCs w:val="21"/>
        </w:rPr>
        <w:t xml:space="preserve">Model: RainShieldNet, 175k parameters, 726 KB checkpoint, committed to the repository.</w:t>
      </w:r>
    </w:p>
    <w:p>
      <w:pPr>
        <w:pStyle w:val="ListParagraph"/>
        <w:numPr>
          <w:ilvl w:val="0"/>
          <w:numId w:val="2"/>
        </w:numPr>
        <w:spacing w:after="70" w:line="276"/>
      </w:pPr>
      <w:r>
        <w:rPr>
          <w:rFonts w:ascii="Calibri" w:cs="Calibri" w:eastAsia="Calibri" w:hAnsi="Calibri"/>
          <w:sz w:val="21"/>
          <w:szCs w:val="21"/>
        </w:rPr>
        <w:t xml:space="preserve">Input: 10 aligned rasters — elevation, slope, infrastructure, population, AWS rain, river level, GPM rain, GFS forecast, cloud-top temperature, radar reflectivity.</w:t>
      </w:r>
    </w:p>
    <w:p>
      <w:pPr>
        <w:pStyle w:val="ListParagraph"/>
        <w:numPr>
          <w:ilvl w:val="0"/>
          <w:numId w:val="2"/>
        </w:numPr>
        <w:spacing w:after="70" w:line="276"/>
      </w:pPr>
      <w:r>
        <w:rPr>
          <w:rFonts w:ascii="Calibri" w:cs="Calibri" w:eastAsia="Calibri" w:hAnsi="Calibri"/>
          <w:sz w:val="21"/>
          <w:szCs w:val="21"/>
        </w:rPr>
        <w:t xml:space="preserve">Horizons: Now, +30 min, +1 hr, +2 hr, +3 hr, +6 hr.</w:t>
      </w:r>
    </w:p>
    <w:p>
      <w:pPr>
        <w:pStyle w:val="ListParagraph"/>
        <w:numPr>
          <w:ilvl w:val="0"/>
          <w:numId w:val="2"/>
        </w:numPr>
        <w:spacing w:after="70" w:line="276"/>
      </w:pPr>
      <w:r>
        <w:rPr>
          <w:rFonts w:ascii="Calibri" w:cs="Calibri" w:eastAsia="Calibri" w:hAnsi="Calibri"/>
          <w:sz w:val="21"/>
          <w:szCs w:val="21"/>
        </w:rPr>
        <w:t xml:space="preserve">Refresh cadence: 600 s default. Full 6-hour physics solve: ~160 ms. Forward pass: 0.29 s.</w:t>
      </w:r>
    </w:p>
    <w:p>
      <w:pPr>
        <w:pStyle w:val="ListParagraph"/>
        <w:numPr>
          <w:ilvl w:val="0"/>
          <w:numId w:val="2"/>
        </w:numPr>
        <w:spacing w:after="70" w:line="276"/>
      </w:pPr>
      <w:r>
        <w:rPr>
          <w:rFonts w:ascii="Calibri" w:cs="Calibri" w:eastAsia="Calibri" w:hAnsi="Calibri"/>
          <w:sz w:val="21"/>
          <w:szCs w:val="21"/>
        </w:rPr>
        <w:t xml:space="preserve">Drainage: 7 BRIMSTOWAD stations, 180 m³/s installed, 50 mm/hr design standard, 6 m³/s per nominal pump unit.</w:t>
      </w:r>
    </w:p>
    <w:p>
      <w:pPr>
        <w:pStyle w:val="ListParagraph"/>
        <w:numPr>
          <w:ilvl w:val="0"/>
          <w:numId w:val="2"/>
        </w:numPr>
        <w:spacing w:after="70" w:line="276"/>
      </w:pPr>
      <w:r>
        <w:rPr>
          <w:rFonts w:ascii="Calibri" w:cs="Calibri" w:eastAsia="Calibri" w:hAnsi="Calibri"/>
          <w:sz w:val="21"/>
          <w:szCs w:val="21"/>
        </w:rPr>
        <w:t xml:space="preserve">Tide: 4 harmonic constituents, 0.12–4.97 m above chart datum, 4.6 m spring range.</w:t>
      </w:r>
    </w:p>
    <w:p>
      <w:pPr>
        <w:pStyle w:val="ListParagraph"/>
        <w:numPr>
          <w:ilvl w:val="0"/>
          <w:numId w:val="2"/>
        </w:numPr>
        <w:spacing w:after="70" w:line="276"/>
      </w:pPr>
      <w:r>
        <w:rPr>
          <w:rFonts w:ascii="Calibri" w:cs="Calibri" w:eastAsia="Calibri" w:hAnsi="Calibri"/>
          <w:sz w:val="21"/>
          <w:szCs w:val="21"/>
        </w:rPr>
        <w:t xml:space="preserve">Tests: 177, covering the checkpoint reader, NumPy/torch equivalence, both ingest providers, the hazard model, the API, the region registry, the feed, the drainage balance and the solver's mass closure.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RainShield AI — Prototype Walkthrough &amp; Technical Pitch</dc:title>
  <dc:creator>Team HydroNex</dc:creator>
  <dc:description>Tab-by-tab explanation of the RainShield AI prototype and the technology behind each feature</dc:description>
  <cp:lastModifiedBy>Un-named</cp:lastModifiedBy>
  <cp:revision>1</cp:revision>
  <dcterms:created xsi:type="dcterms:W3CDTF">2026-09-16T02:42:18.608Z</dcterms:created>
  <dcterms:modified xsi:type="dcterms:W3CDTF">2026-09-16T02:42:18.608Z</dcterms:modified>
</cp:coreProperties>
</file>

<file path=docProps/custom.xml><?xml version="1.0" encoding="utf-8"?>
<Properties xmlns="http://schemas.openxmlformats.org/officeDocument/2006/custom-properties" xmlns:vt="http://schemas.openxmlformats.org/officeDocument/2006/docPropsVTypes"/>
</file>