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EXECUTION AND MEASUREMENT OF RECRUITMENT CAMPAIGNS</w:t>
      </w:r>
    </w:p>
    <w:p>
      <w:pPr>
        <w:spacing w:after="360"/>
      </w:pPr>
      <w:r>
        <w:rPr>
          <w:rFonts w:ascii="Calibri" w:hAnsi="Calibri"/>
          <w:i/>
          <w:color w:val="5C768D"/>
          <w:sz w:val="28"/>
        </w:rPr>
        <w:t>An Actionable Automotive-Sector Recruitment Plan Using SAP SuccessFactors</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0"/>
            </w:pPr>
            <w:r>
              <w:rPr>
                <w:b/>
                <w:color w:val="1B365D"/>
                <w:sz w:val="19"/>
              </w:rPr>
              <w:t>Target Organization: Apex Mobility Ltd.  |  Target Hires: 60 Roles (EV Engineering, Software, Production, Maintenance, Supply Chain, Service)  |  Duration: 12 Weeks + 90-Day Retention Review</w:t>
            </w:r>
          </w:p>
        </w:tc>
      </w:tr>
    </w:tbl>
    <w:p>
      <w:pPr>
        <w:spacing w:after="240"/>
      </w:pPr>
    </w:p>
    <w:p>
      <w:pPr>
        <w:keepNext/>
        <w:spacing w:before="360" w:after="120"/>
      </w:pPr>
      <w:r>
        <w:rPr>
          <w:rFonts w:ascii="Calibri" w:hAnsi="Calibri"/>
          <w:b/>
          <w:color w:val="1B365D"/>
          <w:sz w:val="30"/>
        </w:rPr>
        <w:t>Executive Summary</w:t>
      </w:r>
    </w:p>
    <w:p>
      <w:pPr>
        <w:spacing w:after="120" w:line="276" w:lineRule="auto"/>
      </w:pPr>
      <w:r>
        <w:t>The automotive sector is undergoing an unprecedented structural transition driven by electrification, software-defined vehicle (SDV) architectures, autonomous driving technologies, advanced automated manufacturing, and stringent quality and sustainability standards. Success in this evolving landscape requires automotive OEMs and Tier-1 suppliers to recruit multi-disciplinary talent spanning mechanical, electrical, embedded software, cloud architecture, battery chemistry, quality engineering, and supply chain operations. A standard job advertisement or reactive sourcing approach is no longer sufficient; organizations require an integrated, data-driven recruitment campaign with precise workforce requirements, a compelling employer value proposition (EVP), multi-channel sourcing, structured assessments, rapid decision-making, and seamless onboarding.</w:t>
      </w:r>
    </w:p>
    <w:p>
      <w:pPr>
        <w:spacing w:after="120" w:line="276" w:lineRule="auto"/>
      </w:pPr>
      <w:r>
        <w:t>This comprehensive operational document outlines a 12-week strategic recruitment campaign titled 'Drive the Future' for Apex Mobility Ltd., a mid-sized automotive manufacturer expanding its electric vehicle (EV) components and connected mobility business units. The primary target is to fill 60 critical positions across EV/Battery Engineering (12), Embedded Software &amp; Testing (10), Production &amp; Quality (18), Maintenance &amp; Automation (8), Supply Chain (6), and After-Sales/Service Operations (6).</w:t>
      </w:r>
    </w:p>
    <w:p>
      <w:pPr>
        <w:spacing w:after="120" w:line="276" w:lineRule="auto"/>
      </w:pPr>
      <w:r>
        <w:t>The end-to-end recruitment architecture leverages SAP SuccessFactors Recruiting (Management, Posting, CRM, and Career Site Builder) alongside SAP SuccessFactors Onboarding, seamlessly integrated with Employee Central, Learning Management (LMS), and Qualtrics Experience Management. The campaign is governed by strict quantitative performance standards: 60 accepted offers, an overall offer acceptance rate of ≥90% (requiring ~67 total extended offers), a median Time-to-Fill of ≤45 days, 100% assessment compliance, and ≥95% completion of day-30 onboarding milestones. Comprehensive contingency frameworks, data privacy safeguards, and 30/60/90-day post-hire feedback loops ensure sustainable talent acquisition and retention.</w:t>
      </w:r>
    </w:p>
    <w:p>
      <w:pPr>
        <w:keepNext/>
        <w:spacing w:before="360" w:after="120"/>
      </w:pPr>
      <w:r>
        <w:rPr>
          <w:rFonts w:ascii="Calibri" w:hAnsi="Calibri"/>
          <w:b/>
          <w:color w:val="1B365D"/>
          <w:sz w:val="30"/>
        </w:rPr>
        <w:t>1. Introduction and Automotive Business Context</w:t>
      </w:r>
    </w:p>
    <w:p>
      <w:pPr>
        <w:spacing w:after="120" w:line="276" w:lineRule="auto"/>
      </w:pPr>
      <w:r>
        <w:t>Recruitment within the modern automotive industry carries distinct high-stakes operational risks. Vacancies in key technical roles directly threaten vehicle launch milestones, battery manufacturing line ramp-ups, functional safety compliance (ISO 26262), software sprint delivery, and assembly line throughput. Unfilled maintenance or quality roles can cause costly line stoppages, while hires made without rigorous competency verification introduce severe safety, warranty, and recall liabilities.</w:t>
      </w:r>
    </w:p>
    <w:p>
      <w:pPr>
        <w:spacing w:after="120" w:line="276" w:lineRule="auto"/>
      </w:pPr>
      <w:r>
        <w:t>Apex Mobility Ltd. is establishing a dedicated EV powertrain assembly facility and an embedded mobility software engineering center. To support this expansion, the 'Drive the Future' campaign targets 60 critical additions to the workforce:</w:t>
      </w:r>
    </w:p>
    <w:p>
      <w:pPr>
        <w:pStyle w:val="ListBullet"/>
        <w:spacing w:after="60" w:line="276" w:lineRule="auto"/>
      </w:pPr>
      <w:r>
        <w:rPr>
          <w:b/>
          <w:color w:val="1B365D"/>
        </w:rPr>
        <w:t xml:space="preserve">EV &amp; Battery Engineers (12 roles): </w:t>
      </w:r>
      <w:r>
        <w:t>Specialized in battery management systems (BMS), high-voltage wiring, thermal simulation, power electronics, and cell chemistry validation.</w:t>
      </w:r>
    </w:p>
    <w:p>
      <w:pPr>
        <w:pStyle w:val="ListBullet"/>
        <w:spacing w:after="60" w:line="276" w:lineRule="auto"/>
      </w:pPr>
      <w:r>
        <w:rPr>
          <w:b/>
          <w:color w:val="1B365D"/>
        </w:rPr>
        <w:t xml:space="preserve">Embedded Software &amp; Testing Engineers (10 roles): </w:t>
      </w:r>
      <w:r>
        <w:t>Focusing on ECU firmware development, AUTOSAR architecture, over-the-air (OTA) updates, software-in-the-loop (SIL) testing, and ISO 26262 functional safety.</w:t>
      </w:r>
    </w:p>
    <w:p>
      <w:pPr>
        <w:pStyle w:val="ListBullet"/>
        <w:spacing w:after="60" w:line="276" w:lineRule="auto"/>
      </w:pPr>
      <w:r>
        <w:rPr>
          <w:b/>
          <w:color w:val="1B365D"/>
        </w:rPr>
        <w:t xml:space="preserve">Production &amp; Quality Technicians (18 roles): </w:t>
      </w:r>
      <w:r>
        <w:t>Responsible for automated assembly, battery cell module stacking, precision quality inspection, statistical process control (SPC), and lean manufacturing.</w:t>
      </w:r>
    </w:p>
    <w:p>
      <w:pPr>
        <w:pStyle w:val="ListBullet"/>
        <w:spacing w:after="60" w:line="276" w:lineRule="auto"/>
      </w:pPr>
      <w:r>
        <w:rPr>
          <w:b/>
          <w:color w:val="1B365D"/>
        </w:rPr>
        <w:t xml:space="preserve">Maintenance &amp; Automation Technicians (8 roles): </w:t>
      </w:r>
      <w:r>
        <w:t>Managing industrial robotics (KUKA/ABB), programmable logic controllers (PLCs), predictive maintenance systems, and high-voltage facility safety.</w:t>
      </w:r>
    </w:p>
    <w:p>
      <w:pPr>
        <w:pStyle w:val="ListBullet"/>
        <w:spacing w:after="60" w:line="276" w:lineRule="auto"/>
      </w:pPr>
      <w:r>
        <w:rPr>
          <w:b/>
          <w:color w:val="1B365D"/>
        </w:rPr>
        <w:t xml:space="preserve">Supply Chain Specialists (6 roles): </w:t>
      </w:r>
      <w:r>
        <w:t>Handling raw material sourcing for lithium-ion cells, semiconductor allocation, logistics planning, and supplier quality audits.</w:t>
      </w:r>
    </w:p>
    <w:p>
      <w:pPr>
        <w:pStyle w:val="ListBullet"/>
        <w:spacing w:after="60" w:line="276" w:lineRule="auto"/>
      </w:pPr>
      <w:r>
        <w:rPr>
          <w:b/>
          <w:color w:val="1B365D"/>
        </w:rPr>
        <w:t xml:space="preserve">After-Sales &amp; Service Operations (6 roles): </w:t>
      </w:r>
      <w:r>
        <w:t>Developing technical training literature, high-voltage vehicle service protocols, and field defect diagnostic workflows.</w:t>
      </w:r>
    </w:p>
    <w:p>
      <w:pPr>
        <w:spacing w:after="120" w:line="276" w:lineRule="auto"/>
      </w:pPr>
      <w:r>
        <w:t>The campaign message—'Build Safer, Smarter, Cleaner Mobility'—positions Apex Mobility Ltd. as a purpose-driven employer offering hands-on technical ownership, safety-first culture, competitive total rewards, and defined career progression paths.</w:t>
      </w:r>
    </w:p>
    <w:p>
      <w:pPr>
        <w:keepNext/>
        <w:spacing w:before="360" w:after="120"/>
      </w:pPr>
      <w:r>
        <w:rPr>
          <w:rFonts w:ascii="Calibri" w:hAnsi="Calibri"/>
          <w:b/>
          <w:color w:val="1B365D"/>
          <w:sz w:val="30"/>
        </w:rPr>
        <w:t>2. Objectives, Scope, and Boundaries</w:t>
      </w:r>
    </w:p>
    <w:p>
      <w:pPr>
        <w:spacing w:after="120" w:line="276" w:lineRule="auto"/>
      </w:pPr>
      <w:r>
        <w:t>The objective is to execute an actionable, end-to-end campaign that delivers the required headcount while establishing a permanent talent pipeline and an optimized, repeatable hiring model.</w:t>
      </w:r>
    </w:p>
    <w:p>
      <w:pPr>
        <w:spacing w:after="120" w:line="276" w:lineRule="auto"/>
      </w:pPr>
      <w:r>
        <w:rPr>
          <w:b/>
          <w:color w:val="1B365D"/>
        </w:rPr>
        <w:t xml:space="preserve">• </w:t>
      </w:r>
      <w:r>
        <w:t>Core Campaign Objectives:</w:t>
      </w:r>
    </w:p>
    <w:p>
      <w:pPr>
        <w:spacing w:after="120" w:line="276" w:lineRule="auto"/>
      </w:pPr>
      <w:r>
        <w:t>Secure 60 accepted offers across all targeted engineering, technician, supply chain, and service job families within a 12-week execution window.</w:t>
      </w:r>
    </w:p>
    <w:p>
      <w:pPr>
        <w:spacing w:after="120" w:line="276" w:lineRule="auto"/>
      </w:pPr>
      <w:r>
        <w:t>Achieve an offer acceptance rate of ≥90%, optimizing candidate touchpoints and offer competitiveness to minimize candidate drop-offs.</w:t>
      </w:r>
    </w:p>
    <w:p>
      <w:pPr>
        <w:spacing w:after="120" w:line="276" w:lineRule="auto"/>
      </w:pPr>
      <w:r>
        <w:t>Maintain a median Time-to-Fill of ≤45 days for technical and technician roles, and ≤55 days for niche software and battery engineering roles.</w:t>
      </w:r>
    </w:p>
    <w:p>
      <w:pPr>
        <w:spacing w:after="120" w:line="276" w:lineRule="auto"/>
      </w:pPr>
      <w:r>
        <w:t>Ensure 100% structured assessment compliance and zero data privacy or compliance infractions across all candidate touchpoints.</w:t>
      </w:r>
    </w:p>
    <w:p>
      <w:pPr>
        <w:spacing w:after="120" w:line="276" w:lineRule="auto"/>
      </w:pPr>
      <w:r>
        <w:t>Achieve a Day-30 onboarding task completion rate of ≥95% and a 90-day retention rate of ≥95% for new cohort hires.</w:t>
      </w:r>
    </w:p>
    <w:p>
      <w:pPr>
        <w:spacing w:after="120" w:line="276" w:lineRule="auto"/>
      </w:pPr>
      <w:r>
        <w:rPr>
          <w:b/>
          <w:color w:val="1B365D"/>
        </w:rPr>
        <w:t xml:space="preserve">Scope Includes: </w:t>
      </w:r>
      <w:r>
        <w:t xml:space="preserve">Scope Boundaries: </w:t>
      </w:r>
    </w:p>
    <w:p>
      <w:pPr>
        <w:spacing w:after="120" w:line="276" w:lineRule="auto"/>
      </w:pPr>
      <w:r>
        <w:t>Campaign setup, employer branding, career site landing page development, job multi-posting, referral activation, candidate relationship management, structured screening/interviews, background verification, offer routing, pre-boarding, onboarding integration, and post-hire evaluation.</w:t>
      </w:r>
    </w:p>
    <w:p>
      <w:pPr>
        <w:spacing w:after="120" w:line="276" w:lineRule="auto"/>
      </w:pPr>
      <w:r>
        <w:rPr>
          <w:b/>
          <w:color w:val="1B365D"/>
        </w:rPr>
        <w:t xml:space="preserve">Scope Excludes: </w:t>
      </w:r>
      <w:r>
        <w:t xml:space="preserve">Scope Excludes: </w:t>
      </w:r>
    </w:p>
    <w:p>
      <w:pPr>
        <w:spacing w:after="120" w:line="276" w:lineRule="auto"/>
      </w:pPr>
      <w:r>
        <w:t>Core system re-implementation of SAP SuccessFactors, permanent union agreement renegotiations, compensation band restructuring, and long-term enterprise workforce planning.</w:t>
      </w:r>
    </w:p>
    <w:p>
      <w:pPr>
        <w:keepNext/>
        <w:spacing w:before="360" w:after="120"/>
      </w:pPr>
      <w:r>
        <w:rPr>
          <w:rFonts w:ascii="Calibri" w:hAnsi="Calibri"/>
          <w:b/>
          <w:color w:val="1B365D"/>
          <w:sz w:val="30"/>
        </w:rPr>
        <w:t>3. Campaign Governance &amp; RACI Framework</w:t>
      </w:r>
    </w:p>
    <w:p>
      <w:pPr>
        <w:spacing w:after="120" w:line="276" w:lineRule="auto"/>
      </w:pPr>
      <w:r>
        <w:t>Governance is organized around clear ownership, rapid escalation paths, and cross-functional accountability spanning HR, Business Units, Marketing, IT, and System Administration.</w:t>
      </w:r>
    </w:p>
    <w:p>
      <w:pPr>
        <w:keepNext/>
        <w:spacing w:before="280" w:after="80"/>
      </w:pPr>
      <w:r>
        <w:rPr>
          <w:rFonts w:ascii="Calibri" w:hAnsi="Calibri"/>
          <w:b/>
          <w:color w:val="2E6B9E"/>
          <w:sz w:val="25"/>
        </w:rPr>
        <w:t>Campaign Governance Roles</w:t>
      </w:r>
    </w:p>
    <w:p>
      <w:pPr>
        <w:pStyle w:val="ListBullet"/>
        <w:spacing w:after="60" w:line="276" w:lineRule="auto"/>
      </w:pPr>
      <w:r>
        <w:rPr>
          <w:b/>
          <w:color w:val="1B365D"/>
        </w:rPr>
        <w:t xml:space="preserve">Executive Sponsor (VP Operations/HR): </w:t>
      </w:r>
      <w:r>
        <w:t>Approves headcount, overall campaign budget, policy exceptions, and major strategic contingencies; resolves cross-departmental blockers.</w:t>
      </w:r>
    </w:p>
    <w:p>
      <w:pPr>
        <w:pStyle w:val="ListBullet"/>
        <w:spacing w:after="60" w:line="276" w:lineRule="auto"/>
      </w:pPr>
      <w:r>
        <w:rPr>
          <w:b/>
          <w:color w:val="1B365D"/>
        </w:rPr>
        <w:t xml:space="preserve">Recruitment Campaign Lead: </w:t>
      </w:r>
      <w:r>
        <w:t>Accountable for overall campaign execution, daily operations, weekly funnel performance, media budget allocation, vendor SLA oversight, and risk mitigation.</w:t>
      </w:r>
    </w:p>
    <w:p>
      <w:pPr>
        <w:pStyle w:val="ListBullet"/>
        <w:spacing w:after="60" w:line="276" w:lineRule="auto"/>
      </w:pPr>
      <w:r>
        <w:rPr>
          <w:b/>
          <w:color w:val="1B365D"/>
        </w:rPr>
        <w:t xml:space="preserve">Recruiting Operations &amp; Recruiters: </w:t>
      </w:r>
      <w:r>
        <w:t>Manage candidate pipelines, publish requisitions, execute initial screening, coordinate assessment schedules, extend offers, and maintain SLA compliance.</w:t>
      </w:r>
    </w:p>
    <w:p>
      <w:pPr>
        <w:pStyle w:val="ListBullet"/>
        <w:spacing w:after="60" w:line="276" w:lineRule="auto"/>
      </w:pPr>
      <w:r>
        <w:rPr>
          <w:b/>
          <w:color w:val="1B365D"/>
        </w:rPr>
        <w:t xml:space="preserve">Hiring Managers &amp; Technical Panelists: </w:t>
      </w:r>
      <w:r>
        <w:t>Define technical job criteria, evaluate work samples, conduct structured competency interviews, submit scorecards within 48 hours, and sell the role to candidates.</w:t>
      </w:r>
    </w:p>
    <w:p>
      <w:pPr>
        <w:pStyle w:val="ListBullet"/>
        <w:spacing w:after="60" w:line="276" w:lineRule="auto"/>
      </w:pPr>
      <w:r>
        <w:rPr>
          <w:b/>
          <w:color w:val="1B365D"/>
        </w:rPr>
        <w:t xml:space="preserve">SAP SuccessFactors HRIS Administrator: </w:t>
      </w:r>
      <w:r>
        <w:t>Configures requisitions, CSB pages, CRM talent pools, interview scorecards, offer templates, workflow permissions, source tags, and analytics dashboards.</w:t>
      </w:r>
    </w:p>
    <w:p>
      <w:pPr>
        <w:pStyle w:val="ListBullet"/>
        <w:spacing w:after="60" w:line="276" w:lineRule="auto"/>
      </w:pPr>
      <w:r>
        <w:rPr>
          <w:b/>
          <w:color w:val="1B365D"/>
        </w:rPr>
        <w:t xml:space="preserve">Employer Branding &amp; Marketing Lead: </w:t>
      </w:r>
      <w:r>
        <w:t>Designs digital assets, social media creative, video job previews, and landing page messaging in alignment with corporate brand standards.</w:t>
      </w:r>
    </w:p>
    <w:p>
      <w:pPr>
        <w:pStyle w:val="ListBullet"/>
        <w:spacing w:after="60" w:line="276" w:lineRule="auto"/>
      </w:pPr>
      <w:r>
        <w:rPr>
          <w:b/>
          <w:color w:val="1B365D"/>
        </w:rPr>
        <w:t xml:space="preserve">Onboarding Lead &amp; Line Managers: </w:t>
      </w:r>
      <w:r>
        <w:t>Own pre-boarding task completion, IT asset provisioning, safety inductions, 30/60/90-day goal setting, and new-hire integration check-ins.</w:t>
      </w:r>
    </w:p>
    <w:p>
      <w:pPr>
        <w:keepNext/>
        <w:spacing w:before="280" w:after="80"/>
      </w:pPr>
      <w:r>
        <w:rPr>
          <w:rFonts w:ascii="Calibri" w:hAnsi="Calibri"/>
          <w:b/>
          <w:color w:val="2E6B9E"/>
          <w:sz w:val="25"/>
        </w:rPr>
        <w:t>Cross-Functional RACI Matrix</w:t>
      </w:r>
    </w:p>
    <w:p>
      <w:pPr>
        <w:spacing w:after="120" w:line="276" w:lineRule="auto"/>
      </w:pPr>
      <w:r>
        <w:t>Legend: R = Responsible (does the work), A = Accountable (final decision maker), C = Consulted (provides input), I = Informed (kept updated)</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B365D"/>
            <w:tcMar>
              <w:top w:w="100" w:type="dxa"/>
              <w:bottom w:w="100" w:type="dxa"/>
              <w:left w:w="100" w:type="dxa"/>
              <w:right w:w="100" w:type="dxa"/>
            </w:tcMar>
          </w:tcPr>
          <w:p>
            <w:pPr>
              <w:jc w:val="center"/>
            </w:pPr>
            <w:r>
              <w:rPr>
                <w:b/>
                <w:color w:val="FFFFFF"/>
                <w:sz w:val="17"/>
              </w:rPr>
              <w:t>Campaign Stage / Activity</w:t>
            </w:r>
          </w:p>
        </w:tc>
        <w:tc>
          <w:tcPr>
            <w:tcW w:type="dxa" w:w="1170"/>
            <w:shd w:val="clear" w:color="auto" w:fill="1B365D"/>
            <w:tcMar>
              <w:top w:w="100" w:type="dxa"/>
              <w:bottom w:w="100" w:type="dxa"/>
              <w:left w:w="100" w:type="dxa"/>
              <w:right w:w="100" w:type="dxa"/>
            </w:tcMar>
          </w:tcPr>
          <w:p>
            <w:pPr>
              <w:jc w:val="center"/>
            </w:pPr>
            <w:r>
              <w:rPr>
                <w:b/>
                <w:color w:val="FFFFFF"/>
                <w:sz w:val="17"/>
              </w:rPr>
              <w:t>Sponsor</w:t>
            </w:r>
          </w:p>
        </w:tc>
        <w:tc>
          <w:tcPr>
            <w:tcW w:type="dxa" w:w="1170"/>
            <w:shd w:val="clear" w:color="auto" w:fill="1B365D"/>
            <w:tcMar>
              <w:top w:w="100" w:type="dxa"/>
              <w:bottom w:w="100" w:type="dxa"/>
              <w:left w:w="100" w:type="dxa"/>
              <w:right w:w="100" w:type="dxa"/>
            </w:tcMar>
          </w:tcPr>
          <w:p>
            <w:pPr>
              <w:jc w:val="center"/>
            </w:pPr>
            <w:r>
              <w:rPr>
                <w:b/>
                <w:color w:val="FFFFFF"/>
                <w:sz w:val="17"/>
              </w:rPr>
              <w:t>Camp. Lead</w:t>
            </w:r>
          </w:p>
        </w:tc>
        <w:tc>
          <w:tcPr>
            <w:tcW w:type="dxa" w:w="1170"/>
            <w:shd w:val="clear" w:color="auto" w:fill="1B365D"/>
            <w:tcMar>
              <w:top w:w="100" w:type="dxa"/>
              <w:bottom w:w="100" w:type="dxa"/>
              <w:left w:w="100" w:type="dxa"/>
              <w:right w:w="100" w:type="dxa"/>
            </w:tcMar>
          </w:tcPr>
          <w:p>
            <w:pPr>
              <w:jc w:val="center"/>
            </w:pPr>
            <w:r>
              <w:rPr>
                <w:b/>
                <w:color w:val="FFFFFF"/>
                <w:sz w:val="17"/>
              </w:rPr>
              <w:t>Recruiters</w:t>
            </w:r>
          </w:p>
        </w:tc>
        <w:tc>
          <w:tcPr>
            <w:tcW w:type="dxa" w:w="1170"/>
            <w:shd w:val="clear" w:color="auto" w:fill="1B365D"/>
            <w:tcMar>
              <w:top w:w="100" w:type="dxa"/>
              <w:bottom w:w="100" w:type="dxa"/>
              <w:left w:w="100" w:type="dxa"/>
              <w:right w:w="100" w:type="dxa"/>
            </w:tcMar>
          </w:tcPr>
          <w:p>
            <w:pPr>
              <w:jc w:val="center"/>
            </w:pPr>
            <w:r>
              <w:rPr>
                <w:b/>
                <w:color w:val="FFFFFF"/>
                <w:sz w:val="17"/>
              </w:rPr>
              <w:t>Hiring Mgr</w:t>
            </w:r>
          </w:p>
        </w:tc>
        <w:tc>
          <w:tcPr>
            <w:tcW w:type="dxa" w:w="1170"/>
            <w:shd w:val="clear" w:color="auto" w:fill="1B365D"/>
            <w:tcMar>
              <w:top w:w="100" w:type="dxa"/>
              <w:bottom w:w="100" w:type="dxa"/>
              <w:left w:w="100" w:type="dxa"/>
              <w:right w:w="100" w:type="dxa"/>
            </w:tcMar>
          </w:tcPr>
          <w:p>
            <w:pPr>
              <w:jc w:val="center"/>
            </w:pPr>
            <w:r>
              <w:rPr>
                <w:b/>
                <w:color w:val="FFFFFF"/>
                <w:sz w:val="17"/>
              </w:rPr>
              <w:t>HRIS Admin</w:t>
            </w:r>
          </w:p>
        </w:tc>
        <w:tc>
          <w:tcPr>
            <w:tcW w:type="dxa" w:w="1170"/>
            <w:shd w:val="clear" w:color="auto" w:fill="1B365D"/>
            <w:tcMar>
              <w:top w:w="100" w:type="dxa"/>
              <w:bottom w:w="100" w:type="dxa"/>
              <w:left w:w="100" w:type="dxa"/>
              <w:right w:w="100" w:type="dxa"/>
            </w:tcMar>
          </w:tcPr>
          <w:p>
            <w:pPr>
              <w:jc w:val="center"/>
            </w:pPr>
            <w:r>
              <w:rPr>
                <w:b/>
                <w:color w:val="FFFFFF"/>
                <w:sz w:val="17"/>
              </w:rPr>
              <w:t>Marketing</w:t>
            </w:r>
          </w:p>
        </w:tc>
        <w:tc>
          <w:tcPr>
            <w:tcW w:type="dxa" w:w="1170"/>
            <w:shd w:val="clear" w:color="auto" w:fill="1B365D"/>
            <w:tcMar>
              <w:top w:w="100" w:type="dxa"/>
              <w:bottom w:w="100" w:type="dxa"/>
              <w:left w:w="100" w:type="dxa"/>
              <w:right w:w="100" w:type="dxa"/>
            </w:tcMar>
          </w:tcPr>
          <w:p>
            <w:pPr>
              <w:jc w:val="center"/>
            </w:pPr>
            <w:r>
              <w:rPr>
                <w:b/>
                <w:color w:val="FFFFFF"/>
                <w:sz w:val="17"/>
              </w:rPr>
              <w:t>Onb. Lead</w:t>
            </w:r>
          </w:p>
        </w:tc>
      </w:tr>
      <w:tr>
        <w:tc>
          <w:tcPr>
            <w:tcW w:type="dxa" w:w="1170"/>
            <w:shd w:val="clear" w:color="auto" w:fill="FFFFFF"/>
            <w:tcMar>
              <w:top w:w="80" w:type="dxa"/>
              <w:bottom w:w="80" w:type="dxa"/>
              <w:left w:w="80" w:type="dxa"/>
              <w:right w:w="80" w:type="dxa"/>
            </w:tcMar>
          </w:tcPr>
          <w:p>
            <w:r>
              <w:rPr>
                <w:sz w:val="17"/>
              </w:rPr>
              <w:t>Requisition &amp; Scorecard Setup</w:t>
            </w:r>
          </w:p>
        </w:tc>
        <w:tc>
          <w:tcPr>
            <w:tcW w:type="dxa" w:w="1170"/>
            <w:shd w:val="clear" w:color="auto" w:fill="FFFFFF"/>
            <w:tcMar>
              <w:top w:w="80" w:type="dxa"/>
              <w:bottom w:w="80" w:type="dxa"/>
              <w:left w:w="80" w:type="dxa"/>
              <w:right w:w="80" w:type="dxa"/>
            </w:tcMar>
          </w:tcPr>
          <w:p>
            <w:pPr>
              <w:jc w:val="center"/>
            </w:pPr>
            <w:r>
              <w:rPr>
                <w:b/>
                <w:sz w:val="17"/>
              </w:rPr>
              <w:t>A</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b/>
                <w:sz w:val="17"/>
              </w:rPr>
              <w:t>R</w:t>
            </w:r>
          </w:p>
        </w:tc>
        <w:tc>
          <w:tcPr>
            <w:tcW w:type="dxa" w:w="1170"/>
            <w:shd w:val="clear" w:color="auto" w:fill="FFFFFF"/>
            <w:tcMar>
              <w:top w:w="80" w:type="dxa"/>
              <w:bottom w:w="80" w:type="dxa"/>
              <w:left w:w="80" w:type="dxa"/>
              <w:right w:w="80" w:type="dxa"/>
            </w:tcMar>
          </w:tcPr>
          <w:p>
            <w:pPr>
              <w:jc w:val="center"/>
            </w:pPr>
            <w:r>
              <w:rPr>
                <w:b/>
                <w:sz w:val="17"/>
              </w:rPr>
              <w:t>R</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I</w:t>
            </w:r>
          </w:p>
        </w:tc>
      </w:tr>
      <w:tr>
        <w:tc>
          <w:tcPr>
            <w:tcW w:type="dxa" w:w="1170"/>
            <w:shd w:val="clear" w:color="auto" w:fill="F9FBFD"/>
            <w:tcMar>
              <w:top w:w="80" w:type="dxa"/>
              <w:bottom w:w="80" w:type="dxa"/>
              <w:left w:w="80" w:type="dxa"/>
              <w:right w:w="80" w:type="dxa"/>
            </w:tcMar>
          </w:tcPr>
          <w:p>
            <w:r>
              <w:rPr>
                <w:sz w:val="17"/>
              </w:rPr>
              <w:t>Employer Brand &amp; CSB Page Launch</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A</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R</w:t>
            </w:r>
          </w:p>
        </w:tc>
        <w:tc>
          <w:tcPr>
            <w:tcW w:type="dxa" w:w="1170"/>
            <w:shd w:val="clear" w:color="auto" w:fill="F9FBFD"/>
            <w:tcMar>
              <w:top w:w="80" w:type="dxa"/>
              <w:bottom w:w="80" w:type="dxa"/>
              <w:left w:w="80" w:type="dxa"/>
              <w:right w:w="80" w:type="dxa"/>
            </w:tcMar>
          </w:tcPr>
          <w:p>
            <w:pPr>
              <w:jc w:val="center"/>
            </w:pPr>
            <w:r>
              <w:rPr>
                <w:b/>
                <w:sz w:val="17"/>
              </w:rPr>
              <w:t>R</w:t>
            </w:r>
          </w:p>
        </w:tc>
        <w:tc>
          <w:tcPr>
            <w:tcW w:type="dxa" w:w="1170"/>
            <w:shd w:val="clear" w:color="auto" w:fill="F9FBFD"/>
            <w:tcMar>
              <w:top w:w="80" w:type="dxa"/>
              <w:bottom w:w="80" w:type="dxa"/>
              <w:left w:w="80" w:type="dxa"/>
              <w:right w:w="80" w:type="dxa"/>
            </w:tcMar>
          </w:tcPr>
          <w:p>
            <w:pPr>
              <w:jc w:val="center"/>
            </w:pPr>
            <w:r>
              <w:rPr>
                <w:sz w:val="17"/>
              </w:rPr>
              <w:t>I</w:t>
            </w:r>
          </w:p>
        </w:tc>
      </w:tr>
      <w:tr>
        <w:tc>
          <w:tcPr>
            <w:tcW w:type="dxa" w:w="1170"/>
            <w:shd w:val="clear" w:color="auto" w:fill="FFFFFF"/>
            <w:tcMar>
              <w:top w:w="80" w:type="dxa"/>
              <w:bottom w:w="80" w:type="dxa"/>
              <w:left w:w="80" w:type="dxa"/>
              <w:right w:w="80" w:type="dxa"/>
            </w:tcMar>
          </w:tcPr>
          <w:p>
            <w:r>
              <w:rPr>
                <w:sz w:val="17"/>
              </w:rPr>
              <w:t>Multi-Channel Sourcing &amp; Referrals</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b/>
                <w:sz w:val="17"/>
              </w:rPr>
              <w:t>A</w:t>
            </w:r>
          </w:p>
        </w:tc>
        <w:tc>
          <w:tcPr>
            <w:tcW w:type="dxa" w:w="1170"/>
            <w:shd w:val="clear" w:color="auto" w:fill="FFFFFF"/>
            <w:tcMar>
              <w:top w:w="80" w:type="dxa"/>
              <w:bottom w:w="80" w:type="dxa"/>
              <w:left w:w="80" w:type="dxa"/>
              <w:right w:w="80" w:type="dxa"/>
            </w:tcMar>
          </w:tcPr>
          <w:p>
            <w:pPr>
              <w:jc w:val="center"/>
            </w:pPr>
            <w:r>
              <w:rPr>
                <w:b/>
                <w:sz w:val="17"/>
              </w:rPr>
              <w:t>R</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I</w:t>
            </w:r>
          </w:p>
        </w:tc>
      </w:tr>
      <w:tr>
        <w:tc>
          <w:tcPr>
            <w:tcW w:type="dxa" w:w="1170"/>
            <w:shd w:val="clear" w:color="auto" w:fill="F9FBFD"/>
            <w:tcMar>
              <w:top w:w="80" w:type="dxa"/>
              <w:bottom w:w="80" w:type="dxa"/>
              <w:left w:w="80" w:type="dxa"/>
              <w:right w:w="80" w:type="dxa"/>
            </w:tcMar>
          </w:tcPr>
          <w:p>
            <w:r>
              <w:rPr>
                <w:sz w:val="17"/>
              </w:rPr>
              <w:t>Screening &amp; Assessment Triage</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A</w:t>
            </w:r>
          </w:p>
        </w:tc>
        <w:tc>
          <w:tcPr>
            <w:tcW w:type="dxa" w:w="1170"/>
            <w:shd w:val="clear" w:color="auto" w:fill="F9FBFD"/>
            <w:tcMar>
              <w:top w:w="80" w:type="dxa"/>
              <w:bottom w:w="80" w:type="dxa"/>
              <w:left w:w="80" w:type="dxa"/>
              <w:right w:w="80" w:type="dxa"/>
            </w:tcMar>
          </w:tcPr>
          <w:p>
            <w:pPr>
              <w:jc w:val="center"/>
            </w:pPr>
            <w:r>
              <w:rPr>
                <w:b/>
                <w:sz w:val="17"/>
              </w:rPr>
              <w:t>R</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sz w:val="17"/>
              </w:rPr>
              <w:t>I</w:t>
            </w:r>
          </w:p>
        </w:tc>
      </w:tr>
      <w:tr>
        <w:tc>
          <w:tcPr>
            <w:tcW w:type="dxa" w:w="1170"/>
            <w:shd w:val="clear" w:color="auto" w:fill="FFFFFF"/>
            <w:tcMar>
              <w:top w:w="80" w:type="dxa"/>
              <w:bottom w:w="80" w:type="dxa"/>
              <w:left w:w="80" w:type="dxa"/>
              <w:right w:w="80" w:type="dxa"/>
            </w:tcMar>
          </w:tcPr>
          <w:p>
            <w:r>
              <w:rPr>
                <w:sz w:val="17"/>
              </w:rPr>
              <w:t>Structured Technical Interviews</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R / A</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I</w:t>
            </w:r>
          </w:p>
        </w:tc>
      </w:tr>
      <w:tr>
        <w:tc>
          <w:tcPr>
            <w:tcW w:type="dxa" w:w="1170"/>
            <w:shd w:val="clear" w:color="auto" w:fill="F9FBFD"/>
            <w:tcMar>
              <w:top w:w="80" w:type="dxa"/>
              <w:bottom w:w="80" w:type="dxa"/>
              <w:left w:w="80" w:type="dxa"/>
              <w:right w:w="80" w:type="dxa"/>
            </w:tcMar>
          </w:tcPr>
          <w:p>
            <w:r>
              <w:rPr>
                <w:sz w:val="17"/>
              </w:rPr>
              <w:t>Offer Routing &amp; Approval</w:t>
            </w:r>
          </w:p>
        </w:tc>
        <w:tc>
          <w:tcPr>
            <w:tcW w:type="dxa" w:w="1170"/>
            <w:shd w:val="clear" w:color="auto" w:fill="F9FBFD"/>
            <w:tcMar>
              <w:top w:w="80" w:type="dxa"/>
              <w:bottom w:w="80" w:type="dxa"/>
              <w:left w:w="80" w:type="dxa"/>
              <w:right w:w="80" w:type="dxa"/>
            </w:tcMar>
          </w:tcPr>
          <w:p>
            <w:pPr>
              <w:jc w:val="center"/>
            </w:pPr>
            <w:r>
              <w:rPr>
                <w:b/>
                <w:sz w:val="17"/>
              </w:rPr>
              <w:t>A</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b/>
                <w:sz w:val="17"/>
              </w:rPr>
              <w:t>R</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sz w:val="17"/>
              </w:rPr>
              <w:t>I</w:t>
            </w:r>
          </w:p>
        </w:tc>
      </w:tr>
      <w:tr>
        <w:tc>
          <w:tcPr>
            <w:tcW w:type="dxa" w:w="1170"/>
            <w:shd w:val="clear" w:color="auto" w:fill="FFFFFF"/>
            <w:tcMar>
              <w:top w:w="80" w:type="dxa"/>
              <w:bottom w:w="80" w:type="dxa"/>
              <w:left w:w="80" w:type="dxa"/>
              <w:right w:w="80" w:type="dxa"/>
            </w:tcMar>
          </w:tcPr>
          <w:p>
            <w:r>
              <w:rPr>
                <w:sz w:val="17"/>
              </w:rPr>
              <w:t>Pre-Boarding &amp; Compliance Checks</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C</w:t>
            </w:r>
          </w:p>
        </w:tc>
        <w:tc>
          <w:tcPr>
            <w:tcW w:type="dxa" w:w="1170"/>
            <w:shd w:val="clear" w:color="auto" w:fill="FFFFFF"/>
            <w:tcMar>
              <w:top w:w="80" w:type="dxa"/>
              <w:bottom w:w="80" w:type="dxa"/>
              <w:left w:w="80" w:type="dxa"/>
              <w:right w:w="80" w:type="dxa"/>
            </w:tcMar>
          </w:tcPr>
          <w:p>
            <w:pPr>
              <w:jc w:val="center"/>
            </w:pPr>
            <w:r>
              <w:rPr>
                <w:sz w:val="17"/>
              </w:rPr>
              <w:t>I</w:t>
            </w:r>
          </w:p>
        </w:tc>
        <w:tc>
          <w:tcPr>
            <w:tcW w:type="dxa" w:w="1170"/>
            <w:shd w:val="clear" w:color="auto" w:fill="FFFFFF"/>
            <w:tcMar>
              <w:top w:w="80" w:type="dxa"/>
              <w:bottom w:w="80" w:type="dxa"/>
              <w:left w:w="80" w:type="dxa"/>
              <w:right w:w="80" w:type="dxa"/>
            </w:tcMar>
          </w:tcPr>
          <w:p>
            <w:pPr>
              <w:jc w:val="center"/>
            </w:pPr>
            <w:r>
              <w:rPr>
                <w:sz w:val="17"/>
              </w:rPr>
              <w:t>R / A</w:t>
            </w:r>
          </w:p>
        </w:tc>
      </w:tr>
      <w:tr>
        <w:tc>
          <w:tcPr>
            <w:tcW w:type="dxa" w:w="1170"/>
            <w:shd w:val="clear" w:color="auto" w:fill="F9FBFD"/>
            <w:tcMar>
              <w:top w:w="80" w:type="dxa"/>
              <w:bottom w:w="80" w:type="dxa"/>
              <w:left w:w="80" w:type="dxa"/>
              <w:right w:w="80" w:type="dxa"/>
            </w:tcMar>
          </w:tcPr>
          <w:p>
            <w:r>
              <w:rPr>
                <w:sz w:val="17"/>
              </w:rPr>
              <w:t>30/60/90-Day Retention Review</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A</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R</w:t>
            </w:r>
          </w:p>
        </w:tc>
        <w:tc>
          <w:tcPr>
            <w:tcW w:type="dxa" w:w="1170"/>
            <w:shd w:val="clear" w:color="auto" w:fill="F9FBFD"/>
            <w:tcMar>
              <w:top w:w="80" w:type="dxa"/>
              <w:bottom w:w="80" w:type="dxa"/>
              <w:left w:w="80" w:type="dxa"/>
              <w:right w:w="80" w:type="dxa"/>
            </w:tcMar>
          </w:tcPr>
          <w:p>
            <w:pPr>
              <w:jc w:val="center"/>
            </w:pPr>
            <w:r>
              <w:rPr>
                <w:sz w:val="17"/>
              </w:rPr>
              <w:t>C</w:t>
            </w:r>
          </w:p>
        </w:tc>
        <w:tc>
          <w:tcPr>
            <w:tcW w:type="dxa" w:w="1170"/>
            <w:shd w:val="clear" w:color="auto" w:fill="F9FBFD"/>
            <w:tcMar>
              <w:top w:w="80" w:type="dxa"/>
              <w:bottom w:w="80" w:type="dxa"/>
              <w:left w:w="80" w:type="dxa"/>
              <w:right w:w="80" w:type="dxa"/>
            </w:tcMar>
          </w:tcPr>
          <w:p>
            <w:pPr>
              <w:jc w:val="center"/>
            </w:pPr>
            <w:r>
              <w:rPr>
                <w:sz w:val="17"/>
              </w:rPr>
              <w:t>I</w:t>
            </w:r>
          </w:p>
        </w:tc>
        <w:tc>
          <w:tcPr>
            <w:tcW w:type="dxa" w:w="1170"/>
            <w:shd w:val="clear" w:color="auto" w:fill="F9FBFD"/>
            <w:tcMar>
              <w:top w:w="80" w:type="dxa"/>
              <w:bottom w:w="80" w:type="dxa"/>
              <w:left w:w="80" w:type="dxa"/>
              <w:right w:w="80" w:type="dxa"/>
            </w:tcMar>
          </w:tcPr>
          <w:p>
            <w:pPr>
              <w:jc w:val="center"/>
            </w:pPr>
            <w:r>
              <w:rPr>
                <w:b/>
                <w:sz w:val="17"/>
              </w:rPr>
              <w:t>R</w:t>
            </w:r>
          </w:p>
        </w:tc>
      </w:tr>
    </w:tbl>
    <w:p>
      <w:pPr>
        <w:spacing w:after="240"/>
      </w:pPr>
    </w:p>
    <w:p>
      <w:pPr>
        <w:keepNext/>
        <w:spacing w:before="360" w:after="120"/>
      </w:pPr>
      <w:r>
        <w:rPr>
          <w:rFonts w:ascii="Calibri" w:hAnsi="Calibri"/>
          <w:b/>
          <w:color w:val="1B365D"/>
          <w:sz w:val="30"/>
        </w:rPr>
        <w:t>4. Technical Architecture: SAP SuccessFactors Capabilities</w:t>
      </w:r>
    </w:p>
    <w:p>
      <w:pPr>
        <w:spacing w:after="120" w:line="276" w:lineRule="auto"/>
      </w:pPr>
      <w:r>
        <w:t>The campaign architecture maximizes the full suite of SAP SuccessFactors modules to automate workflows, ensure tracking precision, and eliminate administrative friction across the talent lifecycle.</w:t>
      </w:r>
    </w:p>
    <w:p>
      <w:pPr>
        <w:keepNext/>
        <w:spacing w:before="280" w:after="80"/>
      </w:pPr>
      <w:r>
        <w:rPr>
          <w:rFonts w:ascii="Calibri" w:hAnsi="Calibri"/>
          <w:b/>
          <w:color w:val="2E6B9E"/>
          <w:sz w:val="25"/>
        </w:rPr>
        <w:t>4.1 Recruiting Management (RCM) &amp; Applicant Tracking</w:t>
      </w:r>
    </w:p>
    <w:p>
      <w:pPr>
        <w:spacing w:after="120" w:line="276" w:lineRule="auto"/>
      </w:pPr>
      <w:r>
        <w:t>RCM functions as the foundational system of record for all requisitions, applicant profiles, and stage progressions. Requisitions utilize pre-configured Automotive Engineering and Manufacturing templates embedded with mandatory fields: ISO quality standards awareness, safety certifications, compensation approval bands, and position budget codes. Candidate pipelines enforce standardized status stages: (1) New Application -&gt; (2) Recruiter Screen -&gt; (3) Hiring Manager Review -&gt; (4) Technical Assessment -&gt; (5) Structured Panel Interview -&gt; (6) Background &amp; Reference Check -&gt; (7) Offer Pending Approval -&gt; (8) Offer Extended -&gt; (9) Hired -&gt; (10) Onboarding Initiate.</w:t>
      </w:r>
    </w:p>
    <w:p>
      <w:pPr>
        <w:keepNext/>
        <w:spacing w:before="280" w:after="80"/>
      </w:pPr>
      <w:r>
        <w:rPr>
          <w:rFonts w:ascii="Calibri" w:hAnsi="Calibri"/>
          <w:b/>
          <w:color w:val="2E6B9E"/>
          <w:sz w:val="25"/>
        </w:rPr>
        <w:t>4.2 Career Site Builder (CSB) &amp; Digital Experience</w:t>
      </w:r>
    </w:p>
    <w:p>
      <w:pPr>
        <w:spacing w:after="120" w:line="276" w:lineRule="auto"/>
      </w:pPr>
      <w:r>
        <w:t>CSB hosts the 'Drive the Future' campaign landing page, built with fully responsive, mobile-optimized HTML5 architecture. Features include role-family search hubs, interactive plant virtual tours, realistic job previews (RJPs), EV engineer testimonial videos, and automated talent community registration forms. Built-in SEO meta-tagging ensures top organic positioning for searches like 'EV Battery Engineer jobs'. Source tracking parameters automatically append UTM tags to candidate profiles upon registration.</w:t>
      </w:r>
    </w:p>
    <w:p>
      <w:pPr>
        <w:keepNext/>
        <w:spacing w:before="280" w:after="80"/>
      </w:pPr>
      <w:r>
        <w:rPr>
          <w:rFonts w:ascii="Calibri" w:hAnsi="Calibri"/>
          <w:b/>
          <w:color w:val="2E6B9E"/>
          <w:sz w:val="25"/>
        </w:rPr>
        <w:t>4.3 Recruiting Posting &amp; Channel Multi-Distribution</w:t>
      </w:r>
    </w:p>
    <w:p>
      <w:pPr>
        <w:spacing w:after="120" w:line="276" w:lineRule="auto"/>
      </w:pPr>
      <w:r>
        <w:t>Recruiting Posting connects RCM to global and regional job boards, specialized engineering portals (IEEE, SAE International), vocational trade job banks, and niche software platforms. Rules-based posting engine automatically routes vacancies based on job family classification—for instance, broadcasting Embedded Software roles to developer networks while pushing Production Technician roles to regional technical institute boards.</w:t>
      </w:r>
    </w:p>
    <w:p>
      <w:pPr>
        <w:keepNext/>
        <w:spacing w:before="280" w:after="80"/>
      </w:pPr>
      <w:r>
        <w:rPr>
          <w:rFonts w:ascii="Calibri" w:hAnsi="Calibri"/>
          <w:b/>
          <w:color w:val="2E6B9E"/>
          <w:sz w:val="25"/>
        </w:rPr>
        <w:t>4.4 Candidate Relationship Management (CRM) &amp; Talent Pools</w:t>
      </w:r>
    </w:p>
    <w:p>
      <w:pPr>
        <w:spacing w:after="120" w:line="276" w:lineRule="auto"/>
      </w:pPr>
      <w:r>
        <w:t>CRM powers targeted candidate engagement and talent pool management. Six distinct Talent Pools are maintained corresponding to the core job families. Automated email drip campaigns nourish passive leads with company news, technical papers on EV battery technology, and upcoming interview events. CRM landing page forms capture candidate consent, skill profiles, and willingness to relocate, strictly adhering to global privacy standards.</w:t>
      </w:r>
    </w:p>
    <w:p>
      <w:pPr>
        <w:keepNext/>
        <w:spacing w:before="280" w:after="80"/>
      </w:pPr>
      <w:r>
        <w:rPr>
          <w:rFonts w:ascii="Calibri" w:hAnsi="Calibri"/>
          <w:b/>
          <w:color w:val="2E6B9E"/>
          <w:sz w:val="25"/>
        </w:rPr>
        <w:t>4.5 Employee Referral Module</w:t>
      </w:r>
    </w:p>
    <w:p>
      <w:pPr>
        <w:spacing w:after="120" w:line="276" w:lineRule="auto"/>
      </w:pPr>
      <w:r>
        <w:t>Integrated into the SuccessFactors Employee Central home page, the referral gateway enables employees to generate custom trackable referral links for social sharing or direct candidate submission. The system automatically cross-references submitted applications with employee referral IDs, enforcing eligibility rules and tracking progress transparently on the referring employee's portal dashboard.</w:t>
      </w:r>
    </w:p>
    <w:p>
      <w:pPr>
        <w:keepNext/>
        <w:spacing w:before="280" w:after="80"/>
      </w:pPr>
      <w:r>
        <w:rPr>
          <w:rFonts w:ascii="Calibri" w:hAnsi="Calibri"/>
          <w:b/>
          <w:color w:val="2E6B9E"/>
          <w:sz w:val="25"/>
        </w:rPr>
        <w:t>4.6 Interview Central, Scorecards, &amp; Offer Management</w:t>
      </w:r>
    </w:p>
    <w:p>
      <w:pPr>
        <w:spacing w:after="120" w:line="276" w:lineRule="auto"/>
      </w:pPr>
      <w:r>
        <w:t>Interview Central streamlines panel scheduling and standardized evaluation. Panelists access job-specific scorecards assessing technical competencies, safety mindset, and problem-solving via mobile or web interfaces. Scorecards utilize behaviorally anchored 1–5 rating scales and require mandatory narrative justification for scores &lt;2 or &gt;4. Offer management automates multi-level compensation approval routing, generates dynamic offer letters with integrated digital signature tools (DocuSign/Adobe Sign), and enforces acceptance deadlines.</w:t>
      </w:r>
    </w:p>
    <w:p>
      <w:pPr>
        <w:keepNext/>
        <w:spacing w:before="280" w:after="80"/>
      </w:pPr>
      <w:r>
        <w:rPr>
          <w:rFonts w:ascii="Calibri" w:hAnsi="Calibri"/>
          <w:b/>
          <w:color w:val="2E6B9E"/>
          <w:sz w:val="25"/>
        </w:rPr>
        <w:t>4.7 Module Integrations: Employee Central, LMS, &amp; Qualtrics</w:t>
      </w:r>
    </w:p>
    <w:p>
      <w:pPr>
        <w:spacing w:after="120" w:line="276" w:lineRule="auto"/>
      </w:pPr>
      <w:r>
        <w:t>Upon candidate offer acceptance, RCM triggers the Recruit-to-Hire process, automatically pushing candidate profile data into SAP SuccessFactors Employee Central (EC) to establish the permanent employee record without manual re-entry. Simultaneously, SAP SuccessFactors Onboarding generates pre-boarding tasks, while SAP SuccessFactors LMS automatically assigns mandatory compliance training (High-Voltage Safety Level 1, Cyber Security, Plant Code of Conduct). SAP Qualtrics Experience Management triggers automated sentiment pulse surveys at Candidate Application, Post-Interview, Pre-Boarding, Day-30, and Day-90 to continuously evaluate candidate and employee experience.</w:t>
      </w:r>
    </w:p>
    <w:p>
      <w:pPr>
        <w:keepNext/>
        <w:spacing w:before="360" w:after="120"/>
      </w:pPr>
      <w:r>
        <w:rPr>
          <w:rFonts w:ascii="Calibri" w:hAnsi="Calibri"/>
          <w:b/>
          <w:color w:val="1B365D"/>
          <w:sz w:val="30"/>
        </w:rPr>
        <w:t>5. Master Campaign Timeline &amp; Phase Breakdown</w:t>
      </w:r>
    </w:p>
    <w:p>
      <w:pPr>
        <w:spacing w:after="120" w:line="276" w:lineRule="auto"/>
      </w:pPr>
      <w:r>
        <w:t>The campaign operates over a 12-week core execution timeline, followed by a 90-day onboarding and retention review period.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Mar>
              <w:top w:w="100" w:type="dxa"/>
              <w:bottom w:w="100" w:type="dxa"/>
              <w:left w:w="80" w:type="dxa"/>
              <w:right w:w="80" w:type="dxa"/>
            </w:tcMar>
          </w:tcPr>
          <w:p>
            <w:pPr>
              <w:jc w:val="center"/>
            </w:pPr>
            <w:r>
              <w:rPr>
                <w:b/>
                <w:color w:val="FFFFFF"/>
                <w:sz w:val="17"/>
              </w:rPr>
              <w:t>Phase &amp; Timing</w:t>
            </w:r>
          </w:p>
        </w:tc>
        <w:tc>
          <w:tcPr>
            <w:tcW w:type="dxa" w:w="1872"/>
            <w:shd w:val="clear" w:color="auto" w:fill="1B365D"/>
            <w:tcMar>
              <w:top w:w="100" w:type="dxa"/>
              <w:bottom w:w="100" w:type="dxa"/>
              <w:left w:w="80" w:type="dxa"/>
              <w:right w:w="80" w:type="dxa"/>
            </w:tcMar>
          </w:tcPr>
          <w:p>
            <w:pPr>
              <w:jc w:val="center"/>
            </w:pPr>
            <w:r>
              <w:rPr>
                <w:b/>
                <w:color w:val="FFFFFF"/>
                <w:sz w:val="17"/>
              </w:rPr>
              <w:t>Key Operational Activities</w:t>
            </w:r>
          </w:p>
        </w:tc>
        <w:tc>
          <w:tcPr>
            <w:tcW w:type="dxa" w:w="1872"/>
            <w:shd w:val="clear" w:color="auto" w:fill="1B365D"/>
            <w:tcMar>
              <w:top w:w="100" w:type="dxa"/>
              <w:bottom w:w="100" w:type="dxa"/>
              <w:left w:w="80" w:type="dxa"/>
              <w:right w:w="80" w:type="dxa"/>
            </w:tcMar>
          </w:tcPr>
          <w:p>
            <w:pPr>
              <w:jc w:val="center"/>
            </w:pPr>
            <w:r>
              <w:rPr>
                <w:b/>
                <w:color w:val="FFFFFF"/>
                <w:sz w:val="17"/>
              </w:rPr>
              <w:t>Accountable Owner</w:t>
            </w:r>
          </w:p>
        </w:tc>
        <w:tc>
          <w:tcPr>
            <w:tcW w:type="dxa" w:w="1872"/>
            <w:shd w:val="clear" w:color="auto" w:fill="1B365D"/>
            <w:tcMar>
              <w:top w:w="100" w:type="dxa"/>
              <w:bottom w:w="100" w:type="dxa"/>
              <w:left w:w="80" w:type="dxa"/>
              <w:right w:w="80" w:type="dxa"/>
            </w:tcMar>
          </w:tcPr>
          <w:p>
            <w:pPr>
              <w:jc w:val="center"/>
            </w:pPr>
            <w:r>
              <w:rPr>
                <w:b/>
                <w:color w:val="FFFFFF"/>
                <w:sz w:val="17"/>
              </w:rPr>
              <w:t>Core Milestone Output</w:t>
            </w:r>
          </w:p>
        </w:tc>
        <w:tc>
          <w:tcPr>
            <w:tcW w:type="dxa" w:w="1872"/>
            <w:shd w:val="clear" w:color="auto" w:fill="1B365D"/>
            <w:tcMar>
              <w:top w:w="100" w:type="dxa"/>
              <w:bottom w:w="100" w:type="dxa"/>
              <w:left w:w="80" w:type="dxa"/>
              <w:right w:w="80" w:type="dxa"/>
            </w:tcMar>
          </w:tcPr>
          <w:p>
            <w:pPr>
              <w:jc w:val="center"/>
            </w:pPr>
            <w:r>
              <w:rPr>
                <w:b/>
                <w:color w:val="FFFFFF"/>
                <w:sz w:val="17"/>
              </w:rPr>
              <w:t>Success Criteria</w:t>
            </w:r>
          </w:p>
        </w:tc>
      </w:tr>
      <w:tr>
        <w:tc>
          <w:tcPr>
            <w:tcW w:type="dxa" w:w="1872"/>
            <w:shd w:val="clear" w:color="auto" w:fill="FFFFFF"/>
            <w:tcMar>
              <w:top w:w="80" w:type="dxa"/>
              <w:bottom w:w="80" w:type="dxa"/>
              <w:left w:w="80" w:type="dxa"/>
              <w:right w:w="80" w:type="dxa"/>
            </w:tcMar>
          </w:tcPr>
          <w:p>
            <w:pPr>
              <w:jc w:val="center"/>
            </w:pPr>
            <w:r>
              <w:rPr>
                <w:sz w:val="16"/>
              </w:rPr>
              <w:t>Phase 1: Planning</w:t>
              <w:br/>
              <w:t>(Weeks 1–2)</w:t>
            </w:r>
          </w:p>
        </w:tc>
        <w:tc>
          <w:tcPr>
            <w:tcW w:type="dxa" w:w="1872"/>
            <w:shd w:val="clear" w:color="auto" w:fill="FFFFFF"/>
            <w:tcMar>
              <w:top w:w="80" w:type="dxa"/>
              <w:bottom w:w="80" w:type="dxa"/>
              <w:left w:w="80" w:type="dxa"/>
              <w:right w:w="80" w:type="dxa"/>
            </w:tcMar>
          </w:tcPr>
          <w:p>
            <w:r>
              <w:rPr>
                <w:sz w:val="16"/>
              </w:rPr>
              <w:t>Validate 60 requisitions, salary bands, job descriptions, scorecards; configure CSB landing page &amp; CRM pools.</w:t>
            </w:r>
          </w:p>
        </w:tc>
        <w:tc>
          <w:tcPr>
            <w:tcW w:type="dxa" w:w="1872"/>
            <w:shd w:val="clear" w:color="auto" w:fill="FFFFFF"/>
            <w:tcMar>
              <w:top w:w="80" w:type="dxa"/>
              <w:bottom w:w="80" w:type="dxa"/>
              <w:left w:w="80" w:type="dxa"/>
              <w:right w:w="80" w:type="dxa"/>
            </w:tcMar>
          </w:tcPr>
          <w:p>
            <w:pPr>
              <w:jc w:val="center"/>
            </w:pPr>
            <w:r>
              <w:rPr>
                <w:sz w:val="16"/>
              </w:rPr>
              <w:t>Campaign Lead +</w:t>
              <w:br/>
              <w:t>HRBP</w:t>
            </w:r>
          </w:p>
        </w:tc>
        <w:tc>
          <w:tcPr>
            <w:tcW w:type="dxa" w:w="1872"/>
            <w:shd w:val="clear" w:color="auto" w:fill="FFFFFF"/>
            <w:tcMar>
              <w:top w:w="80" w:type="dxa"/>
              <w:bottom w:w="80" w:type="dxa"/>
              <w:left w:w="80" w:type="dxa"/>
              <w:right w:w="80" w:type="dxa"/>
            </w:tcMar>
          </w:tcPr>
          <w:p>
            <w:r>
              <w:rPr>
                <w:sz w:val="16"/>
              </w:rPr>
              <w:t>Approved Charter &amp;</w:t>
              <w:br/>
              <w:t>Configured Requisitions</w:t>
            </w:r>
          </w:p>
        </w:tc>
        <w:tc>
          <w:tcPr>
            <w:tcW w:type="dxa" w:w="1872"/>
            <w:shd w:val="clear" w:color="auto" w:fill="FFFFFF"/>
            <w:tcMar>
              <w:top w:w="80" w:type="dxa"/>
              <w:bottom w:w="80" w:type="dxa"/>
              <w:left w:w="80" w:type="dxa"/>
              <w:right w:w="80" w:type="dxa"/>
            </w:tcMar>
          </w:tcPr>
          <w:p>
            <w:r>
              <w:rPr>
                <w:sz w:val="16"/>
              </w:rPr>
              <w:t>100% requisitions signed off;</w:t>
              <w:br/>
              <w:t>scorecards live in RCM</w:t>
            </w:r>
          </w:p>
        </w:tc>
      </w:tr>
      <w:tr>
        <w:tc>
          <w:tcPr>
            <w:tcW w:type="dxa" w:w="1872"/>
            <w:shd w:val="clear" w:color="auto" w:fill="F9FBFD"/>
            <w:tcMar>
              <w:top w:w="80" w:type="dxa"/>
              <w:bottom w:w="80" w:type="dxa"/>
              <w:left w:w="80" w:type="dxa"/>
              <w:right w:w="80" w:type="dxa"/>
            </w:tcMar>
          </w:tcPr>
          <w:p>
            <w:pPr>
              <w:jc w:val="center"/>
            </w:pPr>
            <w:r>
              <w:rPr>
                <w:sz w:val="16"/>
              </w:rPr>
              <w:t>Phase 2: Build &amp; Test</w:t>
              <w:br/>
              <w:t>(Week 3)</w:t>
            </w:r>
          </w:p>
        </w:tc>
        <w:tc>
          <w:tcPr>
            <w:tcW w:type="dxa" w:w="1872"/>
            <w:shd w:val="clear" w:color="auto" w:fill="F9FBFD"/>
            <w:tcMar>
              <w:top w:w="80" w:type="dxa"/>
              <w:bottom w:w="80" w:type="dxa"/>
              <w:left w:w="80" w:type="dxa"/>
              <w:right w:w="80" w:type="dxa"/>
            </w:tcMar>
          </w:tcPr>
          <w:p>
            <w:r>
              <w:rPr>
                <w:sz w:val="16"/>
              </w:rPr>
              <w:t>Build media creative, referral communications, email drip templates; test end-to-end candidate application journey.</w:t>
            </w:r>
          </w:p>
        </w:tc>
        <w:tc>
          <w:tcPr>
            <w:tcW w:type="dxa" w:w="1872"/>
            <w:shd w:val="clear" w:color="auto" w:fill="F9FBFD"/>
            <w:tcMar>
              <w:top w:w="80" w:type="dxa"/>
              <w:bottom w:w="80" w:type="dxa"/>
              <w:left w:w="80" w:type="dxa"/>
              <w:right w:w="80" w:type="dxa"/>
            </w:tcMar>
          </w:tcPr>
          <w:p>
            <w:pPr>
              <w:jc w:val="center"/>
            </w:pPr>
            <w:r>
              <w:rPr>
                <w:sz w:val="16"/>
              </w:rPr>
              <w:t>HRIS Admin +</w:t>
              <w:br/>
              <w:t>Marketing Lead</w:t>
            </w:r>
          </w:p>
        </w:tc>
        <w:tc>
          <w:tcPr>
            <w:tcW w:type="dxa" w:w="1872"/>
            <w:shd w:val="clear" w:color="auto" w:fill="F9FBFD"/>
            <w:tcMar>
              <w:top w:w="80" w:type="dxa"/>
              <w:bottom w:w="80" w:type="dxa"/>
              <w:left w:w="80" w:type="dxa"/>
              <w:right w:w="80" w:type="dxa"/>
            </w:tcMar>
          </w:tcPr>
          <w:p>
            <w:r>
              <w:rPr>
                <w:sz w:val="16"/>
              </w:rPr>
              <w:t>Launch Readiness</w:t>
              <w:br/>
              <w:t>Sign-Off Certificate</w:t>
            </w:r>
          </w:p>
        </w:tc>
        <w:tc>
          <w:tcPr>
            <w:tcW w:type="dxa" w:w="1872"/>
            <w:shd w:val="clear" w:color="auto" w:fill="F9FBFD"/>
            <w:tcMar>
              <w:top w:w="80" w:type="dxa"/>
              <w:bottom w:w="80" w:type="dxa"/>
              <w:left w:w="80" w:type="dxa"/>
              <w:right w:w="80" w:type="dxa"/>
            </w:tcMar>
          </w:tcPr>
          <w:p>
            <w:r>
              <w:rPr>
                <w:sz w:val="16"/>
              </w:rPr>
              <w:t>Application test passes with</w:t>
              <w:br/>
              <w:t>zero XML/UTM errors</w:t>
            </w:r>
          </w:p>
        </w:tc>
      </w:tr>
      <w:tr>
        <w:tc>
          <w:tcPr>
            <w:tcW w:type="dxa" w:w="1872"/>
            <w:shd w:val="clear" w:color="auto" w:fill="FFFFFF"/>
            <w:tcMar>
              <w:top w:w="80" w:type="dxa"/>
              <w:bottom w:w="80" w:type="dxa"/>
              <w:left w:w="80" w:type="dxa"/>
              <w:right w:w="80" w:type="dxa"/>
            </w:tcMar>
          </w:tcPr>
          <w:p>
            <w:pPr>
              <w:jc w:val="center"/>
            </w:pPr>
            <w:r>
              <w:rPr>
                <w:sz w:val="16"/>
              </w:rPr>
              <w:t>Phase 3: Launch</w:t>
              <w:br/>
              <w:t>(Weeks 4–5)</w:t>
            </w:r>
          </w:p>
        </w:tc>
        <w:tc>
          <w:tcPr>
            <w:tcW w:type="dxa" w:w="1872"/>
            <w:shd w:val="clear" w:color="auto" w:fill="FFFFFF"/>
            <w:tcMar>
              <w:top w:w="80" w:type="dxa"/>
              <w:bottom w:w="80" w:type="dxa"/>
              <w:left w:w="80" w:type="dxa"/>
              <w:right w:w="80" w:type="dxa"/>
            </w:tcMar>
          </w:tcPr>
          <w:p>
            <w:r>
              <w:rPr>
                <w:sz w:val="16"/>
              </w:rPr>
              <w:t>Publish multi-channel postings; launch internal referral drive; deploy paid digital ads &amp; CRM email campaigns.</w:t>
            </w:r>
          </w:p>
        </w:tc>
        <w:tc>
          <w:tcPr>
            <w:tcW w:type="dxa" w:w="1872"/>
            <w:shd w:val="clear" w:color="auto" w:fill="FFFFFF"/>
            <w:tcMar>
              <w:top w:w="80" w:type="dxa"/>
              <w:bottom w:w="80" w:type="dxa"/>
              <w:left w:w="80" w:type="dxa"/>
              <w:right w:w="80" w:type="dxa"/>
            </w:tcMar>
          </w:tcPr>
          <w:p>
            <w:pPr>
              <w:jc w:val="center"/>
            </w:pPr>
            <w:r>
              <w:rPr>
                <w:sz w:val="16"/>
              </w:rPr>
              <w:t>Recruiters +</w:t>
              <w:br/>
              <w:t>Marketing Lead</w:t>
            </w:r>
          </w:p>
        </w:tc>
        <w:tc>
          <w:tcPr>
            <w:tcW w:type="dxa" w:w="1872"/>
            <w:shd w:val="clear" w:color="auto" w:fill="FFFFFF"/>
            <w:tcMar>
              <w:top w:w="80" w:type="dxa"/>
              <w:bottom w:w="80" w:type="dxa"/>
              <w:left w:w="80" w:type="dxa"/>
              <w:right w:w="80" w:type="dxa"/>
            </w:tcMar>
          </w:tcPr>
          <w:p>
            <w:r>
              <w:rPr>
                <w:sz w:val="16"/>
              </w:rPr>
              <w:t>Campaign Live Across</w:t>
              <w:br/>
              <w:t>All Channels</w:t>
            </w:r>
          </w:p>
        </w:tc>
        <w:tc>
          <w:tcPr>
            <w:tcW w:type="dxa" w:w="1872"/>
            <w:shd w:val="clear" w:color="auto" w:fill="FFFFFF"/>
            <w:tcMar>
              <w:top w:w="80" w:type="dxa"/>
              <w:bottom w:w="80" w:type="dxa"/>
              <w:left w:w="80" w:type="dxa"/>
              <w:right w:w="80" w:type="dxa"/>
            </w:tcMar>
          </w:tcPr>
          <w:p>
            <w:r>
              <w:rPr>
                <w:sz w:val="16"/>
              </w:rPr>
              <w:t>Target reached: ≥250 total</w:t>
              <w:br/>
              <w:t>applications by end of W5</w:t>
            </w:r>
          </w:p>
        </w:tc>
      </w:tr>
      <w:tr>
        <w:tc>
          <w:tcPr>
            <w:tcW w:type="dxa" w:w="1872"/>
            <w:shd w:val="clear" w:color="auto" w:fill="F9FBFD"/>
            <w:tcMar>
              <w:top w:w="80" w:type="dxa"/>
              <w:bottom w:w="80" w:type="dxa"/>
              <w:left w:w="80" w:type="dxa"/>
              <w:right w:w="80" w:type="dxa"/>
            </w:tcMar>
          </w:tcPr>
          <w:p>
            <w:pPr>
              <w:jc w:val="center"/>
            </w:pPr>
            <w:r>
              <w:rPr>
                <w:sz w:val="16"/>
              </w:rPr>
              <w:t>Phase 4: Screen</w:t>
              <w:br/>
              <w:t>(Weeks 5–8)</w:t>
            </w:r>
          </w:p>
        </w:tc>
        <w:tc>
          <w:tcPr>
            <w:tcW w:type="dxa" w:w="1872"/>
            <w:shd w:val="clear" w:color="auto" w:fill="F9FBFD"/>
            <w:tcMar>
              <w:top w:w="80" w:type="dxa"/>
              <w:bottom w:w="80" w:type="dxa"/>
              <w:left w:w="80" w:type="dxa"/>
              <w:right w:w="80" w:type="dxa"/>
            </w:tcMar>
          </w:tcPr>
          <w:p>
            <w:r>
              <w:rPr>
                <w:sz w:val="16"/>
              </w:rPr>
              <w:t>Daily resume triage; execute recruiter screening calls; conduct technical work sample assessments; shortlist.</w:t>
            </w:r>
          </w:p>
        </w:tc>
        <w:tc>
          <w:tcPr>
            <w:tcW w:type="dxa" w:w="1872"/>
            <w:shd w:val="clear" w:color="auto" w:fill="F9FBFD"/>
            <w:tcMar>
              <w:top w:w="80" w:type="dxa"/>
              <w:bottom w:w="80" w:type="dxa"/>
              <w:left w:w="80" w:type="dxa"/>
              <w:right w:w="80" w:type="dxa"/>
            </w:tcMar>
          </w:tcPr>
          <w:p>
            <w:pPr>
              <w:jc w:val="center"/>
            </w:pPr>
            <w:r>
              <w:rPr>
                <w:sz w:val="16"/>
              </w:rPr>
              <w:t>Recruiters +</w:t>
              <w:br/>
              <w:t>Hiring Managers</w:t>
            </w:r>
          </w:p>
        </w:tc>
        <w:tc>
          <w:tcPr>
            <w:tcW w:type="dxa" w:w="1872"/>
            <w:shd w:val="clear" w:color="auto" w:fill="F9FBFD"/>
            <w:tcMar>
              <w:top w:w="80" w:type="dxa"/>
              <w:bottom w:w="80" w:type="dxa"/>
              <w:left w:w="80" w:type="dxa"/>
              <w:right w:w="80" w:type="dxa"/>
            </w:tcMar>
          </w:tcPr>
          <w:p>
            <w:r>
              <w:rPr>
                <w:sz w:val="16"/>
              </w:rPr>
              <w:t>Qualified Shortlists per</w:t>
              <w:br/>
              <w:t>Job Family</w:t>
            </w:r>
          </w:p>
        </w:tc>
        <w:tc>
          <w:tcPr>
            <w:tcW w:type="dxa" w:w="1872"/>
            <w:shd w:val="clear" w:color="auto" w:fill="F9FBFD"/>
            <w:tcMar>
              <w:top w:w="80" w:type="dxa"/>
              <w:bottom w:w="80" w:type="dxa"/>
              <w:left w:w="80" w:type="dxa"/>
              <w:right w:w="80" w:type="dxa"/>
            </w:tcMar>
          </w:tcPr>
          <w:p>
            <w:r>
              <w:rPr>
                <w:sz w:val="16"/>
              </w:rPr>
              <w:t>Screening SLA: ≤3 days;</w:t>
              <w:br/>
              <w:t>Screen-to-interview: ≥62.5%</w:t>
            </w:r>
          </w:p>
        </w:tc>
      </w:tr>
      <w:tr>
        <w:tc>
          <w:tcPr>
            <w:tcW w:type="dxa" w:w="1872"/>
            <w:shd w:val="clear" w:color="auto" w:fill="FFFFFF"/>
            <w:tcMar>
              <w:top w:w="80" w:type="dxa"/>
              <w:bottom w:w="80" w:type="dxa"/>
              <w:left w:w="80" w:type="dxa"/>
              <w:right w:w="80" w:type="dxa"/>
            </w:tcMar>
          </w:tcPr>
          <w:p>
            <w:pPr>
              <w:jc w:val="center"/>
            </w:pPr>
            <w:r>
              <w:rPr>
                <w:sz w:val="16"/>
              </w:rPr>
              <w:t>Phase 5: Assess</w:t>
              <w:br/>
              <w:t>(Weeks 6–10)</w:t>
            </w:r>
          </w:p>
        </w:tc>
        <w:tc>
          <w:tcPr>
            <w:tcW w:type="dxa" w:w="1872"/>
            <w:shd w:val="clear" w:color="auto" w:fill="FFFFFF"/>
            <w:tcMar>
              <w:top w:w="80" w:type="dxa"/>
              <w:bottom w:w="80" w:type="dxa"/>
              <w:left w:w="80" w:type="dxa"/>
              <w:right w:w="80" w:type="dxa"/>
            </w:tcMar>
          </w:tcPr>
          <w:p>
            <w:r>
              <w:rPr>
                <w:sz w:val="16"/>
              </w:rPr>
              <w:t>Conduct structured panel interviews via Interview Central; complete scorecards within 48 hrs; run debriefs.</w:t>
            </w:r>
          </w:p>
        </w:tc>
        <w:tc>
          <w:tcPr>
            <w:tcW w:type="dxa" w:w="1872"/>
            <w:shd w:val="clear" w:color="auto" w:fill="FFFFFF"/>
            <w:tcMar>
              <w:top w:w="80" w:type="dxa"/>
              <w:bottom w:w="80" w:type="dxa"/>
              <w:left w:w="80" w:type="dxa"/>
              <w:right w:w="80" w:type="dxa"/>
            </w:tcMar>
          </w:tcPr>
          <w:p>
            <w:pPr>
              <w:jc w:val="center"/>
            </w:pPr>
            <w:r>
              <w:rPr>
                <w:sz w:val="16"/>
              </w:rPr>
              <w:t>Hiring Managers +</w:t>
              <w:br/>
              <w:t>Panelists</w:t>
            </w:r>
          </w:p>
        </w:tc>
        <w:tc>
          <w:tcPr>
            <w:tcW w:type="dxa" w:w="1872"/>
            <w:shd w:val="clear" w:color="auto" w:fill="FFFFFF"/>
            <w:tcMar>
              <w:top w:w="80" w:type="dxa"/>
              <w:bottom w:w="80" w:type="dxa"/>
              <w:left w:w="80" w:type="dxa"/>
              <w:right w:w="80" w:type="dxa"/>
            </w:tcMar>
          </w:tcPr>
          <w:p>
            <w:r>
              <w:rPr>
                <w:sz w:val="16"/>
              </w:rPr>
              <w:t>Selection Decisions</w:t>
              <w:br/>
              <w:t>Finalized</w:t>
            </w:r>
          </w:p>
        </w:tc>
        <w:tc>
          <w:tcPr>
            <w:tcW w:type="dxa" w:w="1872"/>
            <w:shd w:val="clear" w:color="auto" w:fill="FFFFFF"/>
            <w:tcMar>
              <w:top w:w="80" w:type="dxa"/>
              <w:bottom w:w="80" w:type="dxa"/>
              <w:left w:w="80" w:type="dxa"/>
              <w:right w:w="80" w:type="dxa"/>
            </w:tcMar>
          </w:tcPr>
          <w:p>
            <w:r>
              <w:rPr>
                <w:sz w:val="16"/>
              </w:rPr>
              <w:t>100% scorecard completion;</w:t>
              <w:br/>
              <w:t>Interview-to-offer: ≥44.7%</w:t>
            </w:r>
          </w:p>
        </w:tc>
      </w:tr>
      <w:tr>
        <w:tc>
          <w:tcPr>
            <w:tcW w:type="dxa" w:w="1872"/>
            <w:shd w:val="clear" w:color="auto" w:fill="F9FBFD"/>
            <w:tcMar>
              <w:top w:w="80" w:type="dxa"/>
              <w:bottom w:w="80" w:type="dxa"/>
              <w:left w:w="80" w:type="dxa"/>
              <w:right w:w="80" w:type="dxa"/>
            </w:tcMar>
          </w:tcPr>
          <w:p>
            <w:pPr>
              <w:jc w:val="center"/>
            </w:pPr>
            <w:r>
              <w:rPr>
                <w:sz w:val="16"/>
              </w:rPr>
              <w:t>Phase 6: Offer</w:t>
              <w:br/>
              <w:t>(Weeks 8–11)</w:t>
            </w:r>
          </w:p>
        </w:tc>
        <w:tc>
          <w:tcPr>
            <w:tcW w:type="dxa" w:w="1872"/>
            <w:shd w:val="clear" w:color="auto" w:fill="F9FBFD"/>
            <w:tcMar>
              <w:top w:w="80" w:type="dxa"/>
              <w:bottom w:w="80" w:type="dxa"/>
              <w:left w:w="80" w:type="dxa"/>
              <w:right w:w="80" w:type="dxa"/>
            </w:tcMar>
          </w:tcPr>
          <w:p>
            <w:r>
              <w:rPr>
                <w:sz w:val="16"/>
              </w:rPr>
              <w:t>Route compensation approvals; issue digital offers; conduct verbal sell calls; track acceptances &amp; backfills.</w:t>
            </w:r>
          </w:p>
        </w:tc>
        <w:tc>
          <w:tcPr>
            <w:tcW w:type="dxa" w:w="1872"/>
            <w:shd w:val="clear" w:color="auto" w:fill="F9FBFD"/>
            <w:tcMar>
              <w:top w:w="80" w:type="dxa"/>
              <w:bottom w:w="80" w:type="dxa"/>
              <w:left w:w="80" w:type="dxa"/>
              <w:right w:w="80" w:type="dxa"/>
            </w:tcMar>
          </w:tcPr>
          <w:p>
            <w:pPr>
              <w:jc w:val="center"/>
            </w:pPr>
            <w:r>
              <w:rPr>
                <w:sz w:val="16"/>
              </w:rPr>
              <w:t>Recruiters +</w:t>
              <w:br/>
              <w:t>HRBP</w:t>
            </w:r>
          </w:p>
        </w:tc>
        <w:tc>
          <w:tcPr>
            <w:tcW w:type="dxa" w:w="1872"/>
            <w:shd w:val="clear" w:color="auto" w:fill="F9FBFD"/>
            <w:tcMar>
              <w:top w:w="80" w:type="dxa"/>
              <w:bottom w:w="80" w:type="dxa"/>
              <w:left w:w="80" w:type="dxa"/>
              <w:right w:w="80" w:type="dxa"/>
            </w:tcMar>
          </w:tcPr>
          <w:p>
            <w:r>
              <w:rPr>
                <w:sz w:val="16"/>
              </w:rPr>
              <w:t>Target Accepted Offers</w:t>
              <w:br/>
              <w:t>(60 Total)</w:t>
            </w:r>
          </w:p>
        </w:tc>
        <w:tc>
          <w:tcPr>
            <w:tcW w:type="dxa" w:w="1872"/>
            <w:shd w:val="clear" w:color="auto" w:fill="F9FBFD"/>
            <w:tcMar>
              <w:top w:w="80" w:type="dxa"/>
              <w:bottom w:w="80" w:type="dxa"/>
              <w:left w:w="80" w:type="dxa"/>
              <w:right w:w="80" w:type="dxa"/>
            </w:tcMar>
          </w:tcPr>
          <w:p>
            <w:r>
              <w:rPr>
                <w:sz w:val="16"/>
              </w:rPr>
              <w:t>Offer Acceptance Rate ≥90%;</w:t>
              <w:br/>
              <w:t>Decline reasons logged</w:t>
            </w:r>
          </w:p>
        </w:tc>
      </w:tr>
      <w:tr>
        <w:tc>
          <w:tcPr>
            <w:tcW w:type="dxa" w:w="1872"/>
            <w:shd w:val="clear" w:color="auto" w:fill="FFFFFF"/>
            <w:tcMar>
              <w:top w:w="80" w:type="dxa"/>
              <w:bottom w:w="80" w:type="dxa"/>
              <w:left w:w="80" w:type="dxa"/>
              <w:right w:w="80" w:type="dxa"/>
            </w:tcMar>
          </w:tcPr>
          <w:p>
            <w:pPr>
              <w:jc w:val="center"/>
            </w:pPr>
            <w:r>
              <w:rPr>
                <w:sz w:val="16"/>
              </w:rPr>
              <w:t>Phase 7: Pre-Board</w:t>
              <w:br/>
              <w:t>(Weeks 9–12)</w:t>
            </w:r>
          </w:p>
        </w:tc>
        <w:tc>
          <w:tcPr>
            <w:tcW w:type="dxa" w:w="1872"/>
            <w:shd w:val="clear" w:color="auto" w:fill="FFFFFF"/>
            <w:tcMar>
              <w:top w:w="80" w:type="dxa"/>
              <w:bottom w:w="80" w:type="dxa"/>
              <w:left w:w="80" w:type="dxa"/>
              <w:right w:w="80" w:type="dxa"/>
            </w:tcMar>
          </w:tcPr>
          <w:p>
            <w:r>
              <w:rPr>
                <w:sz w:val="16"/>
              </w:rPr>
              <w:t>Initiate SuccessFactors Onboarding; complete background checks, document collection, IT asset ordering.</w:t>
            </w:r>
          </w:p>
        </w:tc>
        <w:tc>
          <w:tcPr>
            <w:tcW w:type="dxa" w:w="1872"/>
            <w:shd w:val="clear" w:color="auto" w:fill="FFFFFF"/>
            <w:tcMar>
              <w:top w:w="80" w:type="dxa"/>
              <w:bottom w:w="80" w:type="dxa"/>
              <w:left w:w="80" w:type="dxa"/>
              <w:right w:w="80" w:type="dxa"/>
            </w:tcMar>
          </w:tcPr>
          <w:p>
            <w:pPr>
              <w:jc w:val="center"/>
            </w:pPr>
            <w:r>
              <w:rPr>
                <w:sz w:val="16"/>
              </w:rPr>
              <w:t>Onboarding Lead +</w:t>
              <w:br/>
              <w:t>Line Managers</w:t>
            </w:r>
          </w:p>
        </w:tc>
        <w:tc>
          <w:tcPr>
            <w:tcW w:type="dxa" w:w="1872"/>
            <w:shd w:val="clear" w:color="auto" w:fill="FFFFFF"/>
            <w:tcMar>
              <w:top w:w="80" w:type="dxa"/>
              <w:bottom w:w="80" w:type="dxa"/>
              <w:left w:w="80" w:type="dxa"/>
              <w:right w:w="80" w:type="dxa"/>
            </w:tcMar>
          </w:tcPr>
          <w:p>
            <w:r>
              <w:rPr>
                <w:sz w:val="16"/>
              </w:rPr>
              <w:t>Day-1 Readiness</w:t>
              <w:br/>
              <w:t>Checklist Signed</w:t>
            </w:r>
          </w:p>
        </w:tc>
        <w:tc>
          <w:tcPr>
            <w:tcW w:type="dxa" w:w="1872"/>
            <w:shd w:val="clear" w:color="auto" w:fill="FFFFFF"/>
            <w:tcMar>
              <w:top w:w="80" w:type="dxa"/>
              <w:bottom w:w="80" w:type="dxa"/>
              <w:left w:w="80" w:type="dxa"/>
              <w:right w:w="80" w:type="dxa"/>
            </w:tcMar>
          </w:tcPr>
          <w:p>
            <w:r>
              <w:rPr>
                <w:sz w:val="16"/>
              </w:rPr>
              <w:t>≥95% new hires complete</w:t>
              <w:br/>
              <w:t>pre-boarding tasks prior to D1</w:t>
            </w:r>
          </w:p>
        </w:tc>
      </w:tr>
      <w:tr>
        <w:tc>
          <w:tcPr>
            <w:tcW w:type="dxa" w:w="1872"/>
            <w:shd w:val="clear" w:color="auto" w:fill="F9FBFD"/>
            <w:tcMar>
              <w:top w:w="80" w:type="dxa"/>
              <w:bottom w:w="80" w:type="dxa"/>
              <w:left w:w="80" w:type="dxa"/>
              <w:right w:w="80" w:type="dxa"/>
            </w:tcMar>
          </w:tcPr>
          <w:p>
            <w:pPr>
              <w:jc w:val="center"/>
            </w:pPr>
            <w:r>
              <w:rPr>
                <w:sz w:val="16"/>
              </w:rPr>
              <w:t>Phase 8: Review</w:t>
              <w:br/>
              <w:t>(Weeks 11–12)</w:t>
            </w:r>
          </w:p>
        </w:tc>
        <w:tc>
          <w:tcPr>
            <w:tcW w:type="dxa" w:w="1872"/>
            <w:shd w:val="clear" w:color="auto" w:fill="F9FBFD"/>
            <w:tcMar>
              <w:top w:w="80" w:type="dxa"/>
              <w:bottom w:w="80" w:type="dxa"/>
              <w:left w:w="80" w:type="dxa"/>
              <w:right w:w="80" w:type="dxa"/>
            </w:tcMar>
          </w:tcPr>
          <w:p>
            <w:r>
              <w:rPr>
                <w:sz w:val="16"/>
              </w:rPr>
              <w:t>Aggregate final campaign data; evaluate cost per hire, channel yield, SLA compliance; hold lessons learned.</w:t>
            </w:r>
          </w:p>
        </w:tc>
        <w:tc>
          <w:tcPr>
            <w:tcW w:type="dxa" w:w="1872"/>
            <w:shd w:val="clear" w:color="auto" w:fill="F9FBFD"/>
            <w:tcMar>
              <w:top w:w="80" w:type="dxa"/>
              <w:bottom w:w="80" w:type="dxa"/>
              <w:left w:w="80" w:type="dxa"/>
              <w:right w:w="80" w:type="dxa"/>
            </w:tcMar>
          </w:tcPr>
          <w:p>
            <w:pPr>
              <w:jc w:val="center"/>
            </w:pPr>
            <w:r>
              <w:rPr>
                <w:sz w:val="16"/>
              </w:rPr>
              <w:t>Campaign Lead +</w:t>
              <w:br/>
              <w:t>Analytics Lead</w:t>
            </w:r>
          </w:p>
        </w:tc>
        <w:tc>
          <w:tcPr>
            <w:tcW w:type="dxa" w:w="1872"/>
            <w:shd w:val="clear" w:color="auto" w:fill="F9FBFD"/>
            <w:tcMar>
              <w:top w:w="80" w:type="dxa"/>
              <w:bottom w:w="80" w:type="dxa"/>
              <w:left w:w="80" w:type="dxa"/>
              <w:right w:w="80" w:type="dxa"/>
            </w:tcMar>
          </w:tcPr>
          <w:p>
            <w:r>
              <w:rPr>
                <w:sz w:val="16"/>
              </w:rPr>
              <w:t>Final Closeout Report &amp;</w:t>
              <w:br/>
              <w:t>Retrospective Document</w:t>
            </w:r>
          </w:p>
        </w:tc>
        <w:tc>
          <w:tcPr>
            <w:tcW w:type="dxa" w:w="1872"/>
            <w:shd w:val="clear" w:color="auto" w:fill="F9FBFD"/>
            <w:tcMar>
              <w:top w:w="80" w:type="dxa"/>
              <w:bottom w:w="80" w:type="dxa"/>
              <w:left w:w="80" w:type="dxa"/>
              <w:right w:w="80" w:type="dxa"/>
            </w:tcMar>
          </w:tcPr>
          <w:p>
            <w:r>
              <w:rPr>
                <w:sz w:val="16"/>
              </w:rPr>
              <w:t>Document submitted to Sponsor;</w:t>
              <w:br/>
              <w:t>recommendations captured</w:t>
            </w:r>
          </w:p>
        </w:tc>
      </w:tr>
      <w:tr>
        <w:tc>
          <w:tcPr>
            <w:tcW w:type="dxa" w:w="1872"/>
            <w:shd w:val="clear" w:color="auto" w:fill="FFFFFF"/>
            <w:tcMar>
              <w:top w:w="80" w:type="dxa"/>
              <w:bottom w:w="80" w:type="dxa"/>
              <w:left w:w="80" w:type="dxa"/>
              <w:right w:w="80" w:type="dxa"/>
            </w:tcMar>
          </w:tcPr>
          <w:p>
            <w:pPr>
              <w:jc w:val="center"/>
            </w:pPr>
            <w:r>
              <w:rPr>
                <w:sz w:val="16"/>
              </w:rPr>
              <w:t>Post-Campaign</w:t>
              <w:br/>
              <w:t>(Days 30/60/90)</w:t>
            </w:r>
          </w:p>
        </w:tc>
        <w:tc>
          <w:tcPr>
            <w:tcW w:type="dxa" w:w="1872"/>
            <w:shd w:val="clear" w:color="auto" w:fill="FFFFFF"/>
            <w:tcMar>
              <w:top w:w="80" w:type="dxa"/>
              <w:bottom w:w="80" w:type="dxa"/>
              <w:left w:w="80" w:type="dxa"/>
              <w:right w:w="80" w:type="dxa"/>
            </w:tcMar>
          </w:tcPr>
          <w:p>
            <w:r>
              <w:rPr>
                <w:sz w:val="16"/>
              </w:rPr>
              <w:t>Execute Qualtrics onboarding pulse surveys; monitor LMS completion; track 90-day early turnover.</w:t>
            </w:r>
          </w:p>
        </w:tc>
        <w:tc>
          <w:tcPr>
            <w:tcW w:type="dxa" w:w="1872"/>
            <w:shd w:val="clear" w:color="auto" w:fill="FFFFFF"/>
            <w:tcMar>
              <w:top w:w="80" w:type="dxa"/>
              <w:bottom w:w="80" w:type="dxa"/>
              <w:left w:w="80" w:type="dxa"/>
              <w:right w:w="80" w:type="dxa"/>
            </w:tcMar>
          </w:tcPr>
          <w:p>
            <w:pPr>
              <w:jc w:val="center"/>
            </w:pPr>
            <w:r>
              <w:rPr>
                <w:sz w:val="16"/>
              </w:rPr>
              <w:t>Onboarding Lead +</w:t>
              <w:br/>
              <w:t>HRBP</w:t>
            </w:r>
          </w:p>
        </w:tc>
        <w:tc>
          <w:tcPr>
            <w:tcW w:type="dxa" w:w="1872"/>
            <w:shd w:val="clear" w:color="auto" w:fill="FFFFFF"/>
            <w:tcMar>
              <w:top w:w="80" w:type="dxa"/>
              <w:bottom w:w="80" w:type="dxa"/>
              <w:left w:w="80" w:type="dxa"/>
              <w:right w:w="80" w:type="dxa"/>
            </w:tcMar>
          </w:tcPr>
          <w:p>
            <w:r>
              <w:rPr>
                <w:sz w:val="16"/>
              </w:rPr>
              <w:t>90-Day Retention &amp;</w:t>
              <w:br/>
              <w:t>Effectiveness Audit</w:t>
            </w:r>
          </w:p>
        </w:tc>
        <w:tc>
          <w:tcPr>
            <w:tcW w:type="dxa" w:w="1872"/>
            <w:shd w:val="clear" w:color="auto" w:fill="FFFFFF"/>
            <w:tcMar>
              <w:top w:w="80" w:type="dxa"/>
              <w:bottom w:w="80" w:type="dxa"/>
              <w:left w:w="80" w:type="dxa"/>
              <w:right w:w="80" w:type="dxa"/>
            </w:tcMar>
          </w:tcPr>
          <w:p>
            <w:r>
              <w:rPr>
                <w:sz w:val="16"/>
              </w:rPr>
              <w:t>Day-30 tasks ≥95%;</w:t>
              <w:br/>
              <w:t>90-day retention ≥95%</w:t>
            </w:r>
          </w:p>
        </w:tc>
      </w:tr>
    </w:tbl>
    <w:p>
      <w:pPr>
        <w:spacing w:after="240"/>
      </w:pPr>
    </w:p>
    <w:p>
      <w:pPr>
        <w:keepNext/>
        <w:spacing w:before="360" w:after="120"/>
      </w:pPr>
      <w:r>
        <w:rPr>
          <w:rFonts w:ascii="Calibri" w:hAnsi="Calibri"/>
          <w:b/>
          <w:color w:val="1B365D"/>
          <w:sz w:val="30"/>
        </w:rPr>
        <w:t>6. Step-by-Step Execution Plan</w:t>
      </w:r>
    </w:p>
    <w:p>
      <w:pPr>
        <w:keepNext/>
        <w:spacing w:before="280" w:after="80"/>
      </w:pPr>
      <w:r>
        <w:rPr>
          <w:rFonts w:ascii="Calibri" w:hAnsi="Calibri"/>
          <w:b/>
          <w:color w:val="2E6B9E"/>
          <w:sz w:val="25"/>
        </w:rPr>
        <w:t>Step 1: Requisition Diagnosis &amp; Calibration Workshop</w:t>
      </w:r>
    </w:p>
    <w:p>
      <w:pPr>
        <w:spacing w:after="120" w:line="276" w:lineRule="auto"/>
      </w:pPr>
      <w:r>
        <w:t>Recruiters and Hiring Managers hold mandatory calibration workshops for each job family. Define core role deliverables, required software/technical competencies (e.g., C/C++, MATLAB, CANoe, PLC programming), safety certifications, and compensation parameters. Lock job requisitions in RCM.</w:t>
      </w:r>
    </w:p>
    <w:p>
      <w:pPr>
        <w:keepNext/>
        <w:spacing w:before="280" w:after="80"/>
      </w:pPr>
      <w:r>
        <w:rPr>
          <w:rFonts w:ascii="Calibri" w:hAnsi="Calibri"/>
          <w:b/>
          <w:color w:val="2E6B9E"/>
          <w:sz w:val="25"/>
        </w:rPr>
        <w:t>Step 2: Employer Value Proposition &amp; Asset Creation</w:t>
      </w:r>
    </w:p>
    <w:p>
      <w:pPr>
        <w:spacing w:after="120" w:line="276" w:lineRule="auto"/>
      </w:pPr>
      <w:r>
        <w:t>Marketing and Recruiting produce job-family-specific collateral, mobile-friendly CSB landing content, EV engineer day-in-the-life short videos, and standardized email outreach templates highlighting Apex Mobility's innovation and safety culture.</w:t>
      </w:r>
    </w:p>
    <w:p>
      <w:pPr>
        <w:keepNext/>
        <w:spacing w:before="280" w:after="80"/>
      </w:pPr>
      <w:r>
        <w:rPr>
          <w:rFonts w:ascii="Calibri" w:hAnsi="Calibri"/>
          <w:b/>
          <w:color w:val="2E6B9E"/>
          <w:sz w:val="25"/>
        </w:rPr>
        <w:t>Step 3: Multi-Channel Sourcing Activation</w:t>
      </w:r>
    </w:p>
    <w:p>
      <w:pPr>
        <w:spacing w:after="120" w:line="276" w:lineRule="auto"/>
      </w:pPr>
      <w:r>
        <w:t>Deploy postings simultaneously via Recruiting Posting across targeted job boards, technical association sites, and university partner portals. Activate organic social posting and CRM talent pool email outreach.</w:t>
      </w:r>
    </w:p>
    <w:p>
      <w:pPr>
        <w:keepNext/>
        <w:spacing w:before="280" w:after="80"/>
      </w:pPr>
      <w:r>
        <w:rPr>
          <w:rFonts w:ascii="Calibri" w:hAnsi="Calibri"/>
          <w:b/>
          <w:color w:val="2E6B9E"/>
          <w:sz w:val="25"/>
        </w:rPr>
        <w:t>Step 4: Internal Referral Drive Kick-Off</w:t>
      </w:r>
    </w:p>
    <w:p>
      <w:pPr>
        <w:spacing w:after="120" w:line="276" w:lineRule="auto"/>
      </w:pPr>
      <w:r>
        <w:t>Launch employee referral initiative with executive endorsement video. Distribute social-sharing assets and referral guide. Publish open roles on the Employee Central internal portal with clear tracking and incentive terms.</w:t>
      </w:r>
    </w:p>
    <w:p>
      <w:pPr>
        <w:keepNext/>
        <w:spacing w:before="280" w:after="80"/>
      </w:pPr>
      <w:r>
        <w:rPr>
          <w:rFonts w:ascii="Calibri" w:hAnsi="Calibri"/>
          <w:b/>
          <w:color w:val="2E6B9E"/>
          <w:sz w:val="25"/>
        </w:rPr>
        <w:t>Step 5: Daily Resume Triage &amp; Screening</w:t>
      </w:r>
    </w:p>
    <w:p>
      <w:pPr>
        <w:spacing w:after="120" w:line="276" w:lineRule="auto"/>
      </w:pPr>
      <w:r>
        <w:t>Recruiters process incoming applications daily against mandatory job prerequisites. Conduct 20-minute structured phone screens evaluating salary fit, location flexibility, notice period, and fundamental technical alignment.</w:t>
      </w:r>
    </w:p>
    <w:p>
      <w:pPr>
        <w:keepNext/>
        <w:spacing w:before="280" w:after="80"/>
      </w:pPr>
      <w:r>
        <w:rPr>
          <w:rFonts w:ascii="Calibri" w:hAnsi="Calibri"/>
          <w:b/>
          <w:color w:val="2E6B9E"/>
          <w:sz w:val="25"/>
        </w:rPr>
        <w:t>Step 6: Work Sample &amp; Structured Panel Assessment</w:t>
      </w:r>
    </w:p>
    <w:p>
      <w:pPr>
        <w:spacing w:after="120" w:line="276" w:lineRule="auto"/>
      </w:pPr>
      <w:r>
        <w:t>Qualified applicants complete standardized technical work samples (e.g., battery circuit simulation, software debugging, quality defect identification). Candidates passing assessments move to panel interviews via Interview Central.</w:t>
      </w:r>
    </w:p>
    <w:p>
      <w:pPr>
        <w:keepNext/>
        <w:spacing w:before="280" w:after="80"/>
      </w:pPr>
      <w:r>
        <w:rPr>
          <w:rFonts w:ascii="Calibri" w:hAnsi="Calibri"/>
          <w:b/>
          <w:color w:val="2E6B9E"/>
          <w:sz w:val="25"/>
        </w:rPr>
        <w:t>Step 7: Background Verification, Offer Routing &amp; Closing</w:t>
      </w:r>
    </w:p>
    <w:p>
      <w:pPr>
        <w:spacing w:after="120" w:line="276" w:lineRule="auto"/>
      </w:pPr>
      <w:r>
        <w:t>Initiate pre-employment verification upon interview clearance. Route formal offer packages through RCM approval chains. Recruiter and Hiring Manager conduct verbal offer extension call within 24 hours of approval.</w:t>
      </w:r>
    </w:p>
    <w:p>
      <w:pPr>
        <w:keepNext/>
        <w:spacing w:before="280" w:after="80"/>
      </w:pPr>
      <w:r>
        <w:rPr>
          <w:rFonts w:ascii="Calibri" w:hAnsi="Calibri"/>
          <w:b/>
          <w:color w:val="2E6B9E"/>
          <w:sz w:val="25"/>
        </w:rPr>
        <w:t>Step 8: Pre-Boarding &amp; IT/Facility Integration</w:t>
      </w:r>
    </w:p>
    <w:p>
      <w:pPr>
        <w:spacing w:after="120" w:line="276" w:lineRule="auto"/>
      </w:pPr>
      <w:r>
        <w:t>Trigger SuccessFactors Onboarding upon offer acceptance. Guide candidates through digital document submission, order IT equipment and safety gear, assign LMS orientation modules, and assign a department buddy.</w:t>
      </w:r>
    </w:p>
    <w:p>
      <w:pPr>
        <w:keepNext/>
        <w:spacing w:before="280" w:after="80"/>
      </w:pPr>
      <w:r>
        <w:rPr>
          <w:rFonts w:ascii="Calibri" w:hAnsi="Calibri"/>
          <w:b/>
          <w:color w:val="2E6B9E"/>
          <w:sz w:val="25"/>
        </w:rPr>
        <w:t>Step 9: Post-Campaign Review &amp; Continuous Improvement</w:t>
      </w:r>
    </w:p>
    <w:p>
      <w:pPr>
        <w:spacing w:after="120" w:line="276" w:lineRule="auto"/>
      </w:pPr>
      <w:r>
        <w:t>Conduct formal closeout retrospective at Week 12. Evaluate channel efficiency, interview load, and SLA adherence. Track cohort metrics at 30, 60, and 90 days post-start date to drive operational refinement.</w:t>
      </w:r>
    </w:p>
    <w:p>
      <w:pPr>
        <w:keepNext/>
        <w:spacing w:before="360" w:after="120"/>
      </w:pPr>
      <w:r>
        <w:rPr>
          <w:rFonts w:ascii="Calibri" w:hAnsi="Calibri"/>
          <w:b/>
          <w:color w:val="1B365D"/>
          <w:sz w:val="30"/>
        </w:rPr>
        <w:t>7. Digital Sourcing &amp; Employee Referral Strategy</w:t>
      </w:r>
    </w:p>
    <w:p>
      <w:pPr>
        <w:spacing w:after="120" w:line="276" w:lineRule="auto"/>
      </w:pPr>
      <w:r>
        <w:t>The digital sourcing framework blends organic employee advocacy, targeted multi-channel digital attraction, and structured CRM talent pool marketing into a unified acquisition engine.</w:t>
      </w:r>
    </w:p>
    <w:p>
      <w:pPr>
        <w:keepNext/>
        <w:spacing w:before="280" w:after="80"/>
      </w:pPr>
      <w:r>
        <w:rPr>
          <w:rFonts w:ascii="Calibri" w:hAnsi="Calibri"/>
          <w:b/>
          <w:color w:val="2E6B9E"/>
          <w:sz w:val="25"/>
        </w:rPr>
        <w:t>Multi-Channel Digital Strategy</w:t>
      </w:r>
    </w:p>
    <w:p>
      <w:pPr>
        <w:spacing w:after="120" w:line="276" w:lineRule="auto"/>
      </w:pPr>
      <w:r>
        <w:t>Sourcing channels are structured according to job family characteristics to optimize budget and candidate quality:</w:t>
      </w:r>
    </w:p>
    <w:p>
      <w:pPr>
        <w:spacing w:after="120" w:line="276" w:lineRule="auto"/>
      </w:pPr>
      <w:r>
        <w:rPr>
          <w:b/>
          <w:color w:val="1B365D"/>
        </w:rPr>
        <w:t xml:space="preserve">• Specialized Channels: </w:t>
      </w:r>
      <w:r>
        <w:t xml:space="preserve">EV &amp; Software Engineers: </w:t>
      </w:r>
    </w:p>
    <w:p>
      <w:pPr>
        <w:spacing w:after="120" w:line="276" w:lineRule="auto"/>
      </w:pPr>
      <w:r>
        <w:t>Targeted campaigns on LinkedIn Recruiter, GitHub, IEEE Job Site, SAE International portal, and niche EV software communities.</w:t>
      </w:r>
    </w:p>
    <w:p>
      <w:pPr>
        <w:spacing w:after="120" w:line="276" w:lineRule="auto"/>
      </w:pPr>
      <w:r>
        <w:rPr>
          <w:b/>
          <w:color w:val="1B365D"/>
        </w:rPr>
        <w:t xml:space="preserve">• Regional &amp; Vocational Channels: </w:t>
      </w:r>
      <w:r>
        <w:t xml:space="preserve">Production &amp; Maintenance Technicians: </w:t>
      </w:r>
    </w:p>
    <w:p>
      <w:pPr>
        <w:spacing w:after="120" w:line="276" w:lineRule="auto"/>
      </w:pPr>
      <w:r>
        <w:t>Local technical institute job portals (ITI/Polytechnic networks), regional trade boards, and geotargeted mobile ad campaigns.</w:t>
      </w:r>
    </w:p>
    <w:p>
      <w:pPr>
        <w:spacing w:after="120" w:line="276" w:lineRule="auto"/>
      </w:pPr>
      <w:r>
        <w:rPr>
          <w:b/>
          <w:color w:val="1B365D"/>
        </w:rPr>
        <w:t xml:space="preserve">• Professional Portals: </w:t>
      </w:r>
      <w:r>
        <w:t xml:space="preserve">Supply Chain &amp; Service Roles: </w:t>
      </w:r>
    </w:p>
    <w:p>
      <w:pPr>
        <w:spacing w:after="120" w:line="276" w:lineRule="auto"/>
      </w:pPr>
      <w:r>
        <w:t>Supply chain association portals, automotive service network groups, and general professional job boards.</w:t>
      </w:r>
    </w:p>
    <w:p>
      <w:pPr>
        <w:keepNext/>
        <w:spacing w:before="280" w:after="80"/>
      </w:pPr>
      <w:r>
        <w:rPr>
          <w:rFonts w:ascii="Calibri" w:hAnsi="Calibri"/>
          <w:b/>
          <w:color w:val="2E6B9E"/>
          <w:sz w:val="25"/>
        </w:rPr>
        <w:t>Employee Referral Program Safeguards &amp; Workflow</w:t>
      </w:r>
    </w:p>
    <w:p>
      <w:pPr>
        <w:spacing w:after="120" w:line="276" w:lineRule="auto"/>
      </w:pPr>
      <w:r>
        <w:t>Employee referrals represent a top-quality sourcing channel. The campaign implements strict workflow safeguards:</w:t>
      </w:r>
    </w:p>
    <w:p>
      <w:pPr>
        <w:spacing w:after="120" w:line="276" w:lineRule="auto"/>
      </w:pPr>
      <w:r>
        <w:t>1. Submission Gateway: Referrals must be registered via the Employee Central Referral Portal prior to candidate application to establish attribution.</w:t>
      </w:r>
    </w:p>
    <w:p>
      <w:pPr>
        <w:spacing w:after="120" w:line="276" w:lineRule="auto"/>
      </w:pPr>
      <w:r>
        <w:t>2. Candidate Consent: Referring employees must confirm candidate consent before submitting personal contact information.</w:t>
      </w:r>
    </w:p>
    <w:p>
      <w:pPr>
        <w:spacing w:after="120" w:line="276" w:lineRule="auto"/>
      </w:pPr>
      <w:r>
        <w:t>3. Fair Selection: Referred candidates undergo identical structured screening, technical assessment, and panel evaluation as external applicants; no preferential scoring is permitted.</w:t>
      </w:r>
    </w:p>
    <w:p>
      <w:pPr>
        <w:spacing w:after="120" w:line="276" w:lineRule="auto"/>
      </w:pPr>
      <w:r>
        <w:t>4. Automated Payout Triggers: Referral bonuses (e.g., ₹40,000 for technical roles) are split into two automated payroll payouts via Employee Central integration: 50% paid upon candidate start date, and 50% paid upon successful completion of the 90-day retention milestone.</w:t>
      </w:r>
    </w:p>
    <w:p>
      <w:pPr>
        <w:keepNext/>
        <w:spacing w:before="360" w:after="120"/>
      </w:pPr>
      <w:r>
        <w:rPr>
          <w:rFonts w:ascii="Calibri" w:hAnsi="Calibri"/>
          <w:b/>
          <w:color w:val="1B365D"/>
          <w:sz w:val="30"/>
        </w:rPr>
        <w:t>8. Measurement Framework &amp; KPI Architecture</w:t>
      </w:r>
    </w:p>
    <w:p>
      <w:pPr>
        <w:spacing w:after="120" w:line="276" w:lineRule="auto"/>
      </w:pPr>
      <w:r>
        <w:t>Recruitment effectiveness is evaluated through a mathematically calibrated funnel, standardized KPI metrics, and structured feedback mechanisms.</w:t>
      </w:r>
    </w:p>
    <w:p>
      <w:pPr>
        <w:keepNext/>
        <w:spacing w:before="280" w:after="80"/>
      </w:pPr>
      <w:r>
        <w:rPr>
          <w:rFonts w:ascii="Calibri" w:hAnsi="Calibri"/>
          <w:b/>
          <w:color w:val="2E6B9E"/>
          <w:sz w:val="25"/>
        </w:rPr>
        <w:t>8.1 Calibrated Funnel Math &amp; Conversion Expectations</w:t>
      </w:r>
    </w:p>
    <w:p>
      <w:pPr>
        <w:spacing w:after="120" w:line="276" w:lineRule="auto"/>
      </w:pPr>
      <w:r>
        <w:t>To secure 60 accepted offers while maintaining a target offer acceptance rate of ≥90%, the campaign requires extended offers to exactly 67 qualified candidates. The recruitment funnel is modeled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Mar>
              <w:top w:w="100" w:type="dxa"/>
              <w:bottom w:w="100" w:type="dxa"/>
              <w:left w:w="80" w:type="dxa"/>
              <w:right w:w="80" w:type="dxa"/>
            </w:tcMar>
          </w:tcPr>
          <w:p>
            <w:pPr>
              <w:jc w:val="center"/>
            </w:pPr>
            <w:r>
              <w:rPr>
                <w:b/>
                <w:color w:val="FFFFFF"/>
                <w:sz w:val="17"/>
              </w:rPr>
              <w:t>Funnel Stage</w:t>
            </w:r>
          </w:p>
        </w:tc>
        <w:tc>
          <w:tcPr>
            <w:tcW w:type="dxa" w:w="1872"/>
            <w:shd w:val="clear" w:color="auto" w:fill="1B365D"/>
            <w:tcMar>
              <w:top w:w="100" w:type="dxa"/>
              <w:bottom w:w="100" w:type="dxa"/>
              <w:left w:w="80" w:type="dxa"/>
              <w:right w:w="80" w:type="dxa"/>
            </w:tcMar>
          </w:tcPr>
          <w:p>
            <w:pPr>
              <w:jc w:val="center"/>
            </w:pPr>
            <w:r>
              <w:rPr>
                <w:b/>
                <w:color w:val="FFFFFF"/>
                <w:sz w:val="17"/>
              </w:rPr>
              <w:t>Candidate Volume</w:t>
            </w:r>
          </w:p>
        </w:tc>
        <w:tc>
          <w:tcPr>
            <w:tcW w:type="dxa" w:w="1872"/>
            <w:shd w:val="clear" w:color="auto" w:fill="1B365D"/>
            <w:tcMar>
              <w:top w:w="100" w:type="dxa"/>
              <w:bottom w:w="100" w:type="dxa"/>
              <w:left w:w="80" w:type="dxa"/>
              <w:right w:w="80" w:type="dxa"/>
            </w:tcMar>
          </w:tcPr>
          <w:p>
            <w:pPr>
              <w:jc w:val="center"/>
            </w:pPr>
            <w:r>
              <w:rPr>
                <w:b/>
                <w:color w:val="FFFFFF"/>
                <w:sz w:val="17"/>
              </w:rPr>
              <w:t>Stage Conversion %</w:t>
            </w:r>
          </w:p>
        </w:tc>
        <w:tc>
          <w:tcPr>
            <w:tcW w:type="dxa" w:w="1872"/>
            <w:shd w:val="clear" w:color="auto" w:fill="1B365D"/>
            <w:tcMar>
              <w:top w:w="100" w:type="dxa"/>
              <w:bottom w:w="100" w:type="dxa"/>
              <w:left w:w="80" w:type="dxa"/>
              <w:right w:w="80" w:type="dxa"/>
            </w:tcMar>
          </w:tcPr>
          <w:p>
            <w:pPr>
              <w:jc w:val="center"/>
            </w:pPr>
            <w:r>
              <w:rPr>
                <w:b/>
                <w:color w:val="FFFFFF"/>
                <w:sz w:val="17"/>
              </w:rPr>
              <w:t>Cumulative Yield %</w:t>
            </w:r>
          </w:p>
        </w:tc>
        <w:tc>
          <w:tcPr>
            <w:tcW w:type="dxa" w:w="1872"/>
            <w:shd w:val="clear" w:color="auto" w:fill="1B365D"/>
            <w:tcMar>
              <w:top w:w="100" w:type="dxa"/>
              <w:bottom w:w="100" w:type="dxa"/>
              <w:left w:w="80" w:type="dxa"/>
              <w:right w:w="80" w:type="dxa"/>
            </w:tcMar>
          </w:tcPr>
          <w:p>
            <w:pPr>
              <w:jc w:val="center"/>
            </w:pPr>
            <w:r>
              <w:rPr>
                <w:b/>
                <w:color w:val="FFFFFF"/>
                <w:sz w:val="17"/>
              </w:rPr>
              <w:t>Primary Metric / SLA</w:t>
            </w:r>
          </w:p>
        </w:tc>
      </w:tr>
      <w:tr>
        <w:tc>
          <w:tcPr>
            <w:tcW w:type="dxa" w:w="1872"/>
            <w:shd w:val="clear" w:color="auto" w:fill="FFFFFF"/>
            <w:tcMar>
              <w:top w:w="80" w:type="dxa"/>
              <w:bottom w:w="80" w:type="dxa"/>
              <w:left w:w="80" w:type="dxa"/>
              <w:right w:w="80" w:type="dxa"/>
            </w:tcMar>
          </w:tcPr>
          <w:p>
            <w:r>
              <w:rPr>
                <w:b/>
                <w:sz w:val="17"/>
              </w:rPr>
              <w:t>1. Completed Applications</w:t>
            </w:r>
          </w:p>
        </w:tc>
        <w:tc>
          <w:tcPr>
            <w:tcW w:type="dxa" w:w="1872"/>
            <w:shd w:val="clear" w:color="auto" w:fill="FFFFFF"/>
            <w:tcMar>
              <w:top w:w="80" w:type="dxa"/>
              <w:bottom w:w="80" w:type="dxa"/>
              <w:left w:w="80" w:type="dxa"/>
              <w:right w:w="80" w:type="dxa"/>
            </w:tcMar>
          </w:tcPr>
          <w:p>
            <w:pPr>
              <w:jc w:val="center"/>
            </w:pPr>
            <w:r>
              <w:rPr>
                <w:sz w:val="17"/>
              </w:rPr>
              <w:t>600 Applications</w:t>
            </w:r>
          </w:p>
        </w:tc>
        <w:tc>
          <w:tcPr>
            <w:tcW w:type="dxa" w:w="1872"/>
            <w:shd w:val="clear" w:color="auto" w:fill="FFFFFF"/>
            <w:tcMar>
              <w:top w:w="80" w:type="dxa"/>
              <w:bottom w:w="80" w:type="dxa"/>
              <w:left w:w="80" w:type="dxa"/>
              <w:right w:w="80" w:type="dxa"/>
            </w:tcMar>
          </w:tcPr>
          <w:p>
            <w:pPr>
              <w:jc w:val="center"/>
            </w:pPr>
            <w:r>
              <w:rPr>
                <w:sz w:val="17"/>
              </w:rPr>
              <w:t>100.0%</w:t>
            </w:r>
          </w:p>
        </w:tc>
        <w:tc>
          <w:tcPr>
            <w:tcW w:type="dxa" w:w="1872"/>
            <w:shd w:val="clear" w:color="auto" w:fill="FFFFFF"/>
            <w:tcMar>
              <w:top w:w="80" w:type="dxa"/>
              <w:bottom w:w="80" w:type="dxa"/>
              <w:left w:w="80" w:type="dxa"/>
              <w:right w:w="80" w:type="dxa"/>
            </w:tcMar>
          </w:tcPr>
          <w:p>
            <w:pPr>
              <w:jc w:val="center"/>
            </w:pPr>
            <w:r>
              <w:rPr>
                <w:sz w:val="17"/>
              </w:rPr>
              <w:t>100.0%</w:t>
            </w:r>
          </w:p>
        </w:tc>
        <w:tc>
          <w:tcPr>
            <w:tcW w:type="dxa" w:w="1872"/>
            <w:shd w:val="clear" w:color="auto" w:fill="FFFFFF"/>
            <w:tcMar>
              <w:top w:w="80" w:type="dxa"/>
              <w:bottom w:w="80" w:type="dxa"/>
              <w:left w:w="80" w:type="dxa"/>
              <w:right w:w="80" w:type="dxa"/>
            </w:tcMar>
          </w:tcPr>
          <w:p>
            <w:r>
              <w:rPr>
                <w:sz w:val="17"/>
              </w:rPr>
              <w:t>SLA: Triage within 24 hours</w:t>
            </w:r>
          </w:p>
        </w:tc>
      </w:tr>
      <w:tr>
        <w:tc>
          <w:tcPr>
            <w:tcW w:type="dxa" w:w="1872"/>
            <w:shd w:val="clear" w:color="auto" w:fill="F9FBFD"/>
            <w:tcMar>
              <w:top w:w="80" w:type="dxa"/>
              <w:bottom w:w="80" w:type="dxa"/>
              <w:left w:w="80" w:type="dxa"/>
              <w:right w:w="80" w:type="dxa"/>
            </w:tcMar>
          </w:tcPr>
          <w:p>
            <w:r>
              <w:rPr>
                <w:b/>
                <w:sz w:val="17"/>
              </w:rPr>
              <w:t>2. Recruiter Screen Passes</w:t>
            </w:r>
          </w:p>
        </w:tc>
        <w:tc>
          <w:tcPr>
            <w:tcW w:type="dxa" w:w="1872"/>
            <w:shd w:val="clear" w:color="auto" w:fill="F9FBFD"/>
            <w:tcMar>
              <w:top w:w="80" w:type="dxa"/>
              <w:bottom w:w="80" w:type="dxa"/>
              <w:left w:w="80" w:type="dxa"/>
              <w:right w:w="80" w:type="dxa"/>
            </w:tcMar>
          </w:tcPr>
          <w:p>
            <w:pPr>
              <w:jc w:val="center"/>
            </w:pPr>
            <w:r>
              <w:rPr>
                <w:sz w:val="17"/>
              </w:rPr>
              <w:t>240 Screened</w:t>
            </w:r>
          </w:p>
        </w:tc>
        <w:tc>
          <w:tcPr>
            <w:tcW w:type="dxa" w:w="1872"/>
            <w:shd w:val="clear" w:color="auto" w:fill="F9FBFD"/>
            <w:tcMar>
              <w:top w:w="80" w:type="dxa"/>
              <w:bottom w:w="80" w:type="dxa"/>
              <w:left w:w="80" w:type="dxa"/>
              <w:right w:w="80" w:type="dxa"/>
            </w:tcMar>
          </w:tcPr>
          <w:p>
            <w:pPr>
              <w:jc w:val="center"/>
            </w:pPr>
            <w:r>
              <w:rPr>
                <w:sz w:val="17"/>
              </w:rPr>
              <w:t>40.0%</w:t>
            </w:r>
          </w:p>
        </w:tc>
        <w:tc>
          <w:tcPr>
            <w:tcW w:type="dxa" w:w="1872"/>
            <w:shd w:val="clear" w:color="auto" w:fill="F9FBFD"/>
            <w:tcMar>
              <w:top w:w="80" w:type="dxa"/>
              <w:bottom w:w="80" w:type="dxa"/>
              <w:left w:w="80" w:type="dxa"/>
              <w:right w:w="80" w:type="dxa"/>
            </w:tcMar>
          </w:tcPr>
          <w:p>
            <w:pPr>
              <w:jc w:val="center"/>
            </w:pPr>
            <w:r>
              <w:rPr>
                <w:sz w:val="17"/>
              </w:rPr>
              <w:t>40.0%</w:t>
            </w:r>
          </w:p>
        </w:tc>
        <w:tc>
          <w:tcPr>
            <w:tcW w:type="dxa" w:w="1872"/>
            <w:shd w:val="clear" w:color="auto" w:fill="F9FBFD"/>
            <w:tcMar>
              <w:top w:w="80" w:type="dxa"/>
              <w:bottom w:w="80" w:type="dxa"/>
              <w:left w:w="80" w:type="dxa"/>
              <w:right w:w="80" w:type="dxa"/>
            </w:tcMar>
          </w:tcPr>
          <w:p>
            <w:r>
              <w:rPr>
                <w:sz w:val="17"/>
              </w:rPr>
              <w:t>Pass rate: 40% (Quality gate)</w:t>
            </w:r>
          </w:p>
        </w:tc>
      </w:tr>
      <w:tr>
        <w:tc>
          <w:tcPr>
            <w:tcW w:type="dxa" w:w="1872"/>
            <w:shd w:val="clear" w:color="auto" w:fill="FFFFFF"/>
            <w:tcMar>
              <w:top w:w="80" w:type="dxa"/>
              <w:bottom w:w="80" w:type="dxa"/>
              <w:left w:w="80" w:type="dxa"/>
              <w:right w:w="80" w:type="dxa"/>
            </w:tcMar>
          </w:tcPr>
          <w:p>
            <w:r>
              <w:rPr>
                <w:b/>
                <w:sz w:val="17"/>
              </w:rPr>
              <w:t>3. Technical Assessment / Shortlist</w:t>
            </w:r>
          </w:p>
        </w:tc>
        <w:tc>
          <w:tcPr>
            <w:tcW w:type="dxa" w:w="1872"/>
            <w:shd w:val="clear" w:color="auto" w:fill="FFFFFF"/>
            <w:tcMar>
              <w:top w:w="80" w:type="dxa"/>
              <w:bottom w:w="80" w:type="dxa"/>
              <w:left w:w="80" w:type="dxa"/>
              <w:right w:w="80" w:type="dxa"/>
            </w:tcMar>
          </w:tcPr>
          <w:p>
            <w:pPr>
              <w:jc w:val="center"/>
            </w:pPr>
            <w:r>
              <w:rPr>
                <w:sz w:val="17"/>
              </w:rPr>
              <w:t>150 Assessment Passes</w:t>
            </w:r>
          </w:p>
        </w:tc>
        <w:tc>
          <w:tcPr>
            <w:tcW w:type="dxa" w:w="1872"/>
            <w:shd w:val="clear" w:color="auto" w:fill="FFFFFF"/>
            <w:tcMar>
              <w:top w:w="80" w:type="dxa"/>
              <w:bottom w:w="80" w:type="dxa"/>
              <w:left w:w="80" w:type="dxa"/>
              <w:right w:w="80" w:type="dxa"/>
            </w:tcMar>
          </w:tcPr>
          <w:p>
            <w:pPr>
              <w:jc w:val="center"/>
            </w:pPr>
            <w:r>
              <w:rPr>
                <w:sz w:val="17"/>
              </w:rPr>
              <w:t>62.5%</w:t>
            </w:r>
          </w:p>
        </w:tc>
        <w:tc>
          <w:tcPr>
            <w:tcW w:type="dxa" w:w="1872"/>
            <w:shd w:val="clear" w:color="auto" w:fill="FFFFFF"/>
            <w:tcMar>
              <w:top w:w="80" w:type="dxa"/>
              <w:bottom w:w="80" w:type="dxa"/>
              <w:left w:w="80" w:type="dxa"/>
              <w:right w:w="80" w:type="dxa"/>
            </w:tcMar>
          </w:tcPr>
          <w:p>
            <w:pPr>
              <w:jc w:val="center"/>
            </w:pPr>
            <w:r>
              <w:rPr>
                <w:sz w:val="17"/>
              </w:rPr>
              <w:t>25.0%</w:t>
            </w:r>
          </w:p>
        </w:tc>
        <w:tc>
          <w:tcPr>
            <w:tcW w:type="dxa" w:w="1872"/>
            <w:shd w:val="clear" w:color="auto" w:fill="FFFFFF"/>
            <w:tcMar>
              <w:top w:w="80" w:type="dxa"/>
              <w:bottom w:w="80" w:type="dxa"/>
              <w:left w:w="80" w:type="dxa"/>
              <w:right w:w="80" w:type="dxa"/>
            </w:tcMar>
          </w:tcPr>
          <w:p>
            <w:r>
              <w:rPr>
                <w:sz w:val="17"/>
              </w:rPr>
              <w:t>Work sample pass: 62.5%</w:t>
            </w:r>
          </w:p>
        </w:tc>
      </w:tr>
      <w:tr>
        <w:tc>
          <w:tcPr>
            <w:tcW w:type="dxa" w:w="1872"/>
            <w:shd w:val="clear" w:color="auto" w:fill="F9FBFD"/>
            <w:tcMar>
              <w:top w:w="80" w:type="dxa"/>
              <w:bottom w:w="80" w:type="dxa"/>
              <w:left w:w="80" w:type="dxa"/>
              <w:right w:w="80" w:type="dxa"/>
            </w:tcMar>
          </w:tcPr>
          <w:p>
            <w:r>
              <w:rPr>
                <w:b/>
                <w:sz w:val="17"/>
              </w:rPr>
              <w:t>4. Extended Formal Offers</w:t>
            </w:r>
          </w:p>
        </w:tc>
        <w:tc>
          <w:tcPr>
            <w:tcW w:type="dxa" w:w="1872"/>
            <w:shd w:val="clear" w:color="auto" w:fill="F9FBFD"/>
            <w:tcMar>
              <w:top w:w="80" w:type="dxa"/>
              <w:bottom w:w="80" w:type="dxa"/>
              <w:left w:w="80" w:type="dxa"/>
              <w:right w:w="80" w:type="dxa"/>
            </w:tcMar>
          </w:tcPr>
          <w:p>
            <w:pPr>
              <w:jc w:val="center"/>
            </w:pPr>
            <w:r>
              <w:rPr>
                <w:sz w:val="17"/>
              </w:rPr>
              <w:t>67 Offers Extended</w:t>
            </w:r>
          </w:p>
        </w:tc>
        <w:tc>
          <w:tcPr>
            <w:tcW w:type="dxa" w:w="1872"/>
            <w:shd w:val="clear" w:color="auto" w:fill="F9FBFD"/>
            <w:tcMar>
              <w:top w:w="80" w:type="dxa"/>
              <w:bottom w:w="80" w:type="dxa"/>
              <w:left w:w="80" w:type="dxa"/>
              <w:right w:w="80" w:type="dxa"/>
            </w:tcMar>
          </w:tcPr>
          <w:p>
            <w:pPr>
              <w:jc w:val="center"/>
            </w:pPr>
            <w:r>
              <w:rPr>
                <w:sz w:val="17"/>
              </w:rPr>
              <w:t>44.7%</w:t>
            </w:r>
          </w:p>
        </w:tc>
        <w:tc>
          <w:tcPr>
            <w:tcW w:type="dxa" w:w="1872"/>
            <w:shd w:val="clear" w:color="auto" w:fill="F9FBFD"/>
            <w:tcMar>
              <w:top w:w="80" w:type="dxa"/>
              <w:bottom w:w="80" w:type="dxa"/>
              <w:left w:w="80" w:type="dxa"/>
              <w:right w:w="80" w:type="dxa"/>
            </w:tcMar>
          </w:tcPr>
          <w:p>
            <w:pPr>
              <w:jc w:val="center"/>
            </w:pPr>
            <w:r>
              <w:rPr>
                <w:sz w:val="17"/>
              </w:rPr>
              <w:t>11.2%</w:t>
            </w:r>
          </w:p>
        </w:tc>
        <w:tc>
          <w:tcPr>
            <w:tcW w:type="dxa" w:w="1872"/>
            <w:shd w:val="clear" w:color="auto" w:fill="F9FBFD"/>
            <w:tcMar>
              <w:top w:w="80" w:type="dxa"/>
              <w:bottom w:w="80" w:type="dxa"/>
              <w:left w:w="80" w:type="dxa"/>
              <w:right w:w="80" w:type="dxa"/>
            </w:tcMar>
          </w:tcPr>
          <w:p>
            <w:r>
              <w:rPr>
                <w:sz w:val="17"/>
              </w:rPr>
              <w:t>Interview-to-offer: 44.7%</w:t>
            </w:r>
          </w:p>
        </w:tc>
      </w:tr>
      <w:tr>
        <w:tc>
          <w:tcPr>
            <w:tcW w:type="dxa" w:w="1872"/>
            <w:shd w:val="clear" w:color="auto" w:fill="FFFFFF"/>
            <w:tcMar>
              <w:top w:w="80" w:type="dxa"/>
              <w:bottom w:w="80" w:type="dxa"/>
              <w:left w:w="80" w:type="dxa"/>
              <w:right w:w="80" w:type="dxa"/>
            </w:tcMar>
          </w:tcPr>
          <w:p>
            <w:r>
              <w:rPr>
                <w:b/>
                <w:sz w:val="17"/>
              </w:rPr>
              <w:t>5. Accepted Offers (Hires)</w:t>
            </w:r>
          </w:p>
        </w:tc>
        <w:tc>
          <w:tcPr>
            <w:tcW w:type="dxa" w:w="1872"/>
            <w:shd w:val="clear" w:color="auto" w:fill="FFFFFF"/>
            <w:tcMar>
              <w:top w:w="80" w:type="dxa"/>
              <w:bottom w:w="80" w:type="dxa"/>
              <w:left w:w="80" w:type="dxa"/>
              <w:right w:w="80" w:type="dxa"/>
            </w:tcMar>
          </w:tcPr>
          <w:p>
            <w:pPr>
              <w:jc w:val="center"/>
            </w:pPr>
            <w:r>
              <w:rPr>
                <w:sz w:val="17"/>
              </w:rPr>
              <w:t>60 Accepted Offers</w:t>
            </w:r>
          </w:p>
        </w:tc>
        <w:tc>
          <w:tcPr>
            <w:tcW w:type="dxa" w:w="1872"/>
            <w:shd w:val="clear" w:color="auto" w:fill="FFFFFF"/>
            <w:tcMar>
              <w:top w:w="80" w:type="dxa"/>
              <w:bottom w:w="80" w:type="dxa"/>
              <w:left w:w="80" w:type="dxa"/>
              <w:right w:w="80" w:type="dxa"/>
            </w:tcMar>
          </w:tcPr>
          <w:p>
            <w:pPr>
              <w:jc w:val="center"/>
            </w:pPr>
            <w:r>
              <w:rPr>
                <w:sz w:val="17"/>
              </w:rPr>
              <w:t>89.6% (~90%)</w:t>
            </w:r>
          </w:p>
        </w:tc>
        <w:tc>
          <w:tcPr>
            <w:tcW w:type="dxa" w:w="1872"/>
            <w:shd w:val="clear" w:color="auto" w:fill="FFFFFF"/>
            <w:tcMar>
              <w:top w:w="80" w:type="dxa"/>
              <w:bottom w:w="80" w:type="dxa"/>
              <w:left w:w="80" w:type="dxa"/>
              <w:right w:w="80" w:type="dxa"/>
            </w:tcMar>
          </w:tcPr>
          <w:p>
            <w:pPr>
              <w:jc w:val="center"/>
            </w:pPr>
            <w:r>
              <w:rPr>
                <w:sz w:val="17"/>
              </w:rPr>
              <w:t>10.0%</w:t>
            </w:r>
          </w:p>
        </w:tc>
        <w:tc>
          <w:tcPr>
            <w:tcW w:type="dxa" w:w="1872"/>
            <w:shd w:val="clear" w:color="auto" w:fill="FFFFFF"/>
            <w:tcMar>
              <w:top w:w="80" w:type="dxa"/>
              <w:bottom w:w="80" w:type="dxa"/>
              <w:left w:w="80" w:type="dxa"/>
              <w:right w:w="80" w:type="dxa"/>
            </w:tcMar>
          </w:tcPr>
          <w:p>
            <w:r>
              <w:rPr>
                <w:sz w:val="17"/>
              </w:rPr>
              <w:t>Offer Acceptance Rate: ≥90%</w:t>
            </w:r>
          </w:p>
        </w:tc>
      </w:tr>
    </w:tbl>
    <w:p>
      <w:pPr>
        <w:spacing w:after="240"/>
      </w:pPr>
    </w:p>
    <w:p>
      <w:pPr>
        <w:keepNext/>
        <w:spacing w:before="280" w:after="80"/>
      </w:pPr>
      <w:r>
        <w:rPr>
          <w:rFonts w:ascii="Calibri" w:hAnsi="Calibri"/>
          <w:b/>
          <w:color w:val="2E6B9E"/>
          <w:sz w:val="25"/>
        </w:rPr>
        <w:t>8.2 Core KPI Performance Standards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Mar>
              <w:top w:w="100" w:type="dxa"/>
              <w:bottom w:w="100" w:type="dxa"/>
              <w:left w:w="80" w:type="dxa"/>
              <w:right w:w="80" w:type="dxa"/>
            </w:tcMar>
          </w:tcPr>
          <w:p>
            <w:pPr>
              <w:jc w:val="center"/>
            </w:pPr>
            <w:r>
              <w:rPr>
                <w:b/>
                <w:color w:val="FFFFFF"/>
                <w:sz w:val="17"/>
              </w:rPr>
              <w:t>Key Performance Indicator</w:t>
            </w:r>
          </w:p>
        </w:tc>
        <w:tc>
          <w:tcPr>
            <w:tcW w:type="dxa" w:w="1872"/>
            <w:shd w:val="clear" w:color="auto" w:fill="1B365D"/>
            <w:tcMar>
              <w:top w:w="100" w:type="dxa"/>
              <w:bottom w:w="100" w:type="dxa"/>
              <w:left w:w="80" w:type="dxa"/>
              <w:right w:w="80" w:type="dxa"/>
            </w:tcMar>
          </w:tcPr>
          <w:p>
            <w:pPr>
              <w:jc w:val="center"/>
            </w:pPr>
            <w:r>
              <w:rPr>
                <w:b/>
                <w:color w:val="FFFFFF"/>
                <w:sz w:val="17"/>
              </w:rPr>
              <w:t>Formula / Standard Definition</w:t>
            </w:r>
          </w:p>
        </w:tc>
        <w:tc>
          <w:tcPr>
            <w:tcW w:type="dxa" w:w="1872"/>
            <w:shd w:val="clear" w:color="auto" w:fill="1B365D"/>
            <w:tcMar>
              <w:top w:w="100" w:type="dxa"/>
              <w:bottom w:w="100" w:type="dxa"/>
              <w:left w:w="80" w:type="dxa"/>
              <w:right w:w="80" w:type="dxa"/>
            </w:tcMar>
          </w:tcPr>
          <w:p>
            <w:pPr>
              <w:jc w:val="center"/>
            </w:pPr>
            <w:r>
              <w:rPr>
                <w:b/>
                <w:color w:val="FFFFFF"/>
                <w:sz w:val="17"/>
              </w:rPr>
              <w:t>Target Benchmark</w:t>
            </w:r>
          </w:p>
        </w:tc>
        <w:tc>
          <w:tcPr>
            <w:tcW w:type="dxa" w:w="1872"/>
            <w:shd w:val="clear" w:color="auto" w:fill="1B365D"/>
            <w:tcMar>
              <w:top w:w="100" w:type="dxa"/>
              <w:bottom w:w="100" w:type="dxa"/>
              <w:left w:w="80" w:type="dxa"/>
              <w:right w:w="80" w:type="dxa"/>
            </w:tcMar>
          </w:tcPr>
          <w:p>
            <w:pPr>
              <w:jc w:val="center"/>
            </w:pPr>
            <w:r>
              <w:rPr>
                <w:b/>
                <w:color w:val="FFFFFF"/>
                <w:sz w:val="17"/>
              </w:rPr>
              <w:t>Data Source</w:t>
            </w:r>
          </w:p>
        </w:tc>
        <w:tc>
          <w:tcPr>
            <w:tcW w:type="dxa" w:w="1872"/>
            <w:shd w:val="clear" w:color="auto" w:fill="1B365D"/>
            <w:tcMar>
              <w:top w:w="100" w:type="dxa"/>
              <w:bottom w:w="100" w:type="dxa"/>
              <w:left w:w="80" w:type="dxa"/>
              <w:right w:w="80" w:type="dxa"/>
            </w:tcMar>
          </w:tcPr>
          <w:p>
            <w:pPr>
              <w:jc w:val="center"/>
            </w:pPr>
            <w:r>
              <w:rPr>
                <w:b/>
                <w:color w:val="FFFFFF"/>
                <w:sz w:val="17"/>
              </w:rPr>
              <w:t>Review Cadence</w:t>
            </w:r>
          </w:p>
        </w:tc>
      </w:tr>
      <w:tr>
        <w:tc>
          <w:tcPr>
            <w:tcW w:type="dxa" w:w="1872"/>
            <w:shd w:val="clear" w:color="auto" w:fill="FFFFFF"/>
            <w:tcMar>
              <w:top w:w="80" w:type="dxa"/>
              <w:bottom w:w="80" w:type="dxa"/>
              <w:left w:w="80" w:type="dxa"/>
              <w:right w:w="80" w:type="dxa"/>
            </w:tcMar>
          </w:tcPr>
          <w:p>
            <w:r>
              <w:rPr>
                <w:b/>
                <w:sz w:val="16"/>
              </w:rPr>
              <w:t>Accepted Offers</w:t>
            </w:r>
          </w:p>
        </w:tc>
        <w:tc>
          <w:tcPr>
            <w:tcW w:type="dxa" w:w="1872"/>
            <w:shd w:val="clear" w:color="auto" w:fill="FFFFFF"/>
            <w:tcMar>
              <w:top w:w="80" w:type="dxa"/>
              <w:bottom w:w="80" w:type="dxa"/>
              <w:left w:w="80" w:type="dxa"/>
              <w:right w:w="80" w:type="dxa"/>
            </w:tcMar>
          </w:tcPr>
          <w:p>
            <w:r>
              <w:rPr>
                <w:sz w:val="16"/>
              </w:rPr>
              <w:t>Total count of signed formal offer letters</w:t>
            </w:r>
          </w:p>
        </w:tc>
        <w:tc>
          <w:tcPr>
            <w:tcW w:type="dxa" w:w="1872"/>
            <w:shd w:val="clear" w:color="auto" w:fill="FFFFFF"/>
            <w:tcMar>
              <w:top w:w="80" w:type="dxa"/>
              <w:bottom w:w="80" w:type="dxa"/>
              <w:left w:w="80" w:type="dxa"/>
              <w:right w:w="80" w:type="dxa"/>
            </w:tcMar>
          </w:tcPr>
          <w:p>
            <w:pPr>
              <w:jc w:val="center"/>
            </w:pPr>
            <w:r>
              <w:rPr>
                <w:sz w:val="16"/>
              </w:rPr>
              <w:t>60 Hires</w:t>
            </w:r>
          </w:p>
        </w:tc>
        <w:tc>
          <w:tcPr>
            <w:tcW w:type="dxa" w:w="1872"/>
            <w:shd w:val="clear" w:color="auto" w:fill="FFFFFF"/>
            <w:tcMar>
              <w:top w:w="80" w:type="dxa"/>
              <w:bottom w:w="80" w:type="dxa"/>
              <w:left w:w="80" w:type="dxa"/>
              <w:right w:w="80" w:type="dxa"/>
            </w:tcMar>
          </w:tcPr>
          <w:p>
            <w:r>
              <w:rPr>
                <w:sz w:val="16"/>
              </w:rPr>
              <w:t>RCM / EC</w:t>
            </w:r>
          </w:p>
        </w:tc>
        <w:tc>
          <w:tcPr>
            <w:tcW w:type="dxa" w:w="1872"/>
            <w:shd w:val="clear" w:color="auto" w:fill="FFFFFF"/>
            <w:tcMar>
              <w:top w:w="80" w:type="dxa"/>
              <w:bottom w:w="80" w:type="dxa"/>
              <w:left w:w="80" w:type="dxa"/>
              <w:right w:w="80" w:type="dxa"/>
            </w:tcMar>
          </w:tcPr>
          <w:p>
            <w:pPr>
              <w:jc w:val="center"/>
            </w:pPr>
            <w:r>
              <w:rPr>
                <w:sz w:val="16"/>
              </w:rPr>
              <w:t>Weekly</w:t>
            </w:r>
          </w:p>
        </w:tc>
      </w:tr>
      <w:tr>
        <w:tc>
          <w:tcPr>
            <w:tcW w:type="dxa" w:w="1872"/>
            <w:shd w:val="clear" w:color="auto" w:fill="F9FBFD"/>
            <w:tcMar>
              <w:top w:w="80" w:type="dxa"/>
              <w:bottom w:w="80" w:type="dxa"/>
              <w:left w:w="80" w:type="dxa"/>
              <w:right w:w="80" w:type="dxa"/>
            </w:tcMar>
          </w:tcPr>
          <w:p>
            <w:r>
              <w:rPr>
                <w:b/>
                <w:sz w:val="16"/>
              </w:rPr>
              <w:t>Offer Acceptance Rate</w:t>
            </w:r>
          </w:p>
        </w:tc>
        <w:tc>
          <w:tcPr>
            <w:tcW w:type="dxa" w:w="1872"/>
            <w:shd w:val="clear" w:color="auto" w:fill="F9FBFD"/>
            <w:tcMar>
              <w:top w:w="80" w:type="dxa"/>
              <w:bottom w:w="80" w:type="dxa"/>
              <w:left w:w="80" w:type="dxa"/>
              <w:right w:w="80" w:type="dxa"/>
            </w:tcMar>
          </w:tcPr>
          <w:p>
            <w:r>
              <w:rPr>
                <w:sz w:val="16"/>
              </w:rPr>
              <w:t>(Accepted Offers ÷ Total Extended Offers) × 100</w:t>
            </w:r>
          </w:p>
        </w:tc>
        <w:tc>
          <w:tcPr>
            <w:tcW w:type="dxa" w:w="1872"/>
            <w:shd w:val="clear" w:color="auto" w:fill="F9FBFD"/>
            <w:tcMar>
              <w:top w:w="80" w:type="dxa"/>
              <w:bottom w:w="80" w:type="dxa"/>
              <w:left w:w="80" w:type="dxa"/>
              <w:right w:w="80" w:type="dxa"/>
            </w:tcMar>
          </w:tcPr>
          <w:p>
            <w:pPr>
              <w:jc w:val="center"/>
            </w:pPr>
            <w:r>
              <w:rPr>
                <w:sz w:val="16"/>
              </w:rPr>
              <w:t>≥ 90.0%</w:t>
            </w:r>
          </w:p>
        </w:tc>
        <w:tc>
          <w:tcPr>
            <w:tcW w:type="dxa" w:w="1872"/>
            <w:shd w:val="clear" w:color="auto" w:fill="F9FBFD"/>
            <w:tcMar>
              <w:top w:w="80" w:type="dxa"/>
              <w:bottom w:w="80" w:type="dxa"/>
              <w:left w:w="80" w:type="dxa"/>
              <w:right w:w="80" w:type="dxa"/>
            </w:tcMar>
          </w:tcPr>
          <w:p>
            <w:r>
              <w:rPr>
                <w:sz w:val="16"/>
              </w:rPr>
              <w:t>RCM Offer Engine</w:t>
            </w:r>
          </w:p>
        </w:tc>
        <w:tc>
          <w:tcPr>
            <w:tcW w:type="dxa" w:w="1872"/>
            <w:shd w:val="clear" w:color="auto" w:fill="F9FBFD"/>
            <w:tcMar>
              <w:top w:w="80" w:type="dxa"/>
              <w:bottom w:w="80" w:type="dxa"/>
              <w:left w:w="80" w:type="dxa"/>
              <w:right w:w="80" w:type="dxa"/>
            </w:tcMar>
          </w:tcPr>
          <w:p>
            <w:pPr>
              <w:jc w:val="center"/>
            </w:pPr>
            <w:r>
              <w:rPr>
                <w:sz w:val="16"/>
              </w:rPr>
              <w:t>Weekly</w:t>
            </w:r>
          </w:p>
        </w:tc>
      </w:tr>
      <w:tr>
        <w:tc>
          <w:tcPr>
            <w:tcW w:type="dxa" w:w="1872"/>
            <w:shd w:val="clear" w:color="auto" w:fill="FFFFFF"/>
            <w:tcMar>
              <w:top w:w="80" w:type="dxa"/>
              <w:bottom w:w="80" w:type="dxa"/>
              <w:left w:w="80" w:type="dxa"/>
              <w:right w:w="80" w:type="dxa"/>
            </w:tcMar>
          </w:tcPr>
          <w:p>
            <w:r>
              <w:rPr>
                <w:b/>
                <w:sz w:val="16"/>
              </w:rPr>
              <w:t>Time-to-Fill (Median)</w:t>
            </w:r>
          </w:p>
        </w:tc>
        <w:tc>
          <w:tcPr>
            <w:tcW w:type="dxa" w:w="1872"/>
            <w:shd w:val="clear" w:color="auto" w:fill="FFFFFF"/>
            <w:tcMar>
              <w:top w:w="80" w:type="dxa"/>
              <w:bottom w:w="80" w:type="dxa"/>
              <w:left w:w="80" w:type="dxa"/>
              <w:right w:w="80" w:type="dxa"/>
            </w:tcMar>
          </w:tcPr>
          <w:p>
            <w:r>
              <w:rPr>
                <w:sz w:val="16"/>
              </w:rPr>
              <w:t>Calendar days from requisition approval to offer acceptance</w:t>
            </w:r>
          </w:p>
        </w:tc>
        <w:tc>
          <w:tcPr>
            <w:tcW w:type="dxa" w:w="1872"/>
            <w:shd w:val="clear" w:color="auto" w:fill="FFFFFF"/>
            <w:tcMar>
              <w:top w:w="80" w:type="dxa"/>
              <w:bottom w:w="80" w:type="dxa"/>
              <w:left w:w="80" w:type="dxa"/>
              <w:right w:w="80" w:type="dxa"/>
            </w:tcMar>
          </w:tcPr>
          <w:p>
            <w:pPr>
              <w:jc w:val="center"/>
            </w:pPr>
            <w:r>
              <w:rPr>
                <w:sz w:val="16"/>
              </w:rPr>
              <w:t>≤ 45 Days (Overall)</w:t>
              <w:br/>
              <w:t>≤ 55 Days (Software)</w:t>
            </w:r>
          </w:p>
        </w:tc>
        <w:tc>
          <w:tcPr>
            <w:tcW w:type="dxa" w:w="1872"/>
            <w:shd w:val="clear" w:color="auto" w:fill="FFFFFF"/>
            <w:tcMar>
              <w:top w:w="80" w:type="dxa"/>
              <w:bottom w:w="80" w:type="dxa"/>
              <w:left w:w="80" w:type="dxa"/>
              <w:right w:w="80" w:type="dxa"/>
            </w:tcMar>
          </w:tcPr>
          <w:p>
            <w:r>
              <w:rPr>
                <w:sz w:val="16"/>
              </w:rPr>
              <w:t>RCM Stamps</w:t>
            </w:r>
          </w:p>
        </w:tc>
        <w:tc>
          <w:tcPr>
            <w:tcW w:type="dxa" w:w="1872"/>
            <w:shd w:val="clear" w:color="auto" w:fill="FFFFFF"/>
            <w:tcMar>
              <w:top w:w="80" w:type="dxa"/>
              <w:bottom w:w="80" w:type="dxa"/>
              <w:left w:w="80" w:type="dxa"/>
              <w:right w:w="80" w:type="dxa"/>
            </w:tcMar>
          </w:tcPr>
          <w:p>
            <w:pPr>
              <w:jc w:val="center"/>
            </w:pPr>
            <w:r>
              <w:rPr>
                <w:sz w:val="16"/>
              </w:rPr>
              <w:t>Weekly</w:t>
            </w:r>
          </w:p>
        </w:tc>
      </w:tr>
      <w:tr>
        <w:tc>
          <w:tcPr>
            <w:tcW w:type="dxa" w:w="1872"/>
            <w:shd w:val="clear" w:color="auto" w:fill="F9FBFD"/>
            <w:tcMar>
              <w:top w:w="80" w:type="dxa"/>
              <w:bottom w:w="80" w:type="dxa"/>
              <w:left w:w="80" w:type="dxa"/>
              <w:right w:w="80" w:type="dxa"/>
            </w:tcMar>
          </w:tcPr>
          <w:p>
            <w:r>
              <w:rPr>
                <w:b/>
                <w:sz w:val="16"/>
              </w:rPr>
              <w:t>Qualified Screen Rate</w:t>
            </w:r>
          </w:p>
        </w:tc>
        <w:tc>
          <w:tcPr>
            <w:tcW w:type="dxa" w:w="1872"/>
            <w:shd w:val="clear" w:color="auto" w:fill="F9FBFD"/>
            <w:tcMar>
              <w:top w:w="80" w:type="dxa"/>
              <w:bottom w:w="80" w:type="dxa"/>
              <w:left w:w="80" w:type="dxa"/>
              <w:right w:w="80" w:type="dxa"/>
            </w:tcMar>
          </w:tcPr>
          <w:p>
            <w:r>
              <w:rPr>
                <w:sz w:val="16"/>
              </w:rPr>
              <w:t>(Candidates passing screen ÷ Total applications) × 100</w:t>
            </w:r>
          </w:p>
        </w:tc>
        <w:tc>
          <w:tcPr>
            <w:tcW w:type="dxa" w:w="1872"/>
            <w:shd w:val="clear" w:color="auto" w:fill="F9FBFD"/>
            <w:tcMar>
              <w:top w:w="80" w:type="dxa"/>
              <w:bottom w:w="80" w:type="dxa"/>
              <w:left w:w="80" w:type="dxa"/>
              <w:right w:w="80" w:type="dxa"/>
            </w:tcMar>
          </w:tcPr>
          <w:p>
            <w:pPr>
              <w:jc w:val="center"/>
            </w:pPr>
            <w:r>
              <w:rPr>
                <w:sz w:val="16"/>
              </w:rPr>
              <w:t>40.0%</w:t>
            </w:r>
          </w:p>
        </w:tc>
        <w:tc>
          <w:tcPr>
            <w:tcW w:type="dxa" w:w="1872"/>
            <w:shd w:val="clear" w:color="auto" w:fill="F9FBFD"/>
            <w:tcMar>
              <w:top w:w="80" w:type="dxa"/>
              <w:bottom w:w="80" w:type="dxa"/>
              <w:left w:w="80" w:type="dxa"/>
              <w:right w:w="80" w:type="dxa"/>
            </w:tcMar>
          </w:tcPr>
          <w:p>
            <w:r>
              <w:rPr>
                <w:sz w:val="16"/>
              </w:rPr>
              <w:t>RCM Pipeline</w:t>
            </w:r>
          </w:p>
        </w:tc>
        <w:tc>
          <w:tcPr>
            <w:tcW w:type="dxa" w:w="1872"/>
            <w:shd w:val="clear" w:color="auto" w:fill="F9FBFD"/>
            <w:tcMar>
              <w:top w:w="80" w:type="dxa"/>
              <w:bottom w:w="80" w:type="dxa"/>
              <w:left w:w="80" w:type="dxa"/>
              <w:right w:w="80" w:type="dxa"/>
            </w:tcMar>
          </w:tcPr>
          <w:p>
            <w:pPr>
              <w:jc w:val="center"/>
            </w:pPr>
            <w:r>
              <w:rPr>
                <w:sz w:val="16"/>
              </w:rPr>
              <w:t>Weekly</w:t>
            </w:r>
          </w:p>
        </w:tc>
      </w:tr>
      <w:tr>
        <w:tc>
          <w:tcPr>
            <w:tcW w:type="dxa" w:w="1872"/>
            <w:shd w:val="clear" w:color="auto" w:fill="FFFFFF"/>
            <w:tcMar>
              <w:top w:w="80" w:type="dxa"/>
              <w:bottom w:w="80" w:type="dxa"/>
              <w:left w:w="80" w:type="dxa"/>
              <w:right w:w="80" w:type="dxa"/>
            </w:tcMar>
          </w:tcPr>
          <w:p>
            <w:r>
              <w:rPr>
                <w:b/>
                <w:sz w:val="16"/>
              </w:rPr>
              <w:t>Scorecard Compliance</w:t>
            </w:r>
          </w:p>
        </w:tc>
        <w:tc>
          <w:tcPr>
            <w:tcW w:type="dxa" w:w="1872"/>
            <w:shd w:val="clear" w:color="auto" w:fill="FFFFFF"/>
            <w:tcMar>
              <w:top w:w="80" w:type="dxa"/>
              <w:bottom w:w="80" w:type="dxa"/>
              <w:left w:w="80" w:type="dxa"/>
              <w:right w:w="80" w:type="dxa"/>
            </w:tcMar>
          </w:tcPr>
          <w:p>
            <w:r>
              <w:rPr>
                <w:sz w:val="16"/>
              </w:rPr>
              <w:t>(Completed scorecards submitted ≤48h ÷ Total interviews) × 100</w:t>
            </w:r>
          </w:p>
        </w:tc>
        <w:tc>
          <w:tcPr>
            <w:tcW w:type="dxa" w:w="1872"/>
            <w:shd w:val="clear" w:color="auto" w:fill="FFFFFF"/>
            <w:tcMar>
              <w:top w:w="80" w:type="dxa"/>
              <w:bottom w:w="80" w:type="dxa"/>
              <w:left w:w="80" w:type="dxa"/>
              <w:right w:w="80" w:type="dxa"/>
            </w:tcMar>
          </w:tcPr>
          <w:p>
            <w:pPr>
              <w:jc w:val="center"/>
            </w:pPr>
            <w:r>
              <w:rPr>
                <w:sz w:val="16"/>
              </w:rPr>
              <w:t>100.0%</w:t>
            </w:r>
          </w:p>
        </w:tc>
        <w:tc>
          <w:tcPr>
            <w:tcW w:type="dxa" w:w="1872"/>
            <w:shd w:val="clear" w:color="auto" w:fill="FFFFFF"/>
            <w:tcMar>
              <w:top w:w="80" w:type="dxa"/>
              <w:bottom w:w="80" w:type="dxa"/>
              <w:left w:w="80" w:type="dxa"/>
              <w:right w:w="80" w:type="dxa"/>
            </w:tcMar>
          </w:tcPr>
          <w:p>
            <w:r>
              <w:rPr>
                <w:sz w:val="16"/>
              </w:rPr>
              <w:t>Interview Central</w:t>
            </w:r>
          </w:p>
        </w:tc>
        <w:tc>
          <w:tcPr>
            <w:tcW w:type="dxa" w:w="1872"/>
            <w:shd w:val="clear" w:color="auto" w:fill="FFFFFF"/>
            <w:tcMar>
              <w:top w:w="80" w:type="dxa"/>
              <w:bottom w:w="80" w:type="dxa"/>
              <w:left w:w="80" w:type="dxa"/>
              <w:right w:w="80" w:type="dxa"/>
            </w:tcMar>
          </w:tcPr>
          <w:p>
            <w:pPr>
              <w:jc w:val="center"/>
            </w:pPr>
            <w:r>
              <w:rPr>
                <w:sz w:val="16"/>
              </w:rPr>
              <w:t>Weekly</w:t>
            </w:r>
          </w:p>
        </w:tc>
      </w:tr>
      <w:tr>
        <w:tc>
          <w:tcPr>
            <w:tcW w:type="dxa" w:w="1872"/>
            <w:shd w:val="clear" w:color="auto" w:fill="F9FBFD"/>
            <w:tcMar>
              <w:top w:w="80" w:type="dxa"/>
              <w:bottom w:w="80" w:type="dxa"/>
              <w:left w:w="80" w:type="dxa"/>
              <w:right w:w="80" w:type="dxa"/>
            </w:tcMar>
          </w:tcPr>
          <w:p>
            <w:r>
              <w:rPr>
                <w:b/>
                <w:sz w:val="16"/>
              </w:rPr>
              <w:t>Cost Per Hire (CPH)</w:t>
            </w:r>
          </w:p>
        </w:tc>
        <w:tc>
          <w:tcPr>
            <w:tcW w:type="dxa" w:w="1872"/>
            <w:shd w:val="clear" w:color="auto" w:fill="F9FBFD"/>
            <w:tcMar>
              <w:top w:w="80" w:type="dxa"/>
              <w:bottom w:w="80" w:type="dxa"/>
              <w:left w:w="80" w:type="dxa"/>
              <w:right w:w="80" w:type="dxa"/>
            </w:tcMar>
          </w:tcPr>
          <w:p>
            <w:r>
              <w:rPr>
                <w:sz w:val="16"/>
              </w:rPr>
              <w:t>(Total campaign advertising + event + referral costs) ÷ Hires</w:t>
            </w:r>
          </w:p>
        </w:tc>
        <w:tc>
          <w:tcPr>
            <w:tcW w:type="dxa" w:w="1872"/>
            <w:shd w:val="clear" w:color="auto" w:fill="F9FBFD"/>
            <w:tcMar>
              <w:top w:w="80" w:type="dxa"/>
              <w:bottom w:w="80" w:type="dxa"/>
              <w:left w:w="80" w:type="dxa"/>
              <w:right w:w="80" w:type="dxa"/>
            </w:tcMar>
          </w:tcPr>
          <w:p>
            <w:pPr>
              <w:jc w:val="center"/>
            </w:pPr>
            <w:r>
              <w:rPr>
                <w:sz w:val="16"/>
              </w:rPr>
              <w:t>≤ ₹30,000 / hire</w:t>
              <w:br/>
              <w:t>(Budget: ₹18 Lakhs)</w:t>
            </w:r>
          </w:p>
        </w:tc>
        <w:tc>
          <w:tcPr>
            <w:tcW w:type="dxa" w:w="1872"/>
            <w:shd w:val="clear" w:color="auto" w:fill="F9FBFD"/>
            <w:tcMar>
              <w:top w:w="80" w:type="dxa"/>
              <w:bottom w:w="80" w:type="dxa"/>
              <w:left w:w="80" w:type="dxa"/>
              <w:right w:w="80" w:type="dxa"/>
            </w:tcMar>
          </w:tcPr>
          <w:p>
            <w:r>
              <w:rPr>
                <w:sz w:val="16"/>
              </w:rPr>
              <w:t>Finance / RCM</w:t>
            </w:r>
          </w:p>
        </w:tc>
        <w:tc>
          <w:tcPr>
            <w:tcW w:type="dxa" w:w="1872"/>
            <w:shd w:val="clear" w:color="auto" w:fill="F9FBFD"/>
            <w:tcMar>
              <w:top w:w="80" w:type="dxa"/>
              <w:bottom w:w="80" w:type="dxa"/>
              <w:left w:w="80" w:type="dxa"/>
              <w:right w:w="80" w:type="dxa"/>
            </w:tcMar>
          </w:tcPr>
          <w:p>
            <w:pPr>
              <w:jc w:val="center"/>
            </w:pPr>
            <w:r>
              <w:rPr>
                <w:sz w:val="16"/>
              </w:rPr>
              <w:t>Bi-Weekly</w:t>
            </w:r>
          </w:p>
        </w:tc>
      </w:tr>
      <w:tr>
        <w:tc>
          <w:tcPr>
            <w:tcW w:type="dxa" w:w="1872"/>
            <w:shd w:val="clear" w:color="auto" w:fill="FFFFFF"/>
            <w:tcMar>
              <w:top w:w="80" w:type="dxa"/>
              <w:bottom w:w="80" w:type="dxa"/>
              <w:left w:w="80" w:type="dxa"/>
              <w:right w:w="80" w:type="dxa"/>
            </w:tcMar>
          </w:tcPr>
          <w:p>
            <w:r>
              <w:rPr>
                <w:b/>
                <w:sz w:val="16"/>
              </w:rPr>
              <w:t>Candidate CSAT</w:t>
            </w:r>
          </w:p>
        </w:tc>
        <w:tc>
          <w:tcPr>
            <w:tcW w:type="dxa" w:w="1872"/>
            <w:shd w:val="clear" w:color="auto" w:fill="FFFFFF"/>
            <w:tcMar>
              <w:top w:w="80" w:type="dxa"/>
              <w:bottom w:w="80" w:type="dxa"/>
              <w:left w:w="80" w:type="dxa"/>
              <w:right w:w="80" w:type="dxa"/>
            </w:tcMar>
          </w:tcPr>
          <w:p>
            <w:r>
              <w:rPr>
                <w:sz w:val="16"/>
              </w:rPr>
              <w:t>Average rating from Qualtrics post-interview candidate survey</w:t>
            </w:r>
          </w:p>
        </w:tc>
        <w:tc>
          <w:tcPr>
            <w:tcW w:type="dxa" w:w="1872"/>
            <w:shd w:val="clear" w:color="auto" w:fill="FFFFFF"/>
            <w:tcMar>
              <w:top w:w="80" w:type="dxa"/>
              <w:bottom w:w="80" w:type="dxa"/>
              <w:left w:w="80" w:type="dxa"/>
              <w:right w:w="80" w:type="dxa"/>
            </w:tcMar>
          </w:tcPr>
          <w:p>
            <w:pPr>
              <w:jc w:val="center"/>
            </w:pPr>
            <w:r>
              <w:rPr>
                <w:sz w:val="16"/>
              </w:rPr>
              <w:t>≥ 4.2 / 5.0</w:t>
            </w:r>
          </w:p>
        </w:tc>
        <w:tc>
          <w:tcPr>
            <w:tcW w:type="dxa" w:w="1872"/>
            <w:shd w:val="clear" w:color="auto" w:fill="FFFFFF"/>
            <w:tcMar>
              <w:top w:w="80" w:type="dxa"/>
              <w:bottom w:w="80" w:type="dxa"/>
              <w:left w:w="80" w:type="dxa"/>
              <w:right w:w="80" w:type="dxa"/>
            </w:tcMar>
          </w:tcPr>
          <w:p>
            <w:r>
              <w:rPr>
                <w:sz w:val="16"/>
              </w:rPr>
              <w:t>Qualtrics CX</w:t>
            </w:r>
          </w:p>
        </w:tc>
        <w:tc>
          <w:tcPr>
            <w:tcW w:type="dxa" w:w="1872"/>
            <w:shd w:val="clear" w:color="auto" w:fill="FFFFFF"/>
            <w:tcMar>
              <w:top w:w="80" w:type="dxa"/>
              <w:bottom w:w="80" w:type="dxa"/>
              <w:left w:w="80" w:type="dxa"/>
              <w:right w:w="80" w:type="dxa"/>
            </w:tcMar>
          </w:tcPr>
          <w:p>
            <w:pPr>
              <w:jc w:val="center"/>
            </w:pPr>
            <w:r>
              <w:rPr>
                <w:sz w:val="16"/>
              </w:rPr>
              <w:t>Monthly</w:t>
            </w:r>
          </w:p>
        </w:tc>
      </w:tr>
      <w:tr>
        <w:tc>
          <w:tcPr>
            <w:tcW w:type="dxa" w:w="1872"/>
            <w:shd w:val="clear" w:color="auto" w:fill="F9FBFD"/>
            <w:tcMar>
              <w:top w:w="80" w:type="dxa"/>
              <w:bottom w:w="80" w:type="dxa"/>
              <w:left w:w="80" w:type="dxa"/>
              <w:right w:w="80" w:type="dxa"/>
            </w:tcMar>
          </w:tcPr>
          <w:p>
            <w:r>
              <w:rPr>
                <w:b/>
                <w:sz w:val="16"/>
              </w:rPr>
              <w:t>Day-30 Onboarding Readiness</w:t>
            </w:r>
          </w:p>
        </w:tc>
        <w:tc>
          <w:tcPr>
            <w:tcW w:type="dxa" w:w="1872"/>
            <w:shd w:val="clear" w:color="auto" w:fill="F9FBFD"/>
            <w:tcMar>
              <w:top w:w="80" w:type="dxa"/>
              <w:bottom w:w="80" w:type="dxa"/>
              <w:left w:w="80" w:type="dxa"/>
              <w:right w:w="80" w:type="dxa"/>
            </w:tcMar>
          </w:tcPr>
          <w:p>
            <w:r>
              <w:rPr>
                <w:sz w:val="16"/>
              </w:rPr>
              <w:t>(New hires completing all D30 assigned tasks ÷ Total new hires) × 100</w:t>
            </w:r>
          </w:p>
        </w:tc>
        <w:tc>
          <w:tcPr>
            <w:tcW w:type="dxa" w:w="1872"/>
            <w:shd w:val="clear" w:color="auto" w:fill="F9FBFD"/>
            <w:tcMar>
              <w:top w:w="80" w:type="dxa"/>
              <w:bottom w:w="80" w:type="dxa"/>
              <w:left w:w="80" w:type="dxa"/>
              <w:right w:w="80" w:type="dxa"/>
            </w:tcMar>
          </w:tcPr>
          <w:p>
            <w:pPr>
              <w:jc w:val="center"/>
            </w:pPr>
            <w:r>
              <w:rPr>
                <w:sz w:val="16"/>
              </w:rPr>
              <w:t>≥ 95.0%</w:t>
            </w:r>
          </w:p>
        </w:tc>
        <w:tc>
          <w:tcPr>
            <w:tcW w:type="dxa" w:w="1872"/>
            <w:shd w:val="clear" w:color="auto" w:fill="F9FBFD"/>
            <w:tcMar>
              <w:top w:w="80" w:type="dxa"/>
              <w:bottom w:w="80" w:type="dxa"/>
              <w:left w:w="80" w:type="dxa"/>
              <w:right w:w="80" w:type="dxa"/>
            </w:tcMar>
          </w:tcPr>
          <w:p>
            <w:r>
              <w:rPr>
                <w:sz w:val="16"/>
              </w:rPr>
              <w:t>Onboarding Dashboard</w:t>
            </w:r>
          </w:p>
        </w:tc>
        <w:tc>
          <w:tcPr>
            <w:tcW w:type="dxa" w:w="1872"/>
            <w:shd w:val="clear" w:color="auto" w:fill="F9FBFD"/>
            <w:tcMar>
              <w:top w:w="80" w:type="dxa"/>
              <w:bottom w:w="80" w:type="dxa"/>
              <w:left w:w="80" w:type="dxa"/>
              <w:right w:w="80" w:type="dxa"/>
            </w:tcMar>
          </w:tcPr>
          <w:p>
            <w:pPr>
              <w:jc w:val="center"/>
            </w:pPr>
            <w:r>
              <w:rPr>
                <w:sz w:val="16"/>
              </w:rPr>
              <w:t>Monthly</w:t>
            </w:r>
          </w:p>
        </w:tc>
      </w:tr>
      <w:tr>
        <w:tc>
          <w:tcPr>
            <w:tcW w:type="dxa" w:w="1872"/>
            <w:shd w:val="clear" w:color="auto" w:fill="FFFFFF"/>
            <w:tcMar>
              <w:top w:w="80" w:type="dxa"/>
              <w:bottom w:w="80" w:type="dxa"/>
              <w:left w:w="80" w:type="dxa"/>
              <w:right w:w="80" w:type="dxa"/>
            </w:tcMar>
          </w:tcPr>
          <w:p>
            <w:r>
              <w:rPr>
                <w:b/>
                <w:sz w:val="16"/>
              </w:rPr>
              <w:t>90-Day Early Retention</w:t>
            </w:r>
          </w:p>
        </w:tc>
        <w:tc>
          <w:tcPr>
            <w:tcW w:type="dxa" w:w="1872"/>
            <w:shd w:val="clear" w:color="auto" w:fill="FFFFFF"/>
            <w:tcMar>
              <w:top w:w="80" w:type="dxa"/>
              <w:bottom w:w="80" w:type="dxa"/>
              <w:left w:w="80" w:type="dxa"/>
              <w:right w:w="80" w:type="dxa"/>
            </w:tcMar>
          </w:tcPr>
          <w:p>
            <w:r>
              <w:rPr>
                <w:sz w:val="16"/>
              </w:rPr>
              <w:t>(Hires actively employed at Day 90 ÷ Total starts) × 100</w:t>
            </w:r>
          </w:p>
        </w:tc>
        <w:tc>
          <w:tcPr>
            <w:tcW w:type="dxa" w:w="1872"/>
            <w:shd w:val="clear" w:color="auto" w:fill="FFFFFF"/>
            <w:tcMar>
              <w:top w:w="80" w:type="dxa"/>
              <w:bottom w:w="80" w:type="dxa"/>
              <w:left w:w="80" w:type="dxa"/>
              <w:right w:w="80" w:type="dxa"/>
            </w:tcMar>
          </w:tcPr>
          <w:p>
            <w:pPr>
              <w:jc w:val="center"/>
            </w:pPr>
            <w:r>
              <w:rPr>
                <w:sz w:val="16"/>
              </w:rPr>
              <w:t>≥ 95.0%</w:t>
            </w:r>
          </w:p>
        </w:tc>
        <w:tc>
          <w:tcPr>
            <w:tcW w:type="dxa" w:w="1872"/>
            <w:shd w:val="clear" w:color="auto" w:fill="FFFFFF"/>
            <w:tcMar>
              <w:top w:w="80" w:type="dxa"/>
              <w:bottom w:w="80" w:type="dxa"/>
              <w:left w:w="80" w:type="dxa"/>
              <w:right w:w="80" w:type="dxa"/>
            </w:tcMar>
          </w:tcPr>
          <w:p>
            <w:r>
              <w:rPr>
                <w:sz w:val="16"/>
              </w:rPr>
              <w:t>Employee Central</w:t>
            </w:r>
          </w:p>
        </w:tc>
        <w:tc>
          <w:tcPr>
            <w:tcW w:type="dxa" w:w="1872"/>
            <w:shd w:val="clear" w:color="auto" w:fill="FFFFFF"/>
            <w:tcMar>
              <w:top w:w="80" w:type="dxa"/>
              <w:bottom w:w="80" w:type="dxa"/>
              <w:left w:w="80" w:type="dxa"/>
              <w:right w:w="80" w:type="dxa"/>
            </w:tcMar>
          </w:tcPr>
          <w:p>
            <w:pPr>
              <w:jc w:val="center"/>
            </w:pPr>
            <w:r>
              <w:rPr>
                <w:sz w:val="16"/>
              </w:rPr>
              <w:t>Day 90 Cohort</w:t>
            </w:r>
          </w:p>
        </w:tc>
      </w:tr>
      <w:tr>
        <w:tc>
          <w:tcPr>
            <w:tcW w:type="dxa" w:w="1872"/>
            <w:shd w:val="clear" w:color="auto" w:fill="F9FBFD"/>
            <w:tcMar>
              <w:top w:w="80" w:type="dxa"/>
              <w:bottom w:w="80" w:type="dxa"/>
              <w:left w:w="80" w:type="dxa"/>
              <w:right w:w="80" w:type="dxa"/>
            </w:tcMar>
          </w:tcPr>
          <w:p>
            <w:r>
              <w:rPr>
                <w:b/>
                <w:sz w:val="16"/>
              </w:rPr>
              <w:t>Candidate SLA Response</w:t>
            </w:r>
          </w:p>
        </w:tc>
        <w:tc>
          <w:tcPr>
            <w:tcW w:type="dxa" w:w="1872"/>
            <w:shd w:val="clear" w:color="auto" w:fill="F9FBFD"/>
            <w:tcMar>
              <w:top w:w="80" w:type="dxa"/>
              <w:bottom w:w="80" w:type="dxa"/>
              <w:left w:w="80" w:type="dxa"/>
              <w:right w:w="80" w:type="dxa"/>
            </w:tcMar>
          </w:tcPr>
          <w:p>
            <w:r>
              <w:rPr>
                <w:sz w:val="16"/>
              </w:rPr>
              <w:t>(Candidates updated within SLA timeframe ÷ Total candidates) × 100</w:t>
            </w:r>
          </w:p>
        </w:tc>
        <w:tc>
          <w:tcPr>
            <w:tcW w:type="dxa" w:w="1872"/>
            <w:shd w:val="clear" w:color="auto" w:fill="F9FBFD"/>
            <w:tcMar>
              <w:top w:w="80" w:type="dxa"/>
              <w:bottom w:w="80" w:type="dxa"/>
              <w:left w:w="80" w:type="dxa"/>
              <w:right w:w="80" w:type="dxa"/>
            </w:tcMar>
          </w:tcPr>
          <w:p>
            <w:pPr>
              <w:jc w:val="center"/>
            </w:pPr>
            <w:r>
              <w:rPr>
                <w:sz w:val="16"/>
              </w:rPr>
              <w:t>≥ 90.0% within</w:t>
              <w:br/>
              <w:t>3 business days</w:t>
            </w:r>
          </w:p>
        </w:tc>
        <w:tc>
          <w:tcPr>
            <w:tcW w:type="dxa" w:w="1872"/>
            <w:shd w:val="clear" w:color="auto" w:fill="F9FBFD"/>
            <w:tcMar>
              <w:top w:w="80" w:type="dxa"/>
              <w:bottom w:w="80" w:type="dxa"/>
              <w:left w:w="80" w:type="dxa"/>
              <w:right w:w="80" w:type="dxa"/>
            </w:tcMar>
          </w:tcPr>
          <w:p>
            <w:r>
              <w:rPr>
                <w:sz w:val="16"/>
              </w:rPr>
              <w:t>RCM Activity Logs</w:t>
            </w:r>
          </w:p>
        </w:tc>
        <w:tc>
          <w:tcPr>
            <w:tcW w:type="dxa" w:w="1872"/>
            <w:shd w:val="clear" w:color="auto" w:fill="F9FBFD"/>
            <w:tcMar>
              <w:top w:w="80" w:type="dxa"/>
              <w:bottom w:w="80" w:type="dxa"/>
              <w:left w:w="80" w:type="dxa"/>
              <w:right w:w="80" w:type="dxa"/>
            </w:tcMar>
          </w:tcPr>
          <w:p>
            <w:pPr>
              <w:jc w:val="center"/>
            </w:pPr>
            <w:r>
              <w:rPr>
                <w:sz w:val="16"/>
              </w:rPr>
              <w:t>Weekly</w:t>
            </w:r>
          </w:p>
        </w:tc>
      </w:tr>
    </w:tbl>
    <w:p>
      <w:pPr>
        <w:spacing w:after="240"/>
      </w:pPr>
    </w:p>
    <w:p>
      <w:pPr>
        <w:keepNext/>
        <w:spacing w:before="280" w:after="80"/>
      </w:pPr>
      <w:r>
        <w:rPr>
          <w:rFonts w:ascii="Calibri" w:hAnsi="Calibri"/>
          <w:b/>
          <w:color w:val="2E6B9E"/>
          <w:sz w:val="25"/>
        </w:rPr>
        <w:t>8.3 Structured Feedback Loops &amp; Escalation Rules</w:t>
      </w:r>
    </w:p>
    <w:p>
      <w:pPr>
        <w:spacing w:after="120" w:line="276" w:lineRule="auto"/>
      </w:pPr>
      <w:r>
        <w:t>Operational decision rules govern automated interventions based on real-time data:</w:t>
      </w:r>
    </w:p>
    <w:p>
      <w:pPr>
        <w:spacing w:after="120" w:line="276" w:lineRule="auto"/>
      </w:pPr>
      <w:r>
        <w:rPr>
          <w:b/>
          <w:color w:val="1B365D"/>
        </w:rPr>
        <w:t xml:space="preserve">• Trigger Rule 1 (Funnel Stagnation): </w:t>
      </w:r>
      <w:r>
        <w:t xml:space="preserve">Weekly Pipeline Review: </w:t>
      </w:r>
    </w:p>
    <w:p>
      <w:pPr>
        <w:spacing w:after="120" w:line="276" w:lineRule="auto"/>
      </w:pPr>
      <w:r>
        <w:t>If a priority requisition exhibits &lt; 5 qualified candidates after 10 business days, the Campaign Lead must execute a mandatory job description review, expand sourcing channel distribution, and evaluate salary band positioning.</w:t>
      </w:r>
    </w:p>
    <w:p>
      <w:pPr>
        <w:spacing w:after="120" w:line="276" w:lineRule="auto"/>
      </w:pPr>
      <w:r>
        <w:rPr>
          <w:b/>
          <w:color w:val="1B365D"/>
        </w:rPr>
        <w:t xml:space="preserve">• Trigger Rule 2 (Interview SLA Breach): </w:t>
      </w:r>
      <w:r>
        <w:t xml:space="preserve">Interviews &amp; Feedback SLA: </w:t>
      </w:r>
    </w:p>
    <w:p>
      <w:pPr>
        <w:spacing w:after="120" w:line="276" w:lineRule="auto"/>
      </w:pPr>
      <w:r>
        <w:t>If an interviewer fails to submit a scorecard within 48 hours post-interview, RCM issues an automated escalation alert to the Hiring Manager's line lead and reallocates upcoming candidates to backup panel members.</w:t>
      </w:r>
    </w:p>
    <w:p>
      <w:pPr>
        <w:spacing w:after="120" w:line="276" w:lineRule="auto"/>
      </w:pPr>
      <w:r>
        <w:rPr>
          <w:b/>
          <w:color w:val="1B365D"/>
        </w:rPr>
        <w:t xml:space="preserve">• Trigger Rule 3 (Low Channel Conversion): </w:t>
      </w:r>
      <w:r>
        <w:t xml:space="preserve">Ad Performance Tuning: </w:t>
      </w:r>
    </w:p>
    <w:p>
      <w:pPr>
        <w:spacing w:after="120" w:line="276" w:lineRule="auto"/>
      </w:pPr>
      <w:r>
        <w:t>If a paid ad channel generates high click-through volume but &lt; 15% application conversion over 7 days, media spend is automatically reallocated to top-performing technical portals or employee referral incentives.</w:t>
      </w:r>
    </w:p>
    <w:p>
      <w:pPr>
        <w:keepNext/>
        <w:spacing w:before="360" w:after="120"/>
      </w:pPr>
      <w:r>
        <w:rPr>
          <w:rFonts w:ascii="Calibri" w:hAnsi="Calibri"/>
          <w:b/>
          <w:color w:val="1B365D"/>
          <w:sz w:val="30"/>
        </w:rPr>
        <w:t>9. Contingency &amp; Operational Risk Management</w:t>
      </w:r>
    </w:p>
    <w:p>
      <w:pPr>
        <w:spacing w:after="120" w:line="276" w:lineRule="auto"/>
      </w:pPr>
      <w:r>
        <w:t>To ensure campaign resilience against market and operational disruptions, 11 detailed risk scenarios, early warning indicators, and actionable contingency plans are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00" w:type="dxa"/>
              <w:bottom w:w="100" w:type="dxa"/>
              <w:left w:w="80" w:type="dxa"/>
              <w:right w:w="80" w:type="dxa"/>
            </w:tcMar>
          </w:tcPr>
          <w:p>
            <w:pPr>
              <w:jc w:val="center"/>
            </w:pPr>
            <w:r>
              <w:rPr>
                <w:b/>
                <w:color w:val="FFFFFF"/>
                <w:sz w:val="17"/>
              </w:rPr>
              <w:t>Risk Scenario</w:t>
            </w:r>
          </w:p>
        </w:tc>
        <w:tc>
          <w:tcPr>
            <w:tcW w:type="dxa" w:w="2340"/>
            <w:shd w:val="clear" w:color="auto" w:fill="1B365D"/>
            <w:tcMar>
              <w:top w:w="100" w:type="dxa"/>
              <w:bottom w:w="100" w:type="dxa"/>
              <w:left w:w="80" w:type="dxa"/>
              <w:right w:w="80" w:type="dxa"/>
            </w:tcMar>
          </w:tcPr>
          <w:p>
            <w:pPr>
              <w:jc w:val="center"/>
            </w:pPr>
            <w:r>
              <w:rPr>
                <w:b/>
                <w:color w:val="FFFFFF"/>
                <w:sz w:val="17"/>
              </w:rPr>
              <w:t>Early Warning Indicator</w:t>
            </w:r>
          </w:p>
        </w:tc>
        <w:tc>
          <w:tcPr>
            <w:tcW w:type="dxa" w:w="2340"/>
            <w:shd w:val="clear" w:color="auto" w:fill="1B365D"/>
            <w:tcMar>
              <w:top w:w="100" w:type="dxa"/>
              <w:bottom w:w="100" w:type="dxa"/>
              <w:left w:w="80" w:type="dxa"/>
              <w:right w:w="80" w:type="dxa"/>
            </w:tcMar>
          </w:tcPr>
          <w:p>
            <w:pPr>
              <w:jc w:val="center"/>
            </w:pPr>
            <w:r>
              <w:rPr>
                <w:b/>
                <w:color w:val="FFFFFF"/>
                <w:sz w:val="17"/>
              </w:rPr>
              <w:t>Mitigation &amp; Actionable Contingency Plan</w:t>
            </w:r>
          </w:p>
        </w:tc>
        <w:tc>
          <w:tcPr>
            <w:tcW w:type="dxa" w:w="2340"/>
            <w:shd w:val="clear" w:color="auto" w:fill="1B365D"/>
            <w:tcMar>
              <w:top w:w="100" w:type="dxa"/>
              <w:bottom w:w="100" w:type="dxa"/>
              <w:left w:w="80" w:type="dxa"/>
              <w:right w:w="80" w:type="dxa"/>
            </w:tcMar>
          </w:tcPr>
          <w:p>
            <w:pPr>
              <w:jc w:val="center"/>
            </w:pPr>
            <w:r>
              <w:rPr>
                <w:b/>
                <w:color w:val="FFFFFF"/>
                <w:sz w:val="17"/>
              </w:rPr>
              <w:t>Risk Owner</w:t>
            </w:r>
          </w:p>
        </w:tc>
      </w:tr>
      <w:tr>
        <w:tc>
          <w:tcPr>
            <w:tcW w:type="dxa" w:w="2340"/>
            <w:shd w:val="clear" w:color="auto" w:fill="FFFFFF"/>
            <w:tcMar>
              <w:top w:w="80" w:type="dxa"/>
              <w:bottom w:w="80" w:type="dxa"/>
              <w:left w:w="80" w:type="dxa"/>
              <w:right w:w="80" w:type="dxa"/>
            </w:tcMar>
          </w:tcPr>
          <w:p>
            <w:r>
              <w:rPr>
                <w:b/>
                <w:sz w:val="16"/>
              </w:rPr>
              <w:t>1. Critical Shortage of EV / Battery Talent</w:t>
            </w:r>
          </w:p>
        </w:tc>
        <w:tc>
          <w:tcPr>
            <w:tcW w:type="dxa" w:w="2340"/>
            <w:shd w:val="clear" w:color="auto" w:fill="FFFFFF"/>
            <w:tcMar>
              <w:top w:w="80" w:type="dxa"/>
              <w:bottom w:w="80" w:type="dxa"/>
              <w:left w:w="80" w:type="dxa"/>
              <w:right w:w="80" w:type="dxa"/>
            </w:tcMar>
          </w:tcPr>
          <w:p>
            <w:r>
              <w:rPr>
                <w:sz w:val="16"/>
              </w:rPr>
              <w:t>&lt; 5 qualified screen passes by Day 10 in RCM pipeline</w:t>
            </w:r>
          </w:p>
        </w:tc>
        <w:tc>
          <w:tcPr>
            <w:tcW w:type="dxa" w:w="2340"/>
            <w:shd w:val="clear" w:color="auto" w:fill="FFFFFF"/>
            <w:tcMar>
              <w:top w:w="80" w:type="dxa"/>
              <w:bottom w:w="80" w:type="dxa"/>
              <w:left w:w="80" w:type="dxa"/>
              <w:right w:w="80" w:type="dxa"/>
            </w:tcMar>
          </w:tcPr>
          <w:p>
            <w:r>
              <w:rPr>
                <w:sz w:val="16"/>
              </w:rPr>
              <w:t>Activate niche specialized search agencies; launch targeted referral bonus uplift (+25%); expand geographic search radius with remote/relocation packages.</w:t>
            </w:r>
          </w:p>
        </w:tc>
        <w:tc>
          <w:tcPr>
            <w:tcW w:type="dxa" w:w="2340"/>
            <w:shd w:val="clear" w:color="auto" w:fill="FFFFFF"/>
            <w:tcMar>
              <w:top w:w="80" w:type="dxa"/>
              <w:bottom w:w="80" w:type="dxa"/>
              <w:left w:w="80" w:type="dxa"/>
              <w:right w:w="80" w:type="dxa"/>
            </w:tcMar>
          </w:tcPr>
          <w:p>
            <w:pPr>
              <w:jc w:val="center"/>
            </w:pPr>
            <w:r>
              <w:rPr>
                <w:sz w:val="16"/>
              </w:rPr>
              <w:t>Campaign Lead +</w:t>
              <w:br/>
              <w:t>Recruiting Lead</w:t>
            </w:r>
          </w:p>
        </w:tc>
      </w:tr>
      <w:tr>
        <w:tc>
          <w:tcPr>
            <w:tcW w:type="dxa" w:w="2340"/>
            <w:shd w:val="clear" w:color="auto" w:fill="F9FBFD"/>
            <w:tcMar>
              <w:top w:w="80" w:type="dxa"/>
              <w:bottom w:w="80" w:type="dxa"/>
              <w:left w:w="80" w:type="dxa"/>
              <w:right w:w="80" w:type="dxa"/>
            </w:tcMar>
          </w:tcPr>
          <w:p>
            <w:r>
              <w:rPr>
                <w:b/>
                <w:sz w:val="16"/>
              </w:rPr>
              <w:t>2. Low Candidate Application Conversion</w:t>
            </w:r>
          </w:p>
        </w:tc>
        <w:tc>
          <w:tcPr>
            <w:tcW w:type="dxa" w:w="2340"/>
            <w:shd w:val="clear" w:color="auto" w:fill="F9FBFD"/>
            <w:tcMar>
              <w:top w:w="80" w:type="dxa"/>
              <w:bottom w:w="80" w:type="dxa"/>
              <w:left w:w="80" w:type="dxa"/>
              <w:right w:w="80" w:type="dxa"/>
            </w:tcMar>
          </w:tcPr>
          <w:p>
            <w:r>
              <w:rPr>
                <w:sz w:val="16"/>
              </w:rPr>
              <w:t>High landing page visits (&gt;1000) but &lt; 5% application start rate</w:t>
            </w:r>
          </w:p>
        </w:tc>
        <w:tc>
          <w:tcPr>
            <w:tcW w:type="dxa" w:w="2340"/>
            <w:shd w:val="clear" w:color="auto" w:fill="F9FBFD"/>
            <w:tcMar>
              <w:top w:w="80" w:type="dxa"/>
              <w:bottom w:w="80" w:type="dxa"/>
              <w:left w:w="80" w:type="dxa"/>
              <w:right w:w="80" w:type="dxa"/>
            </w:tcMar>
          </w:tcPr>
          <w:p>
            <w:r>
              <w:rPr>
                <w:sz w:val="16"/>
              </w:rPr>
              <w:t>Execute immediate A/B testing on CSB landing page; simplify application form by removing non-essential fields; enable quick LinkedIn apply.</w:t>
            </w:r>
          </w:p>
        </w:tc>
        <w:tc>
          <w:tcPr>
            <w:tcW w:type="dxa" w:w="2340"/>
            <w:shd w:val="clear" w:color="auto" w:fill="F9FBFD"/>
            <w:tcMar>
              <w:top w:w="80" w:type="dxa"/>
              <w:bottom w:w="80" w:type="dxa"/>
              <w:left w:w="80" w:type="dxa"/>
              <w:right w:w="80" w:type="dxa"/>
            </w:tcMar>
          </w:tcPr>
          <w:p>
            <w:pPr>
              <w:jc w:val="center"/>
            </w:pPr>
            <w:r>
              <w:rPr>
                <w:sz w:val="16"/>
              </w:rPr>
              <w:t>Marketing Lead +</w:t>
              <w:br/>
              <w:t>HRIS Admin</w:t>
            </w:r>
          </w:p>
        </w:tc>
      </w:tr>
      <w:tr>
        <w:tc>
          <w:tcPr>
            <w:tcW w:type="dxa" w:w="2340"/>
            <w:shd w:val="clear" w:color="auto" w:fill="FFFFFF"/>
            <w:tcMar>
              <w:top w:w="80" w:type="dxa"/>
              <w:bottom w:w="80" w:type="dxa"/>
              <w:left w:w="80" w:type="dxa"/>
              <w:right w:w="80" w:type="dxa"/>
            </w:tcMar>
          </w:tcPr>
          <w:p>
            <w:r>
              <w:rPr>
                <w:b/>
                <w:sz w:val="16"/>
              </w:rPr>
              <w:t>3. High Rate of Offer Declines (&gt;15%)</w:t>
            </w:r>
          </w:p>
        </w:tc>
        <w:tc>
          <w:tcPr>
            <w:tcW w:type="dxa" w:w="2340"/>
            <w:shd w:val="clear" w:color="auto" w:fill="FFFFFF"/>
            <w:tcMar>
              <w:top w:w="80" w:type="dxa"/>
              <w:bottom w:w="80" w:type="dxa"/>
              <w:left w:w="80" w:type="dxa"/>
              <w:right w:w="80" w:type="dxa"/>
            </w:tcMar>
          </w:tcPr>
          <w:p>
            <w:r>
              <w:rPr>
                <w:sz w:val="16"/>
              </w:rPr>
              <w:t>More than 2 offer rejections within a single job family</w:t>
            </w:r>
          </w:p>
        </w:tc>
        <w:tc>
          <w:tcPr>
            <w:tcW w:type="dxa" w:w="2340"/>
            <w:shd w:val="clear" w:color="auto" w:fill="FFFFFF"/>
            <w:tcMar>
              <w:top w:w="80" w:type="dxa"/>
              <w:bottom w:w="80" w:type="dxa"/>
              <w:left w:w="80" w:type="dxa"/>
              <w:right w:w="80" w:type="dxa"/>
            </w:tcMar>
          </w:tcPr>
          <w:p>
            <w:r>
              <w:rPr>
                <w:sz w:val="16"/>
              </w:rPr>
              <w:t>Conduct rapid exit interview call with declining candidate; re-evaluate compensation competitiveness against market benchmarks; prepare warm backup shortlists.</w:t>
            </w:r>
          </w:p>
        </w:tc>
        <w:tc>
          <w:tcPr>
            <w:tcW w:type="dxa" w:w="2340"/>
            <w:shd w:val="clear" w:color="auto" w:fill="FFFFFF"/>
            <w:tcMar>
              <w:top w:w="80" w:type="dxa"/>
              <w:bottom w:w="80" w:type="dxa"/>
              <w:left w:w="80" w:type="dxa"/>
              <w:right w:w="80" w:type="dxa"/>
            </w:tcMar>
          </w:tcPr>
          <w:p>
            <w:pPr>
              <w:jc w:val="center"/>
            </w:pPr>
            <w:r>
              <w:rPr>
                <w:sz w:val="16"/>
              </w:rPr>
              <w:t>HRBP +</w:t>
              <w:br/>
              <w:t>Recruiter</w:t>
            </w:r>
          </w:p>
        </w:tc>
      </w:tr>
      <w:tr>
        <w:tc>
          <w:tcPr>
            <w:tcW w:type="dxa" w:w="2340"/>
            <w:shd w:val="clear" w:color="auto" w:fill="F9FBFD"/>
            <w:tcMar>
              <w:top w:w="80" w:type="dxa"/>
              <w:bottom w:w="80" w:type="dxa"/>
              <w:left w:w="80" w:type="dxa"/>
              <w:right w:w="80" w:type="dxa"/>
            </w:tcMar>
          </w:tcPr>
          <w:p>
            <w:r>
              <w:rPr>
                <w:b/>
                <w:sz w:val="16"/>
              </w:rPr>
              <w:t>4. Hiring Manager Panel Delays</w:t>
            </w:r>
          </w:p>
        </w:tc>
        <w:tc>
          <w:tcPr>
            <w:tcW w:type="dxa" w:w="2340"/>
            <w:shd w:val="clear" w:color="auto" w:fill="F9FBFD"/>
            <w:tcMar>
              <w:top w:w="80" w:type="dxa"/>
              <w:bottom w:w="80" w:type="dxa"/>
              <w:left w:w="80" w:type="dxa"/>
              <w:right w:w="80" w:type="dxa"/>
            </w:tcMar>
          </w:tcPr>
          <w:p>
            <w:r>
              <w:rPr>
                <w:sz w:val="16"/>
              </w:rPr>
              <w:t>Interview scorecard submission backlog &gt; 48 hours for &gt; 3 candidates</w:t>
            </w:r>
          </w:p>
        </w:tc>
        <w:tc>
          <w:tcPr>
            <w:tcW w:type="dxa" w:w="2340"/>
            <w:shd w:val="clear" w:color="auto" w:fill="F9FBFD"/>
            <w:tcMar>
              <w:top w:w="80" w:type="dxa"/>
              <w:bottom w:w="80" w:type="dxa"/>
              <w:left w:w="80" w:type="dxa"/>
              <w:right w:w="80" w:type="dxa"/>
            </w:tcMar>
          </w:tcPr>
          <w:p>
            <w:r>
              <w:rPr>
                <w:sz w:val="16"/>
              </w:rPr>
              <w:t>Deploy trained secondary backup panel members; block dedicated interview hours on manager calendars; escalate to Department Head.</w:t>
            </w:r>
          </w:p>
        </w:tc>
        <w:tc>
          <w:tcPr>
            <w:tcW w:type="dxa" w:w="2340"/>
            <w:shd w:val="clear" w:color="auto" w:fill="F9FBFD"/>
            <w:tcMar>
              <w:top w:w="80" w:type="dxa"/>
              <w:bottom w:w="80" w:type="dxa"/>
              <w:left w:w="80" w:type="dxa"/>
              <w:right w:w="80" w:type="dxa"/>
            </w:tcMar>
          </w:tcPr>
          <w:p>
            <w:pPr>
              <w:jc w:val="center"/>
            </w:pPr>
            <w:r>
              <w:rPr>
                <w:sz w:val="16"/>
              </w:rPr>
              <w:t>Hiring Manager +</w:t>
              <w:br/>
              <w:t>Campaign Lead</w:t>
            </w:r>
          </w:p>
        </w:tc>
      </w:tr>
      <w:tr>
        <w:tc>
          <w:tcPr>
            <w:tcW w:type="dxa" w:w="2340"/>
            <w:shd w:val="clear" w:color="auto" w:fill="FFFFFF"/>
            <w:tcMar>
              <w:top w:w="80" w:type="dxa"/>
              <w:bottom w:w="80" w:type="dxa"/>
              <w:left w:w="80" w:type="dxa"/>
              <w:right w:w="80" w:type="dxa"/>
            </w:tcMar>
          </w:tcPr>
          <w:p>
            <w:r>
              <w:rPr>
                <w:b/>
                <w:sz w:val="16"/>
              </w:rPr>
              <w:t>5. Job Board Multi-Posting Failure</w:t>
            </w:r>
          </w:p>
        </w:tc>
        <w:tc>
          <w:tcPr>
            <w:tcW w:type="dxa" w:w="2340"/>
            <w:shd w:val="clear" w:color="auto" w:fill="FFFFFF"/>
            <w:tcMar>
              <w:top w:w="80" w:type="dxa"/>
              <w:bottom w:w="80" w:type="dxa"/>
              <w:left w:w="80" w:type="dxa"/>
              <w:right w:w="80" w:type="dxa"/>
            </w:tcMar>
          </w:tcPr>
          <w:p>
            <w:r>
              <w:rPr>
                <w:sz w:val="16"/>
              </w:rPr>
              <w:t>Recruiting Posting sync errors or missing UTM source tags</w:t>
            </w:r>
          </w:p>
        </w:tc>
        <w:tc>
          <w:tcPr>
            <w:tcW w:type="dxa" w:w="2340"/>
            <w:shd w:val="clear" w:color="auto" w:fill="FFFFFF"/>
            <w:tcMar>
              <w:top w:w="80" w:type="dxa"/>
              <w:bottom w:w="80" w:type="dxa"/>
              <w:left w:w="80" w:type="dxa"/>
              <w:right w:w="80" w:type="dxa"/>
            </w:tcMar>
          </w:tcPr>
          <w:p>
            <w:r>
              <w:rPr>
                <w:sz w:val="16"/>
              </w:rPr>
              <w:t>Execute approved manual job posting protocol with manual tracking URLs; log urgent HRIS support ticket; reconcile records post-resolution.</w:t>
            </w:r>
          </w:p>
        </w:tc>
        <w:tc>
          <w:tcPr>
            <w:tcW w:type="dxa" w:w="2340"/>
            <w:shd w:val="clear" w:color="auto" w:fill="FFFFFF"/>
            <w:tcMar>
              <w:top w:w="80" w:type="dxa"/>
              <w:bottom w:w="80" w:type="dxa"/>
              <w:left w:w="80" w:type="dxa"/>
              <w:right w:w="80" w:type="dxa"/>
            </w:tcMar>
          </w:tcPr>
          <w:p>
            <w:pPr>
              <w:jc w:val="center"/>
            </w:pPr>
            <w:r>
              <w:rPr>
                <w:sz w:val="16"/>
              </w:rPr>
              <w:t>HRIS Admin</w:t>
            </w:r>
          </w:p>
        </w:tc>
      </w:tr>
      <w:tr>
        <w:tc>
          <w:tcPr>
            <w:tcW w:type="dxa" w:w="2340"/>
            <w:shd w:val="clear" w:color="auto" w:fill="F9FBFD"/>
            <w:tcMar>
              <w:top w:w="80" w:type="dxa"/>
              <w:bottom w:w="80" w:type="dxa"/>
              <w:left w:w="80" w:type="dxa"/>
              <w:right w:w="80" w:type="dxa"/>
            </w:tcMar>
          </w:tcPr>
          <w:p>
            <w:r>
              <w:rPr>
                <w:b/>
                <w:sz w:val="16"/>
              </w:rPr>
              <w:t>6. Unexpected Budget Reductions</w:t>
            </w:r>
          </w:p>
        </w:tc>
        <w:tc>
          <w:tcPr>
            <w:tcW w:type="dxa" w:w="2340"/>
            <w:shd w:val="clear" w:color="auto" w:fill="F9FBFD"/>
            <w:tcMar>
              <w:top w:w="80" w:type="dxa"/>
              <w:bottom w:w="80" w:type="dxa"/>
              <w:left w:w="80" w:type="dxa"/>
              <w:right w:w="80" w:type="dxa"/>
            </w:tcMar>
          </w:tcPr>
          <w:p>
            <w:r>
              <w:rPr>
                <w:sz w:val="16"/>
              </w:rPr>
              <w:t>Campaign media spend capped or reduced by mid-campaign</w:t>
            </w:r>
          </w:p>
        </w:tc>
        <w:tc>
          <w:tcPr>
            <w:tcW w:type="dxa" w:w="2340"/>
            <w:shd w:val="clear" w:color="auto" w:fill="F9FBFD"/>
            <w:tcMar>
              <w:top w:w="80" w:type="dxa"/>
              <w:bottom w:w="80" w:type="dxa"/>
              <w:left w:w="80" w:type="dxa"/>
              <w:right w:w="80" w:type="dxa"/>
            </w:tcMar>
          </w:tcPr>
          <w:p>
            <w:r>
              <w:rPr>
                <w:sz w:val="16"/>
              </w:rPr>
              <w:t>Prioritize paid channels strictly for hard-to-fill EV engineering roles; pause broad brand ads; shift 70% focus to low-cost employee referrals &amp; organic networks.</w:t>
            </w:r>
          </w:p>
        </w:tc>
        <w:tc>
          <w:tcPr>
            <w:tcW w:type="dxa" w:w="2340"/>
            <w:shd w:val="clear" w:color="auto" w:fill="F9FBFD"/>
            <w:tcMar>
              <w:top w:w="80" w:type="dxa"/>
              <w:bottom w:w="80" w:type="dxa"/>
              <w:left w:w="80" w:type="dxa"/>
              <w:right w:w="80" w:type="dxa"/>
            </w:tcMar>
          </w:tcPr>
          <w:p>
            <w:pPr>
              <w:jc w:val="center"/>
            </w:pPr>
            <w:r>
              <w:rPr>
                <w:sz w:val="16"/>
              </w:rPr>
              <w:t>Executive Sponsor +</w:t>
              <w:br/>
              <w:t>Campaign Lead</w:t>
            </w:r>
          </w:p>
        </w:tc>
      </w:tr>
      <w:tr>
        <w:tc>
          <w:tcPr>
            <w:tcW w:type="dxa" w:w="2340"/>
            <w:shd w:val="clear" w:color="auto" w:fill="FFFFFF"/>
            <w:tcMar>
              <w:top w:w="80" w:type="dxa"/>
              <w:bottom w:w="80" w:type="dxa"/>
              <w:left w:w="80" w:type="dxa"/>
              <w:right w:w="80" w:type="dxa"/>
            </w:tcMar>
          </w:tcPr>
          <w:p>
            <w:r>
              <w:rPr>
                <w:b/>
                <w:sz w:val="16"/>
              </w:rPr>
              <w:t>7. Data Privacy / GDPR / DPDP Incident</w:t>
            </w:r>
          </w:p>
        </w:tc>
        <w:tc>
          <w:tcPr>
            <w:tcW w:type="dxa" w:w="2340"/>
            <w:shd w:val="clear" w:color="auto" w:fill="FFFFFF"/>
            <w:tcMar>
              <w:top w:w="80" w:type="dxa"/>
              <w:bottom w:w="80" w:type="dxa"/>
              <w:left w:w="80" w:type="dxa"/>
              <w:right w:w="80" w:type="dxa"/>
            </w:tcMar>
          </w:tcPr>
          <w:p>
            <w:r>
              <w:rPr>
                <w:sz w:val="16"/>
              </w:rPr>
              <w:t>Mis-directed email containing candidate resume or PII data</w:t>
            </w:r>
          </w:p>
        </w:tc>
        <w:tc>
          <w:tcPr>
            <w:tcW w:type="dxa" w:w="2340"/>
            <w:shd w:val="clear" w:color="auto" w:fill="FFFFFF"/>
            <w:tcMar>
              <w:top w:w="80" w:type="dxa"/>
              <w:bottom w:w="80" w:type="dxa"/>
              <w:left w:w="80" w:type="dxa"/>
              <w:right w:w="80" w:type="dxa"/>
            </w:tcMar>
          </w:tcPr>
          <w:p>
            <w:r>
              <w:rPr>
                <w:sz w:val="16"/>
              </w:rPr>
              <w:t>Immediately invoke Corporate Data Privacy Protocol; restrict file access permissions; notify Data Protection Officer (DPO); log incident report within 24h.</w:t>
            </w:r>
          </w:p>
        </w:tc>
        <w:tc>
          <w:tcPr>
            <w:tcW w:type="dxa" w:w="2340"/>
            <w:shd w:val="clear" w:color="auto" w:fill="FFFFFF"/>
            <w:tcMar>
              <w:top w:w="80" w:type="dxa"/>
              <w:bottom w:w="80" w:type="dxa"/>
              <w:left w:w="80" w:type="dxa"/>
              <w:right w:w="80" w:type="dxa"/>
            </w:tcMar>
          </w:tcPr>
          <w:p>
            <w:pPr>
              <w:jc w:val="center"/>
            </w:pPr>
            <w:r>
              <w:rPr>
                <w:sz w:val="16"/>
              </w:rPr>
              <w:t>DPO +</w:t>
              <w:br/>
              <w:t>HRIS Admin</w:t>
            </w:r>
          </w:p>
        </w:tc>
      </w:tr>
      <w:tr>
        <w:tc>
          <w:tcPr>
            <w:tcW w:type="dxa" w:w="2340"/>
            <w:shd w:val="clear" w:color="auto" w:fill="F9FBFD"/>
            <w:tcMar>
              <w:top w:w="80" w:type="dxa"/>
              <w:bottom w:w="80" w:type="dxa"/>
              <w:left w:w="80" w:type="dxa"/>
              <w:right w:w="80" w:type="dxa"/>
            </w:tcMar>
          </w:tcPr>
          <w:p>
            <w:r>
              <w:rPr>
                <w:b/>
                <w:sz w:val="16"/>
              </w:rPr>
              <w:t>8. Selection Bias or Non-Compliant Scoring</w:t>
            </w:r>
          </w:p>
        </w:tc>
        <w:tc>
          <w:tcPr>
            <w:tcW w:type="dxa" w:w="2340"/>
            <w:shd w:val="clear" w:color="auto" w:fill="F9FBFD"/>
            <w:tcMar>
              <w:top w:w="80" w:type="dxa"/>
              <w:bottom w:w="80" w:type="dxa"/>
              <w:left w:w="80" w:type="dxa"/>
              <w:right w:w="80" w:type="dxa"/>
            </w:tcMar>
          </w:tcPr>
          <w:p>
            <w:r>
              <w:rPr>
                <w:sz w:val="16"/>
              </w:rPr>
              <w:t>Inconsistent scorecard ratings or unanchored evaluation notes</w:t>
            </w:r>
          </w:p>
        </w:tc>
        <w:tc>
          <w:tcPr>
            <w:tcW w:type="dxa" w:w="2340"/>
            <w:shd w:val="clear" w:color="auto" w:fill="F9FBFD"/>
            <w:tcMar>
              <w:top w:w="80" w:type="dxa"/>
              <w:bottom w:w="80" w:type="dxa"/>
              <w:left w:w="80" w:type="dxa"/>
              <w:right w:w="80" w:type="dxa"/>
            </w:tcMar>
          </w:tcPr>
          <w:p>
            <w:r>
              <w:rPr>
                <w:sz w:val="16"/>
              </w:rPr>
              <w:t>Pause selection decisions for impacted role; conduct refresher training on structured scoring for panel; audit all submitted scorecards.</w:t>
            </w:r>
          </w:p>
        </w:tc>
        <w:tc>
          <w:tcPr>
            <w:tcW w:type="dxa" w:w="2340"/>
            <w:shd w:val="clear" w:color="auto" w:fill="F9FBFD"/>
            <w:tcMar>
              <w:top w:w="80" w:type="dxa"/>
              <w:bottom w:w="80" w:type="dxa"/>
              <w:left w:w="80" w:type="dxa"/>
              <w:right w:w="80" w:type="dxa"/>
            </w:tcMar>
          </w:tcPr>
          <w:p>
            <w:pPr>
              <w:jc w:val="center"/>
            </w:pPr>
            <w:r>
              <w:rPr>
                <w:sz w:val="16"/>
              </w:rPr>
              <w:t>HRBP</w:t>
            </w:r>
          </w:p>
        </w:tc>
      </w:tr>
      <w:tr>
        <w:tc>
          <w:tcPr>
            <w:tcW w:type="dxa" w:w="2340"/>
            <w:shd w:val="clear" w:color="auto" w:fill="FFFFFF"/>
            <w:tcMar>
              <w:top w:w="80" w:type="dxa"/>
              <w:bottom w:w="80" w:type="dxa"/>
              <w:left w:w="80" w:type="dxa"/>
              <w:right w:w="80" w:type="dxa"/>
            </w:tcMar>
          </w:tcPr>
          <w:p>
            <w:r>
              <w:rPr>
                <w:b/>
                <w:sz w:val="16"/>
              </w:rPr>
              <w:t>9. Candidate No-Show / Start Date Withdrawal</w:t>
            </w:r>
          </w:p>
        </w:tc>
        <w:tc>
          <w:tcPr>
            <w:tcW w:type="dxa" w:w="2340"/>
            <w:shd w:val="clear" w:color="auto" w:fill="FFFFFF"/>
            <w:tcMar>
              <w:top w:w="80" w:type="dxa"/>
              <w:bottom w:w="80" w:type="dxa"/>
              <w:left w:w="80" w:type="dxa"/>
              <w:right w:w="80" w:type="dxa"/>
            </w:tcMar>
          </w:tcPr>
          <w:p>
            <w:r>
              <w:rPr>
                <w:sz w:val="16"/>
              </w:rPr>
              <w:t>Candidate non-responsive during pre-boarding week 2</w:t>
            </w:r>
          </w:p>
        </w:tc>
        <w:tc>
          <w:tcPr>
            <w:tcW w:type="dxa" w:w="2340"/>
            <w:shd w:val="clear" w:color="auto" w:fill="FFFFFF"/>
            <w:tcMar>
              <w:top w:w="80" w:type="dxa"/>
              <w:bottom w:w="80" w:type="dxa"/>
              <w:left w:w="80" w:type="dxa"/>
              <w:right w:w="80" w:type="dxa"/>
            </w:tcMar>
          </w:tcPr>
          <w:p>
            <w:r>
              <w:rPr>
                <w:sz w:val="16"/>
              </w:rPr>
              <w:t>Activate pre-boarding check-in call protocol; engage Hiring Manager for informal check-in; extend formal offer to qualified #2 silver-medalist candidate.</w:t>
            </w:r>
          </w:p>
        </w:tc>
        <w:tc>
          <w:tcPr>
            <w:tcW w:type="dxa" w:w="2340"/>
            <w:shd w:val="clear" w:color="auto" w:fill="FFFFFF"/>
            <w:tcMar>
              <w:top w:w="80" w:type="dxa"/>
              <w:bottom w:w="80" w:type="dxa"/>
              <w:left w:w="80" w:type="dxa"/>
              <w:right w:w="80" w:type="dxa"/>
            </w:tcMar>
          </w:tcPr>
          <w:p>
            <w:pPr>
              <w:jc w:val="center"/>
            </w:pPr>
            <w:r>
              <w:rPr>
                <w:sz w:val="16"/>
              </w:rPr>
              <w:t>Recruiter +</w:t>
              <w:br/>
              <w:t>Onboarding Lead</w:t>
            </w:r>
          </w:p>
        </w:tc>
      </w:tr>
      <w:tr>
        <w:tc>
          <w:tcPr>
            <w:tcW w:type="dxa" w:w="2340"/>
            <w:shd w:val="clear" w:color="auto" w:fill="F9FBFD"/>
            <w:tcMar>
              <w:top w:w="80" w:type="dxa"/>
              <w:bottom w:w="80" w:type="dxa"/>
              <w:left w:w="80" w:type="dxa"/>
              <w:right w:w="80" w:type="dxa"/>
            </w:tcMar>
          </w:tcPr>
          <w:p>
            <w:r>
              <w:rPr>
                <w:b/>
                <w:sz w:val="16"/>
              </w:rPr>
              <w:t>10. SuccessFactors Onboarding Outage</w:t>
            </w:r>
          </w:p>
        </w:tc>
        <w:tc>
          <w:tcPr>
            <w:tcW w:type="dxa" w:w="2340"/>
            <w:shd w:val="clear" w:color="auto" w:fill="F9FBFD"/>
            <w:tcMar>
              <w:top w:w="80" w:type="dxa"/>
              <w:bottom w:w="80" w:type="dxa"/>
              <w:left w:w="80" w:type="dxa"/>
              <w:right w:w="80" w:type="dxa"/>
            </w:tcMar>
          </w:tcPr>
          <w:p>
            <w:r>
              <w:rPr>
                <w:sz w:val="16"/>
              </w:rPr>
              <w:t>System downtime preventing candidate form submission</w:t>
            </w:r>
          </w:p>
        </w:tc>
        <w:tc>
          <w:tcPr>
            <w:tcW w:type="dxa" w:w="2340"/>
            <w:shd w:val="clear" w:color="auto" w:fill="F9FBFD"/>
            <w:tcMar>
              <w:top w:w="80" w:type="dxa"/>
              <w:bottom w:w="80" w:type="dxa"/>
              <w:left w:w="80" w:type="dxa"/>
              <w:right w:w="80" w:type="dxa"/>
            </w:tcMar>
          </w:tcPr>
          <w:p>
            <w:r>
              <w:rPr>
                <w:sz w:val="16"/>
              </w:rPr>
              <w:t>Deploy secure PDF fallback onboarding packet; collect compliance forms securely; retroactively sync data into SuccessFactors upon system recovery.</w:t>
            </w:r>
          </w:p>
        </w:tc>
        <w:tc>
          <w:tcPr>
            <w:tcW w:type="dxa" w:w="2340"/>
            <w:shd w:val="clear" w:color="auto" w:fill="F9FBFD"/>
            <w:tcMar>
              <w:top w:w="80" w:type="dxa"/>
              <w:bottom w:w="80" w:type="dxa"/>
              <w:left w:w="80" w:type="dxa"/>
              <w:right w:w="80" w:type="dxa"/>
            </w:tcMar>
          </w:tcPr>
          <w:p>
            <w:pPr>
              <w:jc w:val="center"/>
            </w:pPr>
            <w:r>
              <w:rPr>
                <w:sz w:val="16"/>
              </w:rPr>
              <w:t>Onboarding Lead +</w:t>
              <w:br/>
              <w:t>HRIS Admin</w:t>
            </w:r>
          </w:p>
        </w:tc>
      </w:tr>
      <w:tr>
        <w:tc>
          <w:tcPr>
            <w:tcW w:type="dxa" w:w="2340"/>
            <w:shd w:val="clear" w:color="auto" w:fill="FFFFFF"/>
            <w:tcMar>
              <w:top w:w="80" w:type="dxa"/>
              <w:bottom w:w="80" w:type="dxa"/>
              <w:left w:w="80" w:type="dxa"/>
              <w:right w:w="80" w:type="dxa"/>
            </w:tcMar>
          </w:tcPr>
          <w:p>
            <w:r>
              <w:rPr>
                <w:b/>
                <w:sz w:val="16"/>
              </w:rPr>
              <w:t>11. Automotive Production Schedule Shift</w:t>
            </w:r>
          </w:p>
        </w:tc>
        <w:tc>
          <w:tcPr>
            <w:tcW w:type="dxa" w:w="2340"/>
            <w:shd w:val="clear" w:color="auto" w:fill="FFFFFF"/>
            <w:tcMar>
              <w:top w:w="80" w:type="dxa"/>
              <w:bottom w:w="80" w:type="dxa"/>
              <w:left w:w="80" w:type="dxa"/>
              <w:right w:w="80" w:type="dxa"/>
            </w:tcMar>
          </w:tcPr>
          <w:p>
            <w:r>
              <w:rPr>
                <w:sz w:val="16"/>
              </w:rPr>
              <w:t>Manufacturing plant launch delayed or accelerated by business</w:t>
            </w:r>
          </w:p>
        </w:tc>
        <w:tc>
          <w:tcPr>
            <w:tcW w:type="dxa" w:w="2340"/>
            <w:shd w:val="clear" w:color="auto" w:fill="FFFFFF"/>
            <w:tcMar>
              <w:top w:w="80" w:type="dxa"/>
              <w:bottom w:w="80" w:type="dxa"/>
              <w:left w:w="80" w:type="dxa"/>
              <w:right w:w="80" w:type="dxa"/>
            </w:tcMar>
          </w:tcPr>
          <w:p>
            <w:r>
              <w:rPr>
                <w:sz w:val="16"/>
              </w:rPr>
              <w:t>Re-align hiring velocity with plant management; hold cleared talent pools in CRM; communicate transparently with candidates regarding start date shifts.</w:t>
            </w:r>
          </w:p>
        </w:tc>
        <w:tc>
          <w:tcPr>
            <w:tcW w:type="dxa" w:w="2340"/>
            <w:shd w:val="clear" w:color="auto" w:fill="FFFFFF"/>
            <w:tcMar>
              <w:top w:w="80" w:type="dxa"/>
              <w:bottom w:w="80" w:type="dxa"/>
              <w:left w:w="80" w:type="dxa"/>
              <w:right w:w="80" w:type="dxa"/>
            </w:tcMar>
          </w:tcPr>
          <w:p>
            <w:pPr>
              <w:jc w:val="center"/>
            </w:pPr>
            <w:r>
              <w:rPr>
                <w:sz w:val="16"/>
              </w:rPr>
              <w:t>Executive Sponsor +</w:t>
              <w:br/>
              <w:t>HRBP</w:t>
            </w:r>
          </w:p>
        </w:tc>
      </w:tr>
    </w:tbl>
    <w:p>
      <w:pPr>
        <w:spacing w:after="240"/>
      </w:pPr>
    </w:p>
    <w:p>
      <w:pPr>
        <w:keepNext/>
        <w:spacing w:before="360" w:after="120"/>
      </w:pPr>
      <w:r>
        <w:rPr>
          <w:rFonts w:ascii="Calibri" w:hAnsi="Calibri"/>
          <w:b/>
          <w:color w:val="1B365D"/>
          <w:sz w:val="30"/>
        </w:rPr>
        <w:t>10. Candidate Experience, Ethics, and Compliance</w:t>
      </w:r>
    </w:p>
    <w:p>
      <w:pPr>
        <w:spacing w:after="120" w:line="276" w:lineRule="auto"/>
      </w:pPr>
      <w:r>
        <w:t>Candidate experience directly affects employer brand reputation and offer conversion rates. The campaign enforces strict ethical standards:</w:t>
      </w:r>
    </w:p>
    <w:p>
      <w:pPr>
        <w:spacing w:after="120" w:line="276" w:lineRule="auto"/>
      </w:pPr>
      <w:r>
        <w:rPr>
          <w:b/>
          <w:color w:val="1B365D"/>
        </w:rPr>
        <w:t xml:space="preserve">• Timely SLA Communications: </w:t>
      </w:r>
      <w:r>
        <w:t xml:space="preserve">Candidate Communication Standards: </w:t>
      </w:r>
    </w:p>
    <w:p>
      <w:pPr>
        <w:spacing w:after="120" w:line="276" w:lineRule="auto"/>
      </w:pPr>
      <w:r>
        <w:t>Every candidate receives an automated application acknowledgement within 1 hour. Candidates not selected at screening receive a respectful closure notification within 3 business days. Interviewed candidates receive personalized feedback within 5 business days.</w:t>
      </w:r>
    </w:p>
    <w:p>
      <w:pPr>
        <w:spacing w:after="120" w:line="276" w:lineRule="auto"/>
      </w:pPr>
      <w:r>
        <w:rPr>
          <w:b/>
          <w:color w:val="1B365D"/>
        </w:rPr>
        <w:t xml:space="preserve">• Ethical Screening &amp; AI Controls: </w:t>
      </w:r>
      <w:r>
        <w:t xml:space="preserve">Ethical &amp; AI Governance: </w:t>
      </w:r>
    </w:p>
    <w:p>
      <w:pPr>
        <w:spacing w:after="120" w:line="276" w:lineRule="auto"/>
      </w:pPr>
      <w:r>
        <w:t>No fully automated rejection algorithms are utilized. AI tools within SuccessFactors assist solely with candidate matching and keyword highlight; human recruiters make all final screening and rejection decisions.</w:t>
      </w:r>
    </w:p>
    <w:p>
      <w:pPr>
        <w:spacing w:after="120" w:line="276" w:lineRule="auto"/>
      </w:pPr>
      <w:r>
        <w:rPr>
          <w:b/>
          <w:color w:val="1B365D"/>
        </w:rPr>
        <w:t xml:space="preserve">• Data Protection &amp; Compliance: </w:t>
      </w:r>
      <w:r>
        <w:t xml:space="preserve">Data Privacy Compliance: </w:t>
      </w:r>
    </w:p>
    <w:p>
      <w:pPr>
        <w:spacing w:after="120" w:line="276" w:lineRule="auto"/>
      </w:pPr>
      <w:r>
        <w:t>Candidate data handling strictly adheres to applicable data protection regulations (GDPR / Digital Personal Data Protection laws). Personal data is retained solely for authorized talent pool engagement based on explicit candidate consent.</w:t>
      </w:r>
    </w:p>
    <w:p>
      <w:pPr>
        <w:keepNext/>
        <w:spacing w:before="360" w:after="120"/>
      </w:pPr>
      <w:r>
        <w:rPr>
          <w:rFonts w:ascii="Calibri" w:hAnsi="Calibri"/>
          <w:b/>
          <w:color w:val="1B365D"/>
          <w:sz w:val="30"/>
        </w:rPr>
        <w:t>11. Budget &amp; Resource Allocation</w:t>
      </w:r>
    </w:p>
    <w:p>
      <w:pPr>
        <w:spacing w:after="120" w:line="276" w:lineRule="auto"/>
      </w:pPr>
      <w:r>
        <w:t>The total approved campaign budget is ₹18,00,000 (INR 18 Lakhs), representing a target Cost Per Hire of ₹30,000 across 60 hires. Budget allocation is detailed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00" w:type="dxa"/>
              <w:bottom w:w="100" w:type="dxa"/>
              <w:left w:w="80" w:type="dxa"/>
              <w:right w:w="80" w:type="dxa"/>
            </w:tcMar>
          </w:tcPr>
          <w:p>
            <w:pPr>
              <w:jc w:val="center"/>
            </w:pPr>
            <w:r>
              <w:rPr>
                <w:b/>
                <w:color w:val="FFFFFF"/>
                <w:sz w:val="17"/>
              </w:rPr>
              <w:t>Budget Category</w:t>
            </w:r>
          </w:p>
        </w:tc>
        <w:tc>
          <w:tcPr>
            <w:tcW w:type="dxa" w:w="2340"/>
            <w:shd w:val="clear" w:color="auto" w:fill="1B365D"/>
            <w:tcMar>
              <w:top w:w="100" w:type="dxa"/>
              <w:bottom w:w="100" w:type="dxa"/>
              <w:left w:w="80" w:type="dxa"/>
              <w:right w:w="80" w:type="dxa"/>
            </w:tcMar>
          </w:tcPr>
          <w:p>
            <w:pPr>
              <w:jc w:val="center"/>
            </w:pPr>
            <w:r>
              <w:rPr>
                <w:b/>
                <w:color w:val="FFFFFF"/>
                <w:sz w:val="17"/>
              </w:rPr>
              <w:t>Percentage Allocation</w:t>
            </w:r>
          </w:p>
        </w:tc>
        <w:tc>
          <w:tcPr>
            <w:tcW w:type="dxa" w:w="2340"/>
            <w:shd w:val="clear" w:color="auto" w:fill="1B365D"/>
            <w:tcMar>
              <w:top w:w="100" w:type="dxa"/>
              <w:bottom w:w="100" w:type="dxa"/>
              <w:left w:w="80" w:type="dxa"/>
              <w:right w:w="80" w:type="dxa"/>
            </w:tcMar>
          </w:tcPr>
          <w:p>
            <w:pPr>
              <w:jc w:val="center"/>
            </w:pPr>
            <w:r>
              <w:rPr>
                <w:b/>
                <w:color w:val="FFFFFF"/>
                <w:sz w:val="17"/>
              </w:rPr>
              <w:t>Allocated Amount (INR)</w:t>
            </w:r>
          </w:p>
        </w:tc>
        <w:tc>
          <w:tcPr>
            <w:tcW w:type="dxa" w:w="2340"/>
            <w:shd w:val="clear" w:color="auto" w:fill="1B365D"/>
            <w:tcMar>
              <w:top w:w="100" w:type="dxa"/>
              <w:bottom w:w="100" w:type="dxa"/>
              <w:left w:w="80" w:type="dxa"/>
              <w:right w:w="80" w:type="dxa"/>
            </w:tcMar>
          </w:tcPr>
          <w:p>
            <w:pPr>
              <w:jc w:val="center"/>
            </w:pPr>
            <w:r>
              <w:rPr>
                <w:b/>
                <w:color w:val="FFFFFF"/>
                <w:sz w:val="17"/>
              </w:rPr>
              <w:t>Operational Description &amp; Purpose</w:t>
            </w:r>
          </w:p>
        </w:tc>
      </w:tr>
      <w:tr>
        <w:tc>
          <w:tcPr>
            <w:tcW w:type="dxa" w:w="2340"/>
            <w:shd w:val="clear" w:color="auto" w:fill="FFFFFF"/>
            <w:tcMar>
              <w:top w:w="80" w:type="dxa"/>
              <w:bottom w:w="80" w:type="dxa"/>
              <w:left w:w="80" w:type="dxa"/>
              <w:right w:w="80" w:type="dxa"/>
            </w:tcMar>
          </w:tcPr>
          <w:p>
            <w:r>
              <w:rPr>
                <w:b/>
                <w:sz w:val="17"/>
              </w:rPr>
              <w:t>Job Board &amp; Digital Paid Media</w:t>
            </w:r>
          </w:p>
        </w:tc>
        <w:tc>
          <w:tcPr>
            <w:tcW w:type="dxa" w:w="2340"/>
            <w:shd w:val="clear" w:color="auto" w:fill="FFFFFF"/>
            <w:tcMar>
              <w:top w:w="80" w:type="dxa"/>
              <w:bottom w:w="80" w:type="dxa"/>
              <w:left w:w="80" w:type="dxa"/>
              <w:right w:w="80" w:type="dxa"/>
            </w:tcMar>
          </w:tcPr>
          <w:p>
            <w:pPr>
              <w:jc w:val="center"/>
            </w:pPr>
            <w:r>
              <w:rPr>
                <w:sz w:val="17"/>
              </w:rPr>
              <w:t>30.0%</w:t>
            </w:r>
          </w:p>
        </w:tc>
        <w:tc>
          <w:tcPr>
            <w:tcW w:type="dxa" w:w="2340"/>
            <w:shd w:val="clear" w:color="auto" w:fill="FFFFFF"/>
            <w:tcMar>
              <w:top w:w="80" w:type="dxa"/>
              <w:bottom w:w="80" w:type="dxa"/>
              <w:left w:w="80" w:type="dxa"/>
              <w:right w:w="80" w:type="dxa"/>
            </w:tcMar>
          </w:tcPr>
          <w:p>
            <w:pPr>
              <w:jc w:val="center"/>
            </w:pPr>
            <w:r>
              <w:rPr>
                <w:sz w:val="17"/>
              </w:rPr>
              <w:t>₹ 5,40,000</w:t>
            </w:r>
          </w:p>
        </w:tc>
        <w:tc>
          <w:tcPr>
            <w:tcW w:type="dxa" w:w="2340"/>
            <w:shd w:val="clear" w:color="auto" w:fill="FFFFFF"/>
            <w:tcMar>
              <w:top w:w="80" w:type="dxa"/>
              <w:bottom w:w="80" w:type="dxa"/>
              <w:left w:w="80" w:type="dxa"/>
              <w:right w:w="80" w:type="dxa"/>
            </w:tcMar>
          </w:tcPr>
          <w:p>
            <w:r>
              <w:rPr>
                <w:sz w:val="17"/>
              </w:rPr>
              <w:t>Targeted LinkedIn Recruiter ads, niche EV software portals, regional trade job boards.</w:t>
            </w:r>
          </w:p>
        </w:tc>
      </w:tr>
      <w:tr>
        <w:tc>
          <w:tcPr>
            <w:tcW w:type="dxa" w:w="2340"/>
            <w:shd w:val="clear" w:color="auto" w:fill="F9FBFD"/>
            <w:tcMar>
              <w:top w:w="80" w:type="dxa"/>
              <w:bottom w:w="80" w:type="dxa"/>
              <w:left w:w="80" w:type="dxa"/>
              <w:right w:w="80" w:type="dxa"/>
            </w:tcMar>
          </w:tcPr>
          <w:p>
            <w:r>
              <w:rPr>
                <w:b/>
                <w:sz w:val="17"/>
              </w:rPr>
              <w:t>Technical Events &amp; Campus Outreach</w:t>
            </w:r>
          </w:p>
        </w:tc>
        <w:tc>
          <w:tcPr>
            <w:tcW w:type="dxa" w:w="2340"/>
            <w:shd w:val="clear" w:color="auto" w:fill="F9FBFD"/>
            <w:tcMar>
              <w:top w:w="80" w:type="dxa"/>
              <w:bottom w:w="80" w:type="dxa"/>
              <w:left w:w="80" w:type="dxa"/>
              <w:right w:w="80" w:type="dxa"/>
            </w:tcMar>
          </w:tcPr>
          <w:p>
            <w:pPr>
              <w:jc w:val="center"/>
            </w:pPr>
            <w:r>
              <w:rPr>
                <w:sz w:val="17"/>
              </w:rPr>
              <w:t>15.0%</w:t>
            </w:r>
          </w:p>
        </w:tc>
        <w:tc>
          <w:tcPr>
            <w:tcW w:type="dxa" w:w="2340"/>
            <w:shd w:val="clear" w:color="auto" w:fill="F9FBFD"/>
            <w:tcMar>
              <w:top w:w="80" w:type="dxa"/>
              <w:bottom w:w="80" w:type="dxa"/>
              <w:left w:w="80" w:type="dxa"/>
              <w:right w:w="80" w:type="dxa"/>
            </w:tcMar>
          </w:tcPr>
          <w:p>
            <w:pPr>
              <w:jc w:val="center"/>
            </w:pPr>
            <w:r>
              <w:rPr>
                <w:sz w:val="17"/>
              </w:rPr>
              <w:t>₹ 2,70,000</w:t>
            </w:r>
          </w:p>
        </w:tc>
        <w:tc>
          <w:tcPr>
            <w:tcW w:type="dxa" w:w="2340"/>
            <w:shd w:val="clear" w:color="auto" w:fill="F9FBFD"/>
            <w:tcMar>
              <w:top w:w="80" w:type="dxa"/>
              <w:bottom w:w="80" w:type="dxa"/>
              <w:left w:w="80" w:type="dxa"/>
              <w:right w:w="80" w:type="dxa"/>
            </w:tcMar>
          </w:tcPr>
          <w:p>
            <w:r>
              <w:rPr>
                <w:sz w:val="17"/>
              </w:rPr>
              <w:t>Polytechnic / engineering college career drives, technical hackathon sponsorships.</w:t>
            </w:r>
          </w:p>
        </w:tc>
      </w:tr>
      <w:tr>
        <w:tc>
          <w:tcPr>
            <w:tcW w:type="dxa" w:w="2340"/>
            <w:shd w:val="clear" w:color="auto" w:fill="FFFFFF"/>
            <w:tcMar>
              <w:top w:w="80" w:type="dxa"/>
              <w:bottom w:w="80" w:type="dxa"/>
              <w:left w:w="80" w:type="dxa"/>
              <w:right w:w="80" w:type="dxa"/>
            </w:tcMar>
          </w:tcPr>
          <w:p>
            <w:r>
              <w:rPr>
                <w:b/>
                <w:sz w:val="17"/>
              </w:rPr>
              <w:t>Technical Assessments &amp; Testing</w:t>
            </w:r>
          </w:p>
        </w:tc>
        <w:tc>
          <w:tcPr>
            <w:tcW w:type="dxa" w:w="2340"/>
            <w:shd w:val="clear" w:color="auto" w:fill="FFFFFF"/>
            <w:tcMar>
              <w:top w:w="80" w:type="dxa"/>
              <w:bottom w:w="80" w:type="dxa"/>
              <w:left w:w="80" w:type="dxa"/>
              <w:right w:w="80" w:type="dxa"/>
            </w:tcMar>
          </w:tcPr>
          <w:p>
            <w:pPr>
              <w:jc w:val="center"/>
            </w:pPr>
            <w:r>
              <w:rPr>
                <w:sz w:val="17"/>
              </w:rPr>
              <w:t>15.0%</w:t>
            </w:r>
          </w:p>
        </w:tc>
        <w:tc>
          <w:tcPr>
            <w:tcW w:type="dxa" w:w="2340"/>
            <w:shd w:val="clear" w:color="auto" w:fill="FFFFFF"/>
            <w:tcMar>
              <w:top w:w="80" w:type="dxa"/>
              <w:bottom w:w="80" w:type="dxa"/>
              <w:left w:w="80" w:type="dxa"/>
              <w:right w:w="80" w:type="dxa"/>
            </w:tcMar>
          </w:tcPr>
          <w:p>
            <w:pPr>
              <w:jc w:val="center"/>
            </w:pPr>
            <w:r>
              <w:rPr>
                <w:sz w:val="17"/>
              </w:rPr>
              <w:t>₹ 2,70,000</w:t>
            </w:r>
          </w:p>
        </w:tc>
        <w:tc>
          <w:tcPr>
            <w:tcW w:type="dxa" w:w="2340"/>
            <w:shd w:val="clear" w:color="auto" w:fill="FFFFFF"/>
            <w:tcMar>
              <w:top w:w="80" w:type="dxa"/>
              <w:bottom w:w="80" w:type="dxa"/>
              <w:left w:w="80" w:type="dxa"/>
              <w:right w:w="80" w:type="dxa"/>
            </w:tcMar>
          </w:tcPr>
          <w:p>
            <w:r>
              <w:rPr>
                <w:sz w:val="17"/>
              </w:rPr>
              <w:t>Automated coding test licenses, circuit design simulations, background check fees.</w:t>
            </w:r>
          </w:p>
        </w:tc>
      </w:tr>
      <w:tr>
        <w:tc>
          <w:tcPr>
            <w:tcW w:type="dxa" w:w="2340"/>
            <w:shd w:val="clear" w:color="auto" w:fill="F9FBFD"/>
            <w:tcMar>
              <w:top w:w="80" w:type="dxa"/>
              <w:bottom w:w="80" w:type="dxa"/>
              <w:left w:w="80" w:type="dxa"/>
              <w:right w:w="80" w:type="dxa"/>
            </w:tcMar>
          </w:tcPr>
          <w:p>
            <w:r>
              <w:rPr>
                <w:b/>
                <w:sz w:val="17"/>
              </w:rPr>
              <w:t>Employee Referral Incentives</w:t>
            </w:r>
          </w:p>
        </w:tc>
        <w:tc>
          <w:tcPr>
            <w:tcW w:type="dxa" w:w="2340"/>
            <w:shd w:val="clear" w:color="auto" w:fill="F9FBFD"/>
            <w:tcMar>
              <w:top w:w="80" w:type="dxa"/>
              <w:bottom w:w="80" w:type="dxa"/>
              <w:left w:w="80" w:type="dxa"/>
              <w:right w:w="80" w:type="dxa"/>
            </w:tcMar>
          </w:tcPr>
          <w:p>
            <w:pPr>
              <w:jc w:val="center"/>
            </w:pPr>
            <w:r>
              <w:rPr>
                <w:sz w:val="17"/>
              </w:rPr>
              <w:t>15.0%</w:t>
            </w:r>
          </w:p>
        </w:tc>
        <w:tc>
          <w:tcPr>
            <w:tcW w:type="dxa" w:w="2340"/>
            <w:shd w:val="clear" w:color="auto" w:fill="F9FBFD"/>
            <w:tcMar>
              <w:top w:w="80" w:type="dxa"/>
              <w:bottom w:w="80" w:type="dxa"/>
              <w:left w:w="80" w:type="dxa"/>
              <w:right w:w="80" w:type="dxa"/>
            </w:tcMar>
          </w:tcPr>
          <w:p>
            <w:pPr>
              <w:jc w:val="center"/>
            </w:pPr>
            <w:r>
              <w:rPr>
                <w:sz w:val="17"/>
              </w:rPr>
              <w:t>₹ 2,70,000</w:t>
            </w:r>
          </w:p>
        </w:tc>
        <w:tc>
          <w:tcPr>
            <w:tcW w:type="dxa" w:w="2340"/>
            <w:shd w:val="clear" w:color="auto" w:fill="F9FBFD"/>
            <w:tcMar>
              <w:top w:w="80" w:type="dxa"/>
              <w:bottom w:w="80" w:type="dxa"/>
              <w:left w:w="80" w:type="dxa"/>
              <w:right w:w="80" w:type="dxa"/>
            </w:tcMar>
          </w:tcPr>
          <w:p>
            <w:r>
              <w:rPr>
                <w:sz w:val="17"/>
              </w:rPr>
              <w:t>Referral payouts for successful hires (50% at start, 50% at Day 90).</w:t>
            </w:r>
          </w:p>
        </w:tc>
      </w:tr>
      <w:tr>
        <w:tc>
          <w:tcPr>
            <w:tcW w:type="dxa" w:w="2340"/>
            <w:shd w:val="clear" w:color="auto" w:fill="FFFFFF"/>
            <w:tcMar>
              <w:top w:w="80" w:type="dxa"/>
              <w:bottom w:w="80" w:type="dxa"/>
              <w:left w:w="80" w:type="dxa"/>
              <w:right w:w="80" w:type="dxa"/>
            </w:tcMar>
          </w:tcPr>
          <w:p>
            <w:r>
              <w:rPr>
                <w:b/>
                <w:sz w:val="17"/>
              </w:rPr>
              <w:t>Employer Brand Creative &amp; Media</w:t>
            </w:r>
          </w:p>
        </w:tc>
        <w:tc>
          <w:tcPr>
            <w:tcW w:type="dxa" w:w="2340"/>
            <w:shd w:val="clear" w:color="auto" w:fill="FFFFFF"/>
            <w:tcMar>
              <w:top w:w="80" w:type="dxa"/>
              <w:bottom w:w="80" w:type="dxa"/>
              <w:left w:w="80" w:type="dxa"/>
              <w:right w:w="80" w:type="dxa"/>
            </w:tcMar>
          </w:tcPr>
          <w:p>
            <w:pPr>
              <w:jc w:val="center"/>
            </w:pPr>
            <w:r>
              <w:rPr>
                <w:sz w:val="17"/>
              </w:rPr>
              <w:t>10.0%</w:t>
            </w:r>
          </w:p>
        </w:tc>
        <w:tc>
          <w:tcPr>
            <w:tcW w:type="dxa" w:w="2340"/>
            <w:shd w:val="clear" w:color="auto" w:fill="FFFFFF"/>
            <w:tcMar>
              <w:top w:w="80" w:type="dxa"/>
              <w:bottom w:w="80" w:type="dxa"/>
              <w:left w:w="80" w:type="dxa"/>
              <w:right w:w="80" w:type="dxa"/>
            </w:tcMar>
          </w:tcPr>
          <w:p>
            <w:pPr>
              <w:jc w:val="center"/>
            </w:pPr>
            <w:r>
              <w:rPr>
                <w:sz w:val="17"/>
              </w:rPr>
              <w:t>₹ 1,80,000</w:t>
            </w:r>
          </w:p>
        </w:tc>
        <w:tc>
          <w:tcPr>
            <w:tcW w:type="dxa" w:w="2340"/>
            <w:shd w:val="clear" w:color="auto" w:fill="FFFFFF"/>
            <w:tcMar>
              <w:top w:w="80" w:type="dxa"/>
              <w:bottom w:w="80" w:type="dxa"/>
              <w:left w:w="80" w:type="dxa"/>
              <w:right w:w="80" w:type="dxa"/>
            </w:tcMar>
          </w:tcPr>
          <w:p>
            <w:r>
              <w:rPr>
                <w:sz w:val="17"/>
              </w:rPr>
              <w:t>CSB landing page media, employee testimonial video production, ad banners.</w:t>
            </w:r>
          </w:p>
        </w:tc>
      </w:tr>
      <w:tr>
        <w:tc>
          <w:tcPr>
            <w:tcW w:type="dxa" w:w="2340"/>
            <w:shd w:val="clear" w:color="auto" w:fill="F9FBFD"/>
            <w:tcMar>
              <w:top w:w="80" w:type="dxa"/>
              <w:bottom w:w="80" w:type="dxa"/>
              <w:left w:w="80" w:type="dxa"/>
              <w:right w:w="80" w:type="dxa"/>
            </w:tcMar>
          </w:tcPr>
          <w:p>
            <w:r>
              <w:rPr>
                <w:b/>
                <w:sz w:val="17"/>
              </w:rPr>
              <w:t>Specialized Sourcing Support</w:t>
            </w:r>
          </w:p>
        </w:tc>
        <w:tc>
          <w:tcPr>
            <w:tcW w:type="dxa" w:w="2340"/>
            <w:shd w:val="clear" w:color="auto" w:fill="F9FBFD"/>
            <w:tcMar>
              <w:top w:w="80" w:type="dxa"/>
              <w:bottom w:w="80" w:type="dxa"/>
              <w:left w:w="80" w:type="dxa"/>
              <w:right w:w="80" w:type="dxa"/>
            </w:tcMar>
          </w:tcPr>
          <w:p>
            <w:pPr>
              <w:jc w:val="center"/>
            </w:pPr>
            <w:r>
              <w:rPr>
                <w:sz w:val="17"/>
              </w:rPr>
              <w:t>10.0%</w:t>
            </w:r>
          </w:p>
        </w:tc>
        <w:tc>
          <w:tcPr>
            <w:tcW w:type="dxa" w:w="2340"/>
            <w:shd w:val="clear" w:color="auto" w:fill="F9FBFD"/>
            <w:tcMar>
              <w:top w:w="80" w:type="dxa"/>
              <w:bottom w:w="80" w:type="dxa"/>
              <w:left w:w="80" w:type="dxa"/>
              <w:right w:w="80" w:type="dxa"/>
            </w:tcMar>
          </w:tcPr>
          <w:p>
            <w:pPr>
              <w:jc w:val="center"/>
            </w:pPr>
            <w:r>
              <w:rPr>
                <w:sz w:val="17"/>
              </w:rPr>
              <w:t>₹ 1,80,000</w:t>
            </w:r>
          </w:p>
        </w:tc>
        <w:tc>
          <w:tcPr>
            <w:tcW w:type="dxa" w:w="2340"/>
            <w:shd w:val="clear" w:color="auto" w:fill="F9FBFD"/>
            <w:tcMar>
              <w:top w:w="80" w:type="dxa"/>
              <w:bottom w:w="80" w:type="dxa"/>
              <w:left w:w="80" w:type="dxa"/>
              <w:right w:w="80" w:type="dxa"/>
            </w:tcMar>
          </w:tcPr>
          <w:p>
            <w:r>
              <w:rPr>
                <w:sz w:val="17"/>
              </w:rPr>
              <w:t>Niche agency search retainers for senior EV battery architecture roles.</w:t>
            </w:r>
          </w:p>
        </w:tc>
      </w:tr>
      <w:tr>
        <w:tc>
          <w:tcPr>
            <w:tcW w:type="dxa" w:w="2340"/>
            <w:shd w:val="clear" w:color="auto" w:fill="FFFFFF"/>
            <w:tcMar>
              <w:top w:w="80" w:type="dxa"/>
              <w:bottom w:w="80" w:type="dxa"/>
              <w:left w:w="80" w:type="dxa"/>
              <w:right w:w="80" w:type="dxa"/>
            </w:tcMar>
          </w:tcPr>
          <w:p>
            <w:r>
              <w:rPr>
                <w:b/>
                <w:sz w:val="17"/>
              </w:rPr>
              <w:t>Contingency Reserve</w:t>
            </w:r>
          </w:p>
        </w:tc>
        <w:tc>
          <w:tcPr>
            <w:tcW w:type="dxa" w:w="2340"/>
            <w:shd w:val="clear" w:color="auto" w:fill="FFFFFF"/>
            <w:tcMar>
              <w:top w:w="80" w:type="dxa"/>
              <w:bottom w:w="80" w:type="dxa"/>
              <w:left w:w="80" w:type="dxa"/>
              <w:right w:w="80" w:type="dxa"/>
            </w:tcMar>
          </w:tcPr>
          <w:p>
            <w:pPr>
              <w:jc w:val="center"/>
            </w:pPr>
            <w:r>
              <w:rPr>
                <w:sz w:val="17"/>
              </w:rPr>
              <w:t>5.0%</w:t>
            </w:r>
          </w:p>
        </w:tc>
        <w:tc>
          <w:tcPr>
            <w:tcW w:type="dxa" w:w="2340"/>
            <w:shd w:val="clear" w:color="auto" w:fill="FFFFFF"/>
            <w:tcMar>
              <w:top w:w="80" w:type="dxa"/>
              <w:bottom w:w="80" w:type="dxa"/>
              <w:left w:w="80" w:type="dxa"/>
              <w:right w:w="80" w:type="dxa"/>
            </w:tcMar>
          </w:tcPr>
          <w:p>
            <w:pPr>
              <w:jc w:val="center"/>
            </w:pPr>
            <w:r>
              <w:rPr>
                <w:sz w:val="17"/>
              </w:rPr>
              <w:t>₹ 90,000</w:t>
            </w:r>
          </w:p>
        </w:tc>
        <w:tc>
          <w:tcPr>
            <w:tcW w:type="dxa" w:w="2340"/>
            <w:shd w:val="clear" w:color="auto" w:fill="FFFFFF"/>
            <w:tcMar>
              <w:top w:w="80" w:type="dxa"/>
              <w:bottom w:w="80" w:type="dxa"/>
              <w:left w:w="80" w:type="dxa"/>
              <w:right w:w="80" w:type="dxa"/>
            </w:tcMar>
          </w:tcPr>
          <w:p>
            <w:r>
              <w:rPr>
                <w:sz w:val="17"/>
              </w:rPr>
              <w:t>Emergency sourcing reallocations, unexpected event collateral, or ad boosts.</w:t>
            </w:r>
          </w:p>
        </w:tc>
      </w:tr>
    </w:tbl>
    <w:p>
      <w:pPr>
        <w:spacing w:after="240"/>
      </w:pPr>
    </w:p>
    <w:p>
      <w:pPr>
        <w:keepNext/>
        <w:spacing w:before="360" w:after="120"/>
      </w:pPr>
      <w:r>
        <w:rPr>
          <w:rFonts w:ascii="Calibri" w:hAnsi="Calibri"/>
          <w:b/>
          <w:color w:val="1B365D"/>
          <w:sz w:val="30"/>
        </w:rPr>
        <w:t>12. Reporting Cadence &amp; Operating Governance</w:t>
      </w:r>
    </w:p>
    <w:p>
      <w:pPr>
        <w:spacing w:after="120" w:line="276" w:lineRule="auto"/>
      </w:pPr>
      <w:r>
        <w:t>Operational governance relies on regular reporting checkpoints to maintain campaign velocity and transparency:</w:t>
      </w:r>
    </w:p>
    <w:p>
      <w:pPr>
        <w:spacing w:after="120" w:line="276" w:lineRule="auto"/>
      </w:pPr>
      <w:r>
        <w:rPr>
          <w:b/>
          <w:color w:val="1B365D"/>
        </w:rPr>
        <w:t xml:space="preserve">• Daily Standup: </w:t>
      </w:r>
      <w:r>
        <w:t xml:space="preserve">Daily Operational Huddle (15 Mins): </w:t>
      </w:r>
    </w:p>
    <w:p>
      <w:pPr>
        <w:spacing w:after="120" w:line="276" w:lineRule="auto"/>
      </w:pPr>
      <w:r>
        <w:t>Recruiters and Campaign Lead review incoming application counts, urgent screening backlogs, panel interview scheduling blockers, and offer pending statuses.</w:t>
      </w:r>
    </w:p>
    <w:p>
      <w:pPr>
        <w:spacing w:after="120" w:line="276" w:lineRule="auto"/>
      </w:pPr>
      <w:r>
        <w:rPr>
          <w:b/>
          <w:color w:val="1B365D"/>
        </w:rPr>
        <w:t xml:space="preserve">• Weekly Steering Review: </w:t>
      </w:r>
      <w:r>
        <w:t xml:space="preserve">Weekly Steering Dashboard: </w:t>
      </w:r>
    </w:p>
    <w:p>
      <w:pPr>
        <w:spacing w:after="120" w:line="276" w:lineRule="auto"/>
      </w:pPr>
      <w:r>
        <w:t>Campaign Lead presents full funnel metrics, median Time-to-Fill by role family, scorecard compliance rates, spend-to-budget ratios, and active contingency triggers to HR leadership.</w:t>
      </w:r>
    </w:p>
    <w:p>
      <w:pPr>
        <w:spacing w:after="120" w:line="276" w:lineRule="auto"/>
      </w:pPr>
      <w:r>
        <w:rPr>
          <w:b/>
          <w:color w:val="1B365D"/>
        </w:rPr>
        <w:t xml:space="preserve">• Executive Sponsor Checkpoint: </w:t>
      </w:r>
      <w:r>
        <w:t xml:space="preserve">Bi-Weekly Sponsor Briefing: </w:t>
      </w:r>
    </w:p>
    <w:p>
      <w:pPr>
        <w:spacing w:after="120" w:line="276" w:lineRule="auto"/>
      </w:pPr>
      <w:r>
        <w:t>Executive Sponsor reviews macro progress against 60-hire target, evaluates offer acceptance trends, and authorizes scope or budget adjustments as needed.</w:t>
      </w:r>
    </w:p>
    <w:p>
      <w:pPr>
        <w:spacing w:after="120" w:line="276" w:lineRule="auto"/>
      </w:pPr>
      <w:r>
        <w:rPr>
          <w:b/>
          <w:color w:val="1B365D"/>
        </w:rPr>
        <w:t xml:space="preserve">• Post-Campaign Governance: </w:t>
      </w:r>
      <w:r>
        <w:t xml:space="preserve">30/60/90-Day Retention Audit: </w:t>
      </w:r>
    </w:p>
    <w:p>
      <w:pPr>
        <w:spacing w:after="120" w:line="276" w:lineRule="auto"/>
      </w:pPr>
      <w:r>
        <w:t>HRBP and Onboarding Lead review new-hire integration metrics, LMS training completion, line manager feedback, and cohort retention at Days 30, 60, and 90.</w:t>
      </w:r>
    </w:p>
    <w:p>
      <w:pPr>
        <w:keepNext/>
        <w:spacing w:before="360" w:after="120"/>
      </w:pPr>
      <w:r>
        <w:rPr>
          <w:rFonts w:ascii="Calibri" w:hAnsi="Calibri"/>
          <w:b/>
          <w:color w:val="1B365D"/>
          <w:sz w:val="30"/>
        </w:rPr>
        <w:t>13. Expected Outcomes &amp; Continuous Improvement</w:t>
      </w:r>
    </w:p>
    <w:p>
      <w:pPr>
        <w:spacing w:after="120" w:line="276" w:lineRule="auto"/>
      </w:pPr>
      <w:r>
        <w:t>The execution of the 'Drive the Future' recruitment campaign delivers tangible strategic and operational outcomes for Apex Mobility Ltd.:</w:t>
      </w:r>
    </w:p>
    <w:p>
      <w:pPr>
        <w:spacing w:after="120" w:line="276" w:lineRule="auto"/>
      </w:pPr>
      <w:r>
        <w:t>1. Complete Headcount Delivery: Successful onboarding of 60 highly qualified technical professionals across EV, software, quality, maintenance, supply chain, and service divisions, directly de-risking vehicle launch schedules.</w:t>
      </w:r>
    </w:p>
    <w:p>
      <w:pPr>
        <w:spacing w:after="120" w:line="276" w:lineRule="auto"/>
      </w:pPr>
      <w:r>
        <w:t>2. Optimized Sourcing Efficiency: Identification of top-performing digital channels and establishment of a high-yield internal referral program, permanently reducing future Cost Per Hire.</w:t>
      </w:r>
    </w:p>
    <w:p>
      <w:pPr>
        <w:spacing w:after="120" w:line="276" w:lineRule="auto"/>
      </w:pPr>
      <w:r>
        <w:t>3. Reusable Talent Infrastructure: Population of six structured CRM Talent Pools containing cleared 'silver-medalist' candidates for rapid future requisition fulfillment.</w:t>
      </w:r>
    </w:p>
    <w:p>
      <w:pPr>
        <w:spacing w:after="120" w:line="276" w:lineRule="auto"/>
      </w:pPr>
      <w:r>
        <w:t>4. Institutionalization of Best Practices: Standardized competency scorecards, automated Onboarding workflows, and integrated Qualtrics candidate experience measurement establish a scalable benchmark for all future hiring initiatives.</w:t>
      </w:r>
    </w:p>
    <w:p>
      <w:pPr>
        <w:keepNext/>
        <w:spacing w:before="360" w:after="120"/>
      </w:pPr>
      <w:r>
        <w:rPr>
          <w:rFonts w:ascii="Calibri" w:hAnsi="Calibri"/>
          <w:b/>
          <w:color w:val="1B365D"/>
          <w:sz w:val="30"/>
        </w:rPr>
        <w:t>14. Conclusion</w:t>
      </w:r>
    </w:p>
    <w:p>
      <w:pPr>
        <w:spacing w:after="120" w:line="276" w:lineRule="auto"/>
      </w:pPr>
      <w:r>
        <w:t>Executing a successful recruitment campaign in the fast-evolving automotive sector requires a seamless synthesis of strategic workforce planning, targeted employer positioning, structured competency evaluation, and robust technical infrastructure. By deploying SAP SuccessFactors Recruiting and Onboarding as an integrated architecture, Apex Mobility Ltd. establishes a data-driven recruitment engine capable of delivering 60 critical technical hires within a 12-week timeframe.</w:t>
      </w:r>
    </w:p>
    <w:p>
      <w:pPr>
        <w:spacing w:after="120" w:line="276" w:lineRule="auto"/>
      </w:pPr>
      <w:r>
        <w:t>The 'Drive the Future' campaign model balances operational speed with rigorous candidate assessment and ethical compliance. With clear governance, mathematically calibrated conversion metrics, robust contingency planning, and automated onboarding workflows, Apex Mobility Ltd. ensures long-term talent retention and reinforces its competitive position in the future of clean, connected mobility.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