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F3822"/>
          <w:sz w:val="48"/>
        </w:rPr>
        <w:t>Strategic Plan: Evidence-Based Medical Content Creation</w:t>
      </w:r>
    </w:p>
    <w:p>
      <w:pPr>
        <w:spacing w:before="0" w:after="480"/>
        <w:jc w:val="center"/>
      </w:pPr>
      <w:r>
        <w:rPr>
          <w:rFonts w:ascii="Arial" w:hAnsi="Arial"/>
          <w:i/>
          <w:color w:val="1E5631"/>
          <w:sz w:val="28"/>
        </w:rPr>
        <w:t>An Enterprise Operational Blueprint for Digital Health Platforms</w:t>
      </w:r>
    </w:p>
    <w:p>
      <w:pPr>
        <w:keepNext/>
        <w:spacing w:before="360" w:after="160"/>
      </w:pPr>
      <w:r>
        <w:rPr>
          <w:rFonts w:ascii="Arial" w:hAnsi="Arial"/>
          <w:b/>
          <w:color w:val="0F3822"/>
          <w:sz w:val="32"/>
        </w:rPr>
        <w:t>1. Executive Summary</w:t>
      </w:r>
    </w:p>
    <w:p>
      <w:pPr>
        <w:keepNext/>
        <w:spacing w:before="280" w:after="120"/>
      </w:pPr>
      <w:r>
        <w:rPr>
          <w:rFonts w:ascii="Arial" w:hAnsi="Arial"/>
          <w:b/>
          <w:color w:val="1E5631"/>
          <w:sz w:val="26"/>
        </w:rPr>
        <w:t>Context &amp; Strategic Importance</w:t>
      </w:r>
    </w:p>
    <w:p>
      <w:pPr>
        <w:spacing w:before="0" w:after="120" w:line="276" w:lineRule="auto"/>
      </w:pPr>
      <w:r>
        <w:rPr>
          <w:rFonts w:ascii="Arial" w:hAnsi="Arial"/>
          <w:i w:val="0"/>
          <w:color w:val="1A1A1A"/>
          <w:sz w:val="21"/>
        </w:rPr>
        <w:t>In an era characterized by an unprecedented volume of digital health information, establishing an authoritative, scientifically rigorous, and accessible communication model is an imperative priority for healthcare platforms. This strategic plan defines an enterprise blueprint for an Evidence-Based Medical Content Strategy for a Digital Health Platform. By bridging clinical rigor with structured, plain-language communication, this operational framework transforms complex empirical science into high-impact, trustworthy, and actionable content. The platform addresses a fundamental industry challenge: translating specialized medical research into clear, engaging content across multi-channel digital ecosystems without sacrificing clinical accuracy, patient safety, or ethical integrity.</w:t>
      </w:r>
    </w:p>
    <w:p>
      <w:pPr>
        <w:keepNext/>
        <w:spacing w:before="280" w:after="120"/>
      </w:pPr>
      <w:r>
        <w:rPr>
          <w:rFonts w:ascii="Arial" w:hAnsi="Arial"/>
          <w:b/>
          <w:color w:val="1E5631"/>
          <w:sz w:val="26"/>
        </w:rPr>
        <w:t>Core Synthesis &amp; Strategic Scope</w:t>
      </w:r>
    </w:p>
    <w:p>
      <w:pPr>
        <w:spacing w:before="0" w:after="120" w:line="276" w:lineRule="auto"/>
      </w:pPr>
      <w:r>
        <w:rPr>
          <w:rFonts w:ascii="Arial" w:hAnsi="Arial"/>
          <w:i w:val="0"/>
          <w:color w:val="1A1A1A"/>
          <w:sz w:val="21"/>
        </w:rPr>
        <w:t>The strategy is structured around three core operational dimensions:</w:t>
      </w:r>
    </w:p>
    <w:p>
      <w:pPr>
        <w:pStyle w:val="ListBullet"/>
        <w:spacing w:before="0" w:after="80" w:line="276" w:lineRule="auto"/>
      </w:pPr>
      <w:r>
        <w:rPr>
          <w:rFonts w:ascii="Arial" w:hAnsi="Arial"/>
          <w:b/>
          <w:color w:val="1A1A1A"/>
          <w:sz w:val="21"/>
        </w:rPr>
        <w:t>Core Mission &amp; Focus:</w:t>
      </w:r>
      <w:r>
        <w:rPr>
          <w:rFonts w:ascii="Arial" w:hAnsi="Arial"/>
          <w:color w:val="1A1A1A"/>
          <w:sz w:val="21"/>
        </w:rPr>
        <w:t xml:space="preserve"> To deliver high-authority, evidence-based medical content across a digital health platform. The publication scope encompasses disease education, preventive health, treatment information, medication safety, patient FAQs, clinical research summaries, lifestyle interventions, public health initiatives, and myth-versus-evidence analyses.</w:t>
      </w:r>
    </w:p>
    <w:p>
      <w:pPr>
        <w:pStyle w:val="ListBullet"/>
        <w:spacing w:before="0" w:after="80" w:line="276" w:lineRule="auto"/>
      </w:pPr>
      <w:r>
        <w:rPr>
          <w:rFonts w:ascii="Arial" w:hAnsi="Arial"/>
          <w:b/>
          <w:color w:val="1A1A1A"/>
          <w:sz w:val="21"/>
        </w:rPr>
        <w:t>Key Pillars &amp; Objectives:</w:t>
      </w:r>
      <w:r>
        <w:rPr>
          <w:rFonts w:ascii="Arial" w:hAnsi="Arial"/>
          <w:color w:val="1A1A1A"/>
          <w:sz w:val="21"/>
        </w:rPr>
        <w:t xml:space="preserve"> The operational framework executes across seven core objectives: absolute clinical accuracy, audience-appropriate clarity, universal accessibility, practical engagement, ethical communication, workflow consistency, and data-driven evaluation.</w:t>
      </w:r>
    </w:p>
    <w:p>
      <w:pPr>
        <w:pStyle w:val="ListBullet"/>
        <w:spacing w:before="0" w:after="80" w:line="276" w:lineRule="auto"/>
      </w:pPr>
      <w:r>
        <w:rPr>
          <w:rFonts w:ascii="Arial" w:hAnsi="Arial"/>
          <w:b/>
          <w:color w:val="1A1A1A"/>
          <w:sz w:val="21"/>
        </w:rPr>
        <w:t>Expected Outcomes:</w:t>
      </w:r>
      <w:r>
        <w:rPr>
          <w:rFonts w:ascii="Arial" w:hAnsi="Arial"/>
          <w:color w:val="1A1A1A"/>
          <w:sz w:val="21"/>
        </w:rPr>
        <w:t xml:space="preserve"> Successful execution yields verifiable gains in public trust, higher health literacy engagement, strict regulatory compliance, zero unsubstantiated claims, streamlined editorial production, and enhanced clinical effectiveness across both lay and professional audiences.</w:t>
      </w:r>
    </w:p>
    <w:tbl>
      <w:tblPr>
        <w:tblW w:type="auto" w:w="0"/>
        <w:jc w:val="center"/>
        <w:tblLayout w:type="fixed"/>
        <w:tblLook w:firstColumn="1" w:firstRow="1" w:lastColumn="0" w:lastRow="0" w:noHBand="0" w:noVBand="1" w:val="04A0"/>
      </w:tblPr>
      <w:tblGrid>
        <w:gridCol w:w="9360"/>
      </w:tblGrid>
      <w:tr>
        <w:tc>
          <w:tcPr>
            <w:tcW w:type="dxa" w:w="9360"/>
            <w:shd w:fill="F2F7F4"/>
            <w:tcMar>
              <w:top w:w="140" w:type="dxa"/>
              <w:bottom w:w="140" w:type="dxa"/>
              <w:left w:w="200" w:type="dxa"/>
              <w:right w:w="200" w:type="dxa"/>
            </w:tcMar>
            <w:tcBorders>
              <w:left w:val="single" w:sz="24" w:space="0" w:color="0F3822"/>
              <w:top w:val="none"/>
              <w:right w:val="none"/>
              <w:bottom w:val="none"/>
            </w:tcBorders>
          </w:tcPr>
          <w:p>
            <w:pPr>
              <w:spacing w:before="40" w:after="40" w:line="276" w:lineRule="auto"/>
            </w:pPr>
            <w:r>
              <w:rPr>
                <w:rFonts w:ascii="Arial" w:hAnsi="Arial"/>
                <w:b/>
                <w:color w:val="0F3822"/>
                <w:sz w:val="22"/>
              </w:rPr>
              <w:t>■ END-TO-END CONTENT ARCHITECTURE</w:t>
              <w:br/>
            </w:r>
            <w:r>
              <w:rPr>
                <w:rFonts w:ascii="Arial" w:hAnsi="Arial"/>
                <w:color w:val="1A1A1A"/>
                <w:sz w:val="20"/>
              </w:rPr>
              <w:t>CLINICAL RIGOR &amp; SCIENTIFIC EVIDENCE (PubMed, WHO, CDC, NIH, FDA, MoHFW/ICMR)</w:t>
              <w:br/>
              <w:t xml:space="preserve">       ↓</w:t>
              <w:br/>
              <w:t>END-TO-END EDITORIAL &amp; MEDICAL REVIEW WORKFLOW (12-Step Quality Engine)</w:t>
              <w:br/>
              <w:t xml:space="preserve">       ↓</w:t>
              <w:br/>
              <w:t>MULTI-CHANNEL DISTRIBUTION (Web, Mobile App, Email, LinkedIn, Instagram, Podcasts)</w:t>
              <w:br/>
              <w:t xml:space="preserve">       ↓</w:t>
              <w:br/>
              <w:t>EMPOWERED AUDIENCES (Patients, Caregivers, General Public, Students, Healthcare Professionals)</w:t>
            </w:r>
          </w:p>
        </w:tc>
      </w:tr>
    </w:tbl>
    <w:p>
      <w:pPr>
        <w:spacing w:after="120"/>
      </w:pPr>
    </w:p>
    <w:p>
      <w:pPr>
        <w:keepNext/>
        <w:spacing w:before="360" w:after="160"/>
      </w:pPr>
      <w:r>
        <w:rPr>
          <w:rFonts w:ascii="Arial" w:hAnsi="Arial"/>
          <w:b/>
          <w:color w:val="0F3822"/>
          <w:sz w:val="32"/>
        </w:rPr>
        <w:t>2. Introduction, Background &amp; Strategic Purpose</w:t>
      </w:r>
    </w:p>
    <w:p>
      <w:pPr>
        <w:keepNext/>
        <w:spacing w:before="280" w:after="120"/>
      </w:pPr>
      <w:r>
        <w:rPr>
          <w:rFonts w:ascii="Arial" w:hAnsi="Arial"/>
          <w:b/>
          <w:color w:val="1E5631"/>
          <w:sz w:val="26"/>
        </w:rPr>
        <w:t>Problem Statement &amp; Context</w:t>
      </w:r>
    </w:p>
    <w:p>
      <w:pPr>
        <w:spacing w:before="0" w:after="120" w:line="276" w:lineRule="auto"/>
      </w:pPr>
      <w:r>
        <w:rPr>
          <w:rFonts w:ascii="Arial" w:hAnsi="Arial"/>
          <w:i w:val="0"/>
          <w:color w:val="1A1A1A"/>
          <w:sz w:val="21"/>
        </w:rPr>
        <w:t>Modern health communication operates at the critical intersection of clinical medicine, behavioral science, digital technology, and public health literacy. While digital channels have democratized public access to health information, they have simultaneously accelerated the diffusion of unverified health claims, scientific misinterpretations, and active medical misinformation. Establishing a structured, evidence-based content strategy is essential for any digital health platform seeking to maintain institutional trust, elevate health literacy, and support safe, informed healthcare decision-making.</w:t>
      </w:r>
    </w:p>
    <w:p>
      <w:pPr>
        <w:spacing w:before="0" w:after="120" w:line="276" w:lineRule="auto"/>
      </w:pPr>
      <w:r>
        <w:rPr>
          <w:rFonts w:ascii="Arial" w:hAnsi="Arial"/>
          <w:i w:val="0"/>
          <w:color w:val="1A1A1A"/>
          <w:sz w:val="21"/>
        </w:rPr>
        <w:t>Healthcare consumers and clinical professionals navigate an increasingly fragmented digital environment saturated with unverified information. Medical writers and content strategists face a triadic challenge: balancing scientific precision with lay accessibility, fulfilling ethical duties regarding patient safety, and proactively mitigating public health infodemics. Dense technical jargon severely restricts comprehension for non-specialist patients, whereas oversimplified summaries risk introducing clinical inaccuracies, omitting critical contraindications, or promoting unsupported health claims. A systematic operational framework is required to guarantee that all published content remains scientifically valid, ethically sound, and calibrated to diverse levels of health literacy.</w:t>
      </w:r>
    </w:p>
    <w:p>
      <w:pPr>
        <w:keepNext/>
        <w:spacing w:before="280" w:after="120"/>
      </w:pPr>
      <w:r>
        <w:rPr>
          <w:rFonts w:ascii="Arial" w:hAnsi="Arial"/>
          <w:b/>
          <w:color w:val="1E5631"/>
          <w:sz w:val="26"/>
        </w:rPr>
        <w:t>Operational Scope Definitions</w:t>
      </w:r>
    </w:p>
    <w:p>
      <w:pPr>
        <w:spacing w:before="0" w:after="120" w:line="276" w:lineRule="auto"/>
      </w:pPr>
      <w:r>
        <w:rPr>
          <w:rFonts w:ascii="Arial" w:hAnsi="Arial"/>
          <w:i w:val="0"/>
          <w:color w:val="1A1A1A"/>
          <w:sz w:val="21"/>
        </w:rPr>
        <w:t>The platform's operational publishing mandate encompasses nine explicit content domain categories:</w:t>
      </w:r>
    </w:p>
    <w:p>
      <w:pPr>
        <w:pStyle w:val="ListBullet"/>
        <w:spacing w:before="0" w:after="80" w:line="276" w:lineRule="auto"/>
      </w:pPr>
      <w:r>
        <w:rPr>
          <w:rFonts w:ascii="Arial" w:hAnsi="Arial"/>
          <w:b/>
          <w:color w:val="1A1A1A"/>
          <w:sz w:val="21"/>
        </w:rPr>
        <w:t>1. Disease Education:</w:t>
      </w:r>
      <w:r>
        <w:rPr>
          <w:rFonts w:ascii="Arial" w:hAnsi="Arial"/>
          <w:color w:val="1A1A1A"/>
          <w:sz w:val="21"/>
        </w:rPr>
        <w:t xml:space="preserve"> Comprehensive breakdowns of acute and chronic medical conditions, detailing etiology, pathophysiology, symptoms, and long-term prognosis.</w:t>
      </w:r>
    </w:p>
    <w:p>
      <w:pPr>
        <w:pStyle w:val="ListBullet"/>
        <w:spacing w:before="0" w:after="80" w:line="276" w:lineRule="auto"/>
      </w:pPr>
      <w:r>
        <w:rPr>
          <w:rFonts w:ascii="Arial" w:hAnsi="Arial"/>
          <w:b/>
          <w:color w:val="1A1A1A"/>
          <w:sz w:val="21"/>
        </w:rPr>
        <w:t>2. Prevention:</w:t>
      </w:r>
      <w:r>
        <w:rPr>
          <w:rFonts w:ascii="Arial" w:hAnsi="Arial"/>
          <w:color w:val="1A1A1A"/>
          <w:sz w:val="21"/>
        </w:rPr>
        <w:t xml:space="preserve"> Evidence-based guidance on prophylactic measures, lifestyle risk reduction, screening schedules, and immunizations.</w:t>
      </w:r>
    </w:p>
    <w:p>
      <w:pPr>
        <w:pStyle w:val="ListBullet"/>
        <w:spacing w:before="0" w:after="80" w:line="276" w:lineRule="auto"/>
      </w:pPr>
      <w:r>
        <w:rPr>
          <w:rFonts w:ascii="Arial" w:hAnsi="Arial"/>
          <w:b/>
          <w:color w:val="1A1A1A"/>
          <w:sz w:val="21"/>
        </w:rPr>
        <w:t>3. Treatment Information:</w:t>
      </w:r>
      <w:r>
        <w:rPr>
          <w:rFonts w:ascii="Arial" w:hAnsi="Arial"/>
          <w:color w:val="1A1A1A"/>
          <w:sz w:val="21"/>
        </w:rPr>
        <w:t xml:space="preserve"> Objective overviews of therapeutic modalities, surgical interventions, behavioral therapies, and emerging clinical pathways.</w:t>
      </w:r>
    </w:p>
    <w:p>
      <w:pPr>
        <w:pStyle w:val="ListBullet"/>
        <w:spacing w:before="0" w:after="80" w:line="276" w:lineRule="auto"/>
      </w:pPr>
      <w:r>
        <w:rPr>
          <w:rFonts w:ascii="Arial" w:hAnsi="Arial"/>
          <w:b/>
          <w:color w:val="1A1A1A"/>
          <w:sz w:val="21"/>
        </w:rPr>
        <w:t>4. Medication Safety:</w:t>
      </w:r>
      <w:r>
        <w:rPr>
          <w:rFonts w:ascii="Arial" w:hAnsi="Arial"/>
          <w:color w:val="1A1A1A"/>
          <w:sz w:val="21"/>
        </w:rPr>
        <w:t xml:space="preserve"> Detailed guidance on pharmaceutical profiles, administration schedules, drug-drug interactions, contraindications, and adverse event management.</w:t>
      </w:r>
    </w:p>
    <w:p>
      <w:pPr>
        <w:pStyle w:val="ListBullet"/>
        <w:spacing w:before="0" w:after="80" w:line="276" w:lineRule="auto"/>
      </w:pPr>
      <w:r>
        <w:rPr>
          <w:rFonts w:ascii="Arial" w:hAnsi="Arial"/>
          <w:b/>
          <w:color w:val="1A1A1A"/>
          <w:sz w:val="21"/>
        </w:rPr>
        <w:t>5. Patient FAQs:</w:t>
      </w:r>
      <w:r>
        <w:rPr>
          <w:rFonts w:ascii="Arial" w:hAnsi="Arial"/>
          <w:color w:val="1A1A1A"/>
          <w:sz w:val="21"/>
        </w:rPr>
        <w:t xml:space="preserve"> Structured, plain-language answers addressing real-world queries gathered from clinical interactions and search trends.</w:t>
      </w:r>
    </w:p>
    <w:p>
      <w:pPr>
        <w:pStyle w:val="ListBullet"/>
        <w:spacing w:before="0" w:after="80" w:line="276" w:lineRule="auto"/>
      </w:pPr>
      <w:r>
        <w:rPr>
          <w:rFonts w:ascii="Arial" w:hAnsi="Arial"/>
          <w:b/>
          <w:color w:val="1A1A1A"/>
          <w:sz w:val="21"/>
        </w:rPr>
        <w:t>6. Clinical Research Summaries:</w:t>
      </w:r>
      <w:r>
        <w:rPr>
          <w:rFonts w:ascii="Arial" w:hAnsi="Arial"/>
          <w:color w:val="1A1A1A"/>
          <w:sz w:val="21"/>
        </w:rPr>
        <w:t xml:space="preserve"> Contextualized, lay-accessible breakdowns of newly published peer-reviewed studies and clinical trial results.</w:t>
      </w:r>
    </w:p>
    <w:p>
      <w:pPr>
        <w:pStyle w:val="ListBullet"/>
        <w:spacing w:before="0" w:after="80" w:line="276" w:lineRule="auto"/>
      </w:pPr>
      <w:r>
        <w:rPr>
          <w:rFonts w:ascii="Arial" w:hAnsi="Arial"/>
          <w:b/>
          <w:color w:val="1A1A1A"/>
          <w:sz w:val="21"/>
        </w:rPr>
        <w:t>7. Lifestyle &amp; Preventive Health:</w:t>
      </w:r>
      <w:r>
        <w:rPr>
          <w:rFonts w:ascii="Arial" w:hAnsi="Arial"/>
          <w:color w:val="1A1A1A"/>
          <w:sz w:val="21"/>
        </w:rPr>
        <w:t xml:space="preserve"> Science-backed guidance on clinical nutrition, physical exercise, sleep hygiene, stress mitigation, and metabolic wellness.</w:t>
      </w:r>
    </w:p>
    <w:p>
      <w:pPr>
        <w:pStyle w:val="ListBullet"/>
        <w:spacing w:before="0" w:after="80" w:line="276" w:lineRule="auto"/>
      </w:pPr>
      <w:r>
        <w:rPr>
          <w:rFonts w:ascii="Arial" w:hAnsi="Arial"/>
          <w:b/>
          <w:color w:val="1A1A1A"/>
          <w:sz w:val="21"/>
        </w:rPr>
        <w:t>8. Public Health Initiatives:</w:t>
      </w:r>
      <w:r>
        <w:rPr>
          <w:rFonts w:ascii="Arial" w:hAnsi="Arial"/>
          <w:color w:val="1A1A1A"/>
          <w:sz w:val="21"/>
        </w:rPr>
        <w:t xml:space="preserve"> Educational coverage supporting national and global health priorities, epidemic awareness, and health promotion campaigns.</w:t>
      </w:r>
    </w:p>
    <w:p>
      <w:pPr>
        <w:pStyle w:val="ListBullet"/>
        <w:spacing w:before="0" w:after="80" w:line="276" w:lineRule="auto"/>
      </w:pPr>
      <w:r>
        <w:rPr>
          <w:rFonts w:ascii="Arial" w:hAnsi="Arial"/>
          <w:b/>
          <w:color w:val="1A1A1A"/>
          <w:sz w:val="21"/>
        </w:rPr>
        <w:t>9. Myth-Busting:</w:t>
      </w:r>
      <w:r>
        <w:rPr>
          <w:rFonts w:ascii="Arial" w:hAnsi="Arial"/>
          <w:color w:val="1A1A1A"/>
          <w:sz w:val="21"/>
        </w:rPr>
        <w:t xml:space="preserve"> Empirical analyses directly contrasting popular health misconceptions against published peer-reviewed literature.</w:t>
      </w:r>
    </w:p>
    <w:p>
      <w:pPr>
        <w:keepNext/>
        <w:spacing w:before="280" w:after="120"/>
      </w:pPr>
      <w:r>
        <w:rPr>
          <w:rFonts w:ascii="Arial" w:hAnsi="Arial"/>
          <w:b/>
          <w:color w:val="1E5631"/>
          <w:sz w:val="26"/>
        </w:rPr>
        <w:t>Strategic Purpose &amp; Stakeholder Value</w:t>
      </w:r>
    </w:p>
    <w:p>
      <w:pPr>
        <w:pStyle w:val="ListBullet"/>
        <w:spacing w:before="0" w:after="80" w:line="276" w:lineRule="auto"/>
      </w:pPr>
      <w:r>
        <w:rPr>
          <w:rFonts w:ascii="Arial" w:hAnsi="Arial"/>
          <w:b/>
          <w:color w:val="1A1A1A"/>
          <w:sz w:val="21"/>
        </w:rPr>
        <w:t>Primary Stakeholders (Patients, Caregivers, General Public):</w:t>
      </w:r>
      <w:r>
        <w:rPr>
          <w:rFonts w:ascii="Arial" w:hAnsi="Arial"/>
          <w:color w:val="1A1A1A"/>
          <w:sz w:val="21"/>
        </w:rPr>
        <w:t xml:space="preserve"> Empowers non-specialists with clear, actionable, and non-sensationalized health information. This enhances health literacy, facilitates shared decision-making during clinical encounters, encourages therapeutic adherence, and mitigates self-diagnosis harms.</w:t>
      </w:r>
    </w:p>
    <w:p>
      <w:pPr>
        <w:pStyle w:val="ListBullet"/>
        <w:spacing w:before="0" w:after="80" w:line="276" w:lineRule="auto"/>
      </w:pPr>
      <w:r>
        <w:rPr>
          <w:rFonts w:ascii="Arial" w:hAnsi="Arial"/>
          <w:b/>
          <w:color w:val="1A1A1A"/>
          <w:sz w:val="21"/>
        </w:rPr>
        <w:t>Secondary Stakeholders (Healthcare Professionals, Medical Students, Educators):</w:t>
      </w:r>
      <w:r>
        <w:rPr>
          <w:rFonts w:ascii="Arial" w:hAnsi="Arial"/>
          <w:color w:val="1A1A1A"/>
          <w:sz w:val="21"/>
        </w:rPr>
        <w:t xml:space="preserve"> Provides efficient, high-authority literature syntheses, trial summaries, and standardized patient education materials to support professional awareness, patient communication, and academic instruction.</w:t>
      </w:r>
    </w:p>
    <w:p>
      <w:pPr>
        <w:keepNext/>
        <w:spacing w:before="360" w:after="160"/>
      </w:pPr>
      <w:r>
        <w:rPr>
          <w:rFonts w:ascii="Arial" w:hAnsi="Arial"/>
          <w:b/>
          <w:color w:val="0F3822"/>
          <w:sz w:val="32"/>
        </w:rPr>
        <w:t>3. Medical Writing Landscape &amp; Industry Trends</w:t>
      </w:r>
    </w:p>
    <w:p>
      <w:pPr>
        <w:keepNext/>
        <w:spacing w:before="280" w:after="120"/>
      </w:pPr>
      <w:r>
        <w:rPr>
          <w:rFonts w:ascii="Arial" w:hAnsi="Arial"/>
          <w:b/>
          <w:color w:val="1E5631"/>
          <w:sz w:val="26"/>
        </w:rPr>
        <w:t>Trend Analysis &amp; Structural Transformation</w:t>
      </w:r>
    </w:p>
    <w:p>
      <w:pPr>
        <w:spacing w:before="0" w:after="120" w:line="276" w:lineRule="auto"/>
      </w:pPr>
      <w:r>
        <w:rPr>
          <w:rFonts w:ascii="Arial" w:hAnsi="Arial"/>
          <w:i w:val="0"/>
          <w:color w:val="1A1A1A"/>
          <w:sz w:val="21"/>
        </w:rPr>
        <w:t>The global medical writing landscape is undergoing a structural transformation driven by digital platform growth, shifting patient expectations, and evolving regulatory oversight. To maintain clinical credibility and market leadership, a digital health platform must continuously align its editorial operations with contemporary shifts in health communication science.</w:t>
      </w:r>
    </w:p>
    <w:p>
      <w:pPr>
        <w:pStyle w:val="ListBullet"/>
        <w:spacing w:before="0" w:after="80" w:line="276" w:lineRule="auto"/>
      </w:pPr>
      <w:r>
        <w:rPr>
          <w:rFonts w:ascii="Arial" w:hAnsi="Arial"/>
          <w:b/>
          <w:color w:val="1A1A1A"/>
          <w:sz w:val="21"/>
        </w:rPr>
        <w:t>1. Patient-Centered Communication:</w:t>
      </w:r>
      <w:r>
        <w:rPr>
          <w:rFonts w:ascii="Arial" w:hAnsi="Arial"/>
          <w:color w:val="1A1A1A"/>
          <w:sz w:val="21"/>
        </w:rPr>
        <w:t xml:space="preserve"> Traditional medical writing historically relied on passive, dense technical reporting designed primarily for professional peer review. Modern strategic approaches organize content around patient-expressed questions, lived experiences, emotional framing, and practical action steps, promoting patient empowerment.</w:t>
      </w:r>
    </w:p>
    <w:p>
      <w:pPr>
        <w:pStyle w:val="ListBullet"/>
        <w:spacing w:before="0" w:after="80" w:line="276" w:lineRule="auto"/>
      </w:pPr>
      <w:r>
        <w:rPr>
          <w:rFonts w:ascii="Arial" w:hAnsi="Arial"/>
          <w:b/>
          <w:color w:val="1A1A1A"/>
          <w:sz w:val="21"/>
        </w:rPr>
        <w:t>2. Health Literacy Focus:</w:t>
      </w:r>
      <w:r>
        <w:rPr>
          <w:rFonts w:ascii="Arial" w:hAnsi="Arial"/>
          <w:color w:val="1A1A1A"/>
          <w:sz w:val="21"/>
        </w:rPr>
        <w:t xml:space="preserve"> Low health literacy directly correlates with poor clinical outcomes, higher hospitalization rates, and increased healthcare costs. Modern medical content strategy prioritizes translating complex physiological mechanics into clear, plain language without compromising clinical integrity.</w:t>
      </w:r>
    </w:p>
    <w:p>
      <w:pPr>
        <w:pStyle w:val="ListBullet"/>
        <w:spacing w:before="0" w:after="80" w:line="276" w:lineRule="auto"/>
      </w:pPr>
      <w:r>
        <w:rPr>
          <w:rFonts w:ascii="Arial" w:hAnsi="Arial"/>
          <w:b/>
          <w:color w:val="1A1A1A"/>
          <w:sz w:val="21"/>
        </w:rPr>
        <w:t>3. Evidence-Based Content Imperative:</w:t>
      </w:r>
      <w:r>
        <w:rPr>
          <w:rFonts w:ascii="Arial" w:hAnsi="Arial"/>
          <w:color w:val="1A1A1A"/>
          <w:sz w:val="21"/>
        </w:rPr>
        <w:t xml:space="preserve"> The proliferation of online health claims has heightened scrutiny from regulatory bodies and consumers alike. Modern platforms mandate that every diagnostic, therapeutic, or preventive assertion be explicitly grounded in tier-one, peer-reviewed literature or official public health guidelines.</w:t>
      </w:r>
    </w:p>
    <w:p>
      <w:pPr>
        <w:pStyle w:val="ListBullet"/>
        <w:spacing w:before="0" w:after="80" w:line="276" w:lineRule="auto"/>
      </w:pPr>
      <w:r>
        <w:rPr>
          <w:rFonts w:ascii="Arial" w:hAnsi="Arial"/>
          <w:b/>
          <w:color w:val="1A1A1A"/>
          <w:sz w:val="21"/>
        </w:rPr>
        <w:t>4. Digital Health Ecosystem Growth:</w:t>
      </w:r>
      <w:r>
        <w:rPr>
          <w:rFonts w:ascii="Arial" w:hAnsi="Arial"/>
          <w:color w:val="1A1A1A"/>
          <w:sz w:val="21"/>
        </w:rPr>
        <w:t xml:space="preserve"> Health information consumption has shifted from static print media to dynamic, multi-channel digital networks. Content must be strategically modularized for native delivery across web portals, mobile applications, visual infographics, podcasts, email digests, and short-form video.</w:t>
      </w:r>
    </w:p>
    <w:p>
      <w:pPr>
        <w:pStyle w:val="ListBullet"/>
        <w:spacing w:before="0" w:after="80" w:line="276" w:lineRule="auto"/>
      </w:pPr>
      <w:r>
        <w:rPr>
          <w:rFonts w:ascii="Arial" w:hAnsi="Arial"/>
          <w:b/>
          <w:color w:val="1A1A1A"/>
          <w:sz w:val="21"/>
        </w:rPr>
        <w:t>5. AI-Assisted Content Creation &amp; Governance:</w:t>
      </w:r>
      <w:r>
        <w:rPr>
          <w:rFonts w:ascii="Arial" w:hAnsi="Arial"/>
          <w:color w:val="1A1A1A"/>
          <w:sz w:val="21"/>
        </w:rPr>
        <w:t xml:space="preserve"> Artificial intelligence platforms offer unprecedented operational efficiencies in literature summarization, initial drafting, and structural editing. However, unmonitored AI deployment introduces severe clinical liabilities, including hallucinated literature citations, outdated clinical recommendations, loss of subtle medical context, and privacy vulnerabilities. Consequently, the platform enforces an absolute, non-negotiable governance policy: AI technologies may be utilized for initial research synthesis and structural drafting, but every medically significant claim requires mandatory, 100% human-expert verification against primary authoritative sources prior to publication.</w:t>
      </w:r>
    </w:p>
    <w:p>
      <w:pPr>
        <w:keepNext/>
        <w:spacing w:before="280" w:after="120"/>
      </w:pPr>
      <w:r>
        <w:rPr>
          <w:rFonts w:ascii="Arial" w:hAnsi="Arial"/>
          <w:b/>
          <w:color w:val="1E5631"/>
          <w:sz w:val="26"/>
        </w:rPr>
        <w:t>Comparative Analysis: Traditional vs. Modern Approaches</w:t>
      </w:r>
    </w:p>
    <w:tbl>
      <w:tblPr>
        <w:tblW w:type="auto" w:w="0"/>
        <w:jc w:val="center"/>
        <w:tblLook w:firstColumn="1" w:firstRow="1" w:lastColumn="0" w:lastRow="0" w:noHBand="0" w:noVBand="1" w:val="04A0"/>
        <w:tblBorders>
          <w:top w:val="single" w:sz="6" w:space="0" w:color="0F3822"/>
          <w:bottom w:val="single" w:sz="6" w:space="0" w:color="0F3822"/>
          <w:insideH w:val="single" w:sz="6" w:space="0" w:color="0F3822"/>
          <w:insideV w:val="none"/>
          <w:left w:val="none"/>
          <w:right w:val="none"/>
        </w:tblBorders>
      </w:tblPr>
      <w:tblGrid>
        <w:gridCol w:w="3120"/>
        <w:gridCol w:w="3120"/>
        <w:gridCol w:w="3120"/>
      </w:tblGrid>
      <w:tr>
        <w:tc>
          <w:tcPr>
            <w:tcW w:type="dxa" w:w="2592"/>
            <w:shd w:fill="0F3822"/>
            <w:tcMar>
              <w:top w:w="100" w:type="dxa"/>
              <w:bottom w:w="100" w:type="dxa"/>
              <w:left w:w="120" w:type="dxa"/>
              <w:right w:w="120" w:type="dxa"/>
            </w:tcMar>
          </w:tcPr>
          <w:p>
            <w:pPr>
              <w:jc w:val="left"/>
            </w:pPr>
            <w:r>
              <w:rPr>
                <w:rFonts w:ascii="Arial" w:hAnsi="Arial"/>
                <w:b/>
                <w:color w:val="FFFFFF"/>
                <w:sz w:val="20"/>
              </w:rPr>
              <w:t>Trend Domain</w:t>
            </w:r>
          </w:p>
        </w:tc>
        <w:tc>
          <w:tcPr>
            <w:tcW w:type="dxa" w:w="3312"/>
            <w:shd w:fill="0F3822"/>
            <w:tcMar>
              <w:top w:w="100" w:type="dxa"/>
              <w:bottom w:w="100" w:type="dxa"/>
              <w:left w:w="120" w:type="dxa"/>
              <w:right w:w="120" w:type="dxa"/>
            </w:tcMar>
          </w:tcPr>
          <w:p>
            <w:pPr>
              <w:jc w:val="left"/>
            </w:pPr>
            <w:r>
              <w:rPr>
                <w:rFonts w:ascii="Arial" w:hAnsi="Arial"/>
                <w:b/>
                <w:color w:val="FFFFFF"/>
                <w:sz w:val="20"/>
              </w:rPr>
              <w:t>Traditional Medical Writing</w:t>
            </w:r>
          </w:p>
        </w:tc>
        <w:tc>
          <w:tcPr>
            <w:tcW w:type="dxa" w:w="3456"/>
            <w:shd w:fill="0F3822"/>
            <w:tcMar>
              <w:top w:w="100" w:type="dxa"/>
              <w:bottom w:w="100" w:type="dxa"/>
              <w:left w:w="120" w:type="dxa"/>
              <w:right w:w="120" w:type="dxa"/>
            </w:tcMar>
          </w:tcPr>
          <w:p>
            <w:pPr>
              <w:jc w:val="left"/>
            </w:pPr>
            <w:r>
              <w:rPr>
                <w:rFonts w:ascii="Arial" w:hAnsi="Arial"/>
                <w:b/>
                <w:color w:val="FFFFFF"/>
                <w:sz w:val="20"/>
              </w:rPr>
              <w:t>Modern Strategic Framework</w:t>
            </w:r>
          </w:p>
        </w:tc>
      </w:tr>
      <w:tr>
        <w:tc>
          <w:tcPr>
            <w:tcW w:type="dxa" w:w="2592"/>
            <w:shd w:fill="F2F7F4"/>
            <w:tcMar>
              <w:top w:w="80" w:type="dxa"/>
              <w:bottom w:w="80" w:type="dxa"/>
              <w:left w:w="100" w:type="dxa"/>
              <w:right w:w="100" w:type="dxa"/>
            </w:tcMar>
          </w:tcPr>
          <w:p>
            <w:r>
              <w:rPr>
                <w:rFonts w:ascii="Arial" w:hAnsi="Arial"/>
                <w:color w:val="1A1A1A"/>
                <w:sz w:val="19"/>
              </w:rPr>
              <w:t>Patient-Centered Communication</w:t>
            </w:r>
          </w:p>
        </w:tc>
        <w:tc>
          <w:tcPr>
            <w:tcW w:type="dxa" w:w="3312"/>
            <w:shd w:fill="F2F7F4"/>
            <w:tcMar>
              <w:top w:w="80" w:type="dxa"/>
              <w:bottom w:w="80" w:type="dxa"/>
              <w:left w:w="100" w:type="dxa"/>
              <w:right w:w="100" w:type="dxa"/>
            </w:tcMar>
          </w:tcPr>
          <w:p>
            <w:r>
              <w:rPr>
                <w:rFonts w:ascii="Arial" w:hAnsi="Arial"/>
                <w:color w:val="1A1A1A"/>
                <w:sz w:val="19"/>
              </w:rPr>
              <w:t>Passive, technical reporting designed for peer audience evaluation.</w:t>
            </w:r>
          </w:p>
        </w:tc>
        <w:tc>
          <w:tcPr>
            <w:tcW w:type="dxa" w:w="3456"/>
            <w:shd w:fill="F2F7F4"/>
            <w:tcMar>
              <w:top w:w="80" w:type="dxa"/>
              <w:bottom w:w="80" w:type="dxa"/>
              <w:left w:w="100" w:type="dxa"/>
              <w:right w:w="100" w:type="dxa"/>
            </w:tcMar>
          </w:tcPr>
          <w:p>
            <w:r>
              <w:rPr>
                <w:rFonts w:ascii="Arial" w:hAnsi="Arial"/>
                <w:color w:val="1A1A1A"/>
                <w:sz w:val="19"/>
              </w:rPr>
              <w:t>Question-driven, empathetic, patient-centered narratives structured for actionability.</w:t>
            </w:r>
          </w:p>
        </w:tc>
      </w:tr>
      <w:tr>
        <w:tc>
          <w:tcPr>
            <w:tcW w:type="dxa" w:w="2592"/>
            <w:shd w:fill="FFFFFF"/>
            <w:tcMar>
              <w:top w:w="80" w:type="dxa"/>
              <w:bottom w:w="80" w:type="dxa"/>
              <w:left w:w="100" w:type="dxa"/>
              <w:right w:w="100" w:type="dxa"/>
            </w:tcMar>
          </w:tcPr>
          <w:p>
            <w:r>
              <w:rPr>
                <w:rFonts w:ascii="Arial" w:hAnsi="Arial"/>
                <w:color w:val="1A1A1A"/>
                <w:sz w:val="19"/>
              </w:rPr>
              <w:t>Health Literacy Focus</w:t>
            </w:r>
          </w:p>
        </w:tc>
        <w:tc>
          <w:tcPr>
            <w:tcW w:type="dxa" w:w="3312"/>
            <w:shd w:fill="FFFFFF"/>
            <w:tcMar>
              <w:top w:w="80" w:type="dxa"/>
              <w:bottom w:w="80" w:type="dxa"/>
              <w:left w:w="100" w:type="dxa"/>
              <w:right w:w="100" w:type="dxa"/>
            </w:tcMar>
          </w:tcPr>
          <w:p>
            <w:r>
              <w:rPr>
                <w:rFonts w:ascii="Arial" w:hAnsi="Arial"/>
                <w:color w:val="1A1A1A"/>
                <w:sz w:val="19"/>
              </w:rPr>
              <w:t>Dense jargon, complex syntax, and unadjusted technical terminology.</w:t>
            </w:r>
          </w:p>
        </w:tc>
        <w:tc>
          <w:tcPr>
            <w:tcW w:type="dxa" w:w="3456"/>
            <w:shd w:fill="FFFFFF"/>
            <w:tcMar>
              <w:top w:w="80" w:type="dxa"/>
              <w:bottom w:w="80" w:type="dxa"/>
              <w:left w:w="100" w:type="dxa"/>
              <w:right w:w="100" w:type="dxa"/>
            </w:tcMar>
          </w:tcPr>
          <w:p>
            <w:r>
              <w:rPr>
                <w:rFonts w:ascii="Arial" w:hAnsi="Arial"/>
                <w:color w:val="1A1A1A"/>
                <w:sz w:val="19"/>
              </w:rPr>
              <w:t>Systematic plain-language translation preserving medical integrity and clarity.</w:t>
            </w:r>
          </w:p>
        </w:tc>
      </w:tr>
      <w:tr>
        <w:tc>
          <w:tcPr>
            <w:tcW w:type="dxa" w:w="2592"/>
            <w:shd w:fill="F2F7F4"/>
            <w:tcMar>
              <w:top w:w="80" w:type="dxa"/>
              <w:bottom w:w="80" w:type="dxa"/>
              <w:left w:w="100" w:type="dxa"/>
              <w:right w:w="100" w:type="dxa"/>
            </w:tcMar>
          </w:tcPr>
          <w:p>
            <w:r>
              <w:rPr>
                <w:rFonts w:ascii="Arial" w:hAnsi="Arial"/>
                <w:color w:val="1A1A1A"/>
                <w:sz w:val="19"/>
              </w:rPr>
              <w:t>Evidence Basis</w:t>
            </w:r>
          </w:p>
        </w:tc>
        <w:tc>
          <w:tcPr>
            <w:tcW w:type="dxa" w:w="3312"/>
            <w:shd w:fill="F2F7F4"/>
            <w:tcMar>
              <w:top w:w="80" w:type="dxa"/>
              <w:bottom w:w="80" w:type="dxa"/>
              <w:left w:w="100" w:type="dxa"/>
              <w:right w:w="100" w:type="dxa"/>
            </w:tcMar>
          </w:tcPr>
          <w:p>
            <w:r>
              <w:rPr>
                <w:rFonts w:ascii="Arial" w:hAnsi="Arial"/>
                <w:color w:val="1A1A1A"/>
                <w:sz w:val="19"/>
              </w:rPr>
              <w:t>Implicit authority, unstructured assertions, or secondary consensus.</w:t>
            </w:r>
          </w:p>
        </w:tc>
        <w:tc>
          <w:tcPr>
            <w:tcW w:type="dxa" w:w="3456"/>
            <w:shd w:fill="F2F7F4"/>
            <w:tcMar>
              <w:top w:w="80" w:type="dxa"/>
              <w:bottom w:w="80" w:type="dxa"/>
              <w:left w:w="100" w:type="dxa"/>
              <w:right w:w="100" w:type="dxa"/>
            </w:tcMar>
          </w:tcPr>
          <w:p>
            <w:r>
              <w:rPr>
                <w:rFonts w:ascii="Arial" w:hAnsi="Arial"/>
                <w:color w:val="1A1A1A"/>
                <w:sz w:val="19"/>
              </w:rPr>
              <w:t>Explicit inline citations mapping directly to tier-one peer-reviewed literature.</w:t>
            </w:r>
          </w:p>
        </w:tc>
      </w:tr>
      <w:tr>
        <w:tc>
          <w:tcPr>
            <w:tcW w:type="dxa" w:w="2592"/>
            <w:shd w:fill="FFFFFF"/>
            <w:tcMar>
              <w:top w:w="80" w:type="dxa"/>
              <w:bottom w:w="80" w:type="dxa"/>
              <w:left w:w="100" w:type="dxa"/>
              <w:right w:w="100" w:type="dxa"/>
            </w:tcMar>
          </w:tcPr>
          <w:p>
            <w:r>
              <w:rPr>
                <w:rFonts w:ascii="Arial" w:hAnsi="Arial"/>
                <w:color w:val="1A1A1A"/>
                <w:sz w:val="19"/>
              </w:rPr>
              <w:t>Distribution Ecosystem</w:t>
            </w:r>
          </w:p>
        </w:tc>
        <w:tc>
          <w:tcPr>
            <w:tcW w:type="dxa" w:w="3312"/>
            <w:shd w:fill="FFFFFF"/>
            <w:tcMar>
              <w:top w:w="80" w:type="dxa"/>
              <w:bottom w:w="80" w:type="dxa"/>
              <w:left w:w="100" w:type="dxa"/>
              <w:right w:w="100" w:type="dxa"/>
            </w:tcMar>
          </w:tcPr>
          <w:p>
            <w:r>
              <w:rPr>
                <w:rFonts w:ascii="Arial" w:hAnsi="Arial"/>
                <w:color w:val="1A1A1A"/>
                <w:sz w:val="19"/>
              </w:rPr>
              <w:t>Single-channel distribution (static print, clinical journal PDFs).</w:t>
            </w:r>
          </w:p>
        </w:tc>
        <w:tc>
          <w:tcPr>
            <w:tcW w:type="dxa" w:w="3456"/>
            <w:shd w:fill="FFFFFF"/>
            <w:tcMar>
              <w:top w:w="80" w:type="dxa"/>
              <w:bottom w:w="80" w:type="dxa"/>
              <w:left w:w="100" w:type="dxa"/>
              <w:right w:w="100" w:type="dxa"/>
            </w:tcMar>
          </w:tcPr>
          <w:p>
            <w:r>
              <w:rPr>
                <w:rFonts w:ascii="Arial" w:hAnsi="Arial"/>
                <w:color w:val="1A1A1A"/>
                <w:sz w:val="19"/>
              </w:rPr>
              <w:t>Multi-channel digital ecosystems (apps, newsletters, podcasts, social channels).</w:t>
            </w:r>
          </w:p>
        </w:tc>
      </w:tr>
      <w:tr>
        <w:tc>
          <w:tcPr>
            <w:tcW w:type="dxa" w:w="2592"/>
            <w:shd w:fill="F2F7F4"/>
            <w:tcMar>
              <w:top w:w="80" w:type="dxa"/>
              <w:bottom w:w="80" w:type="dxa"/>
              <w:left w:w="100" w:type="dxa"/>
              <w:right w:w="100" w:type="dxa"/>
            </w:tcMar>
          </w:tcPr>
          <w:p>
            <w:r>
              <w:rPr>
                <w:rFonts w:ascii="Arial" w:hAnsi="Arial"/>
                <w:color w:val="1A1A1A"/>
                <w:sz w:val="19"/>
              </w:rPr>
              <w:t>Technology Integration</w:t>
            </w:r>
          </w:p>
        </w:tc>
        <w:tc>
          <w:tcPr>
            <w:tcW w:type="dxa" w:w="3312"/>
            <w:shd w:fill="F2F7F4"/>
            <w:tcMar>
              <w:top w:w="80" w:type="dxa"/>
              <w:bottom w:w="80" w:type="dxa"/>
              <w:left w:w="100" w:type="dxa"/>
              <w:right w:w="100" w:type="dxa"/>
            </w:tcMar>
          </w:tcPr>
          <w:p>
            <w:r>
              <w:rPr>
                <w:rFonts w:ascii="Arial" w:hAnsi="Arial"/>
                <w:color w:val="1A1A1A"/>
                <w:sz w:val="19"/>
              </w:rPr>
              <w:t>Entirely manual research, drafting, and proofreading pipelines.</w:t>
            </w:r>
          </w:p>
        </w:tc>
        <w:tc>
          <w:tcPr>
            <w:tcW w:type="dxa" w:w="3456"/>
            <w:shd w:fill="F2F7F4"/>
            <w:tcMar>
              <w:top w:w="80" w:type="dxa"/>
              <w:bottom w:w="80" w:type="dxa"/>
              <w:left w:w="100" w:type="dxa"/>
              <w:right w:w="100" w:type="dxa"/>
            </w:tcMar>
          </w:tcPr>
          <w:p>
            <w:r>
              <w:rPr>
                <w:rFonts w:ascii="Arial" w:hAnsi="Arial"/>
                <w:color w:val="1A1A1A"/>
                <w:sz w:val="19"/>
              </w:rPr>
              <w:t>AI-assisted research synthesis gated by mandatory human-in-the-loop expert review.</w:t>
            </w:r>
          </w:p>
        </w:tc>
      </w:tr>
    </w:tbl>
    <w:p>
      <w:pPr>
        <w:spacing w:after="120"/>
      </w:pPr>
    </w:p>
    <w:p>
      <w:pPr>
        <w:keepNext/>
        <w:spacing w:before="360" w:after="160"/>
      </w:pPr>
      <w:r>
        <w:rPr>
          <w:rFonts w:ascii="Arial" w:hAnsi="Arial"/>
          <w:b/>
          <w:color w:val="0F3822"/>
          <w:sz w:val="32"/>
        </w:rPr>
        <w:t>4. Target Audience Analysis &amp; Segmentation</w:t>
      </w:r>
    </w:p>
    <w:p>
      <w:pPr>
        <w:keepNext/>
        <w:spacing w:before="280" w:after="120"/>
      </w:pPr>
      <w:r>
        <w:rPr>
          <w:rFonts w:ascii="Arial" w:hAnsi="Arial"/>
          <w:b/>
          <w:color w:val="1E5631"/>
          <w:sz w:val="26"/>
        </w:rPr>
        <w:t>Audience Matrix</w:t>
      </w:r>
    </w:p>
    <w:p>
      <w:pPr>
        <w:spacing w:before="0" w:after="120" w:line="276" w:lineRule="auto"/>
      </w:pPr>
      <w:r>
        <w:rPr>
          <w:rFonts w:ascii="Arial" w:hAnsi="Arial"/>
          <w:i w:val="0"/>
          <w:color w:val="1A1A1A"/>
          <w:sz w:val="21"/>
        </w:rPr>
        <w:t>Effective health communication requires rigorous audience segmentation. Presenting identical clinical material to a board-certified endocrinologist and a newly diagnosed diabetic patient degrades utility for both. Tailoring content depth, structural complexity, tone, and vocabulary to specific knowledge tiers ensures optimal comprehension and clinical impact.</w:t>
      </w:r>
    </w:p>
    <w:tbl>
      <w:tblPr>
        <w:tblW w:type="auto" w:w="0"/>
        <w:jc w:val="center"/>
        <w:tblLook w:firstColumn="1" w:firstRow="1" w:lastColumn="0" w:lastRow="0" w:noHBand="0" w:noVBand="1" w:val="04A0"/>
        <w:tblBorders>
          <w:top w:val="single" w:sz="6" w:space="0" w:color="0F3822"/>
          <w:bottom w:val="single" w:sz="6" w:space="0" w:color="0F3822"/>
          <w:insideH w:val="single" w:sz="6" w:space="0" w:color="0F3822"/>
          <w:insideV w:val="none"/>
          <w:left w:val="none"/>
          <w:right w:val="none"/>
        </w:tblBorders>
      </w:tblPr>
      <w:tblGrid>
        <w:gridCol w:w="2340"/>
        <w:gridCol w:w="2340"/>
        <w:gridCol w:w="2340"/>
        <w:gridCol w:w="2340"/>
      </w:tblGrid>
      <w:tr>
        <w:tc>
          <w:tcPr>
            <w:tcW w:type="dxa" w:w="1872"/>
            <w:shd w:fill="0F3822"/>
            <w:tcMar>
              <w:top w:w="100" w:type="dxa"/>
              <w:bottom w:w="100" w:type="dxa"/>
              <w:left w:w="100" w:type="dxa"/>
              <w:right w:w="100" w:type="dxa"/>
            </w:tcMar>
          </w:tcPr>
          <w:p>
            <w:r>
              <w:rPr>
                <w:rFonts w:ascii="Arial" w:hAnsi="Arial"/>
                <w:b/>
                <w:color w:val="FFFFFF"/>
                <w:sz w:val="19"/>
              </w:rPr>
              <w:t>Target Audience Segment</w:t>
            </w:r>
          </w:p>
        </w:tc>
        <w:tc>
          <w:tcPr>
            <w:tcW w:type="dxa" w:w="3168"/>
            <w:shd w:fill="0F3822"/>
            <w:tcMar>
              <w:top w:w="100" w:type="dxa"/>
              <w:bottom w:w="100" w:type="dxa"/>
              <w:left w:w="100" w:type="dxa"/>
              <w:right w:w="100" w:type="dxa"/>
            </w:tcMar>
          </w:tcPr>
          <w:p>
            <w:r>
              <w:rPr>
                <w:rFonts w:ascii="Arial" w:hAnsi="Arial"/>
                <w:b/>
                <w:color w:val="FFFFFF"/>
                <w:sz w:val="19"/>
              </w:rPr>
              <w:t>Primary Needs &amp; Priorities</w:t>
            </w:r>
          </w:p>
        </w:tc>
        <w:tc>
          <w:tcPr>
            <w:tcW w:type="dxa" w:w="1584"/>
            <w:shd w:fill="0F3822"/>
            <w:tcMar>
              <w:top w:w="100" w:type="dxa"/>
              <w:bottom w:w="100" w:type="dxa"/>
              <w:left w:w="100" w:type="dxa"/>
              <w:right w:w="100" w:type="dxa"/>
            </w:tcMar>
          </w:tcPr>
          <w:p>
            <w:r>
              <w:rPr>
                <w:rFonts w:ascii="Arial" w:hAnsi="Arial"/>
                <w:b/>
                <w:color w:val="FFFFFF"/>
                <w:sz w:val="19"/>
              </w:rPr>
              <w:t>Baseline Knowledge</w:t>
            </w:r>
          </w:p>
        </w:tc>
        <w:tc>
          <w:tcPr>
            <w:tcW w:type="dxa" w:w="2736"/>
            <w:shd w:fill="0F3822"/>
            <w:tcMar>
              <w:top w:w="100" w:type="dxa"/>
              <w:bottom w:w="100" w:type="dxa"/>
              <w:left w:w="100" w:type="dxa"/>
              <w:right w:w="100" w:type="dxa"/>
            </w:tcMar>
          </w:tcPr>
          <w:p>
            <w:r>
              <w:rPr>
                <w:rFonts w:ascii="Arial" w:hAnsi="Arial"/>
                <w:b/>
                <w:color w:val="FFFFFF"/>
                <w:sz w:val="19"/>
              </w:rPr>
              <w:t>Preferred Content Formats &amp; Channels</w:t>
            </w:r>
          </w:p>
        </w:tc>
      </w:tr>
      <w:tr>
        <w:tc>
          <w:tcPr>
            <w:tcW w:type="dxa" w:w="1872"/>
            <w:shd w:fill="F2F7F4"/>
            <w:tcMar>
              <w:top w:w="80" w:type="dxa"/>
              <w:bottom w:w="80" w:type="dxa"/>
              <w:left w:w="100" w:type="dxa"/>
              <w:right w:w="100" w:type="dxa"/>
            </w:tcMar>
          </w:tcPr>
          <w:p>
            <w:r>
              <w:rPr>
                <w:rFonts w:ascii="Arial" w:hAnsi="Arial"/>
                <w:color w:val="1A1A1A"/>
                <w:sz w:val="18"/>
              </w:rPr>
              <w:t>Patients</w:t>
            </w:r>
          </w:p>
        </w:tc>
        <w:tc>
          <w:tcPr>
            <w:tcW w:type="dxa" w:w="3168"/>
            <w:shd w:fill="F2F7F4"/>
            <w:tcMar>
              <w:top w:w="80" w:type="dxa"/>
              <w:bottom w:w="80" w:type="dxa"/>
              <w:left w:w="100" w:type="dxa"/>
              <w:right w:w="100" w:type="dxa"/>
            </w:tcMar>
          </w:tcPr>
          <w:p>
            <w:r>
              <w:rPr>
                <w:rFonts w:ascii="Arial" w:hAnsi="Arial"/>
                <w:color w:val="1A1A1A"/>
                <w:sz w:val="18"/>
              </w:rPr>
              <w:t>Understanding specific diagnoses, prognostic expectations, treatment options, self-care routines, and medication side effects.</w:t>
            </w:r>
          </w:p>
        </w:tc>
        <w:tc>
          <w:tcPr>
            <w:tcW w:type="dxa" w:w="1584"/>
            <w:shd w:fill="F2F7F4"/>
            <w:tcMar>
              <w:top w:w="80" w:type="dxa"/>
              <w:bottom w:w="80" w:type="dxa"/>
              <w:left w:w="100" w:type="dxa"/>
              <w:right w:w="100" w:type="dxa"/>
            </w:tcMar>
          </w:tcPr>
          <w:p>
            <w:r>
              <w:rPr>
                <w:rFonts w:ascii="Arial" w:hAnsi="Arial"/>
                <w:color w:val="1A1A1A"/>
                <w:sz w:val="18"/>
              </w:rPr>
              <w:t>Low to Moderate</w:t>
            </w:r>
          </w:p>
        </w:tc>
        <w:tc>
          <w:tcPr>
            <w:tcW w:type="dxa" w:w="2736"/>
            <w:shd w:fill="F2F7F4"/>
            <w:tcMar>
              <w:top w:w="80" w:type="dxa"/>
              <w:bottom w:w="80" w:type="dxa"/>
              <w:left w:w="100" w:type="dxa"/>
              <w:right w:w="100" w:type="dxa"/>
            </w:tcMar>
          </w:tcPr>
          <w:p>
            <w:r>
              <w:rPr>
                <w:rFonts w:ascii="Arial" w:hAnsi="Arial"/>
                <w:color w:val="1A1A1A"/>
                <w:sz w:val="18"/>
              </w:rPr>
              <w:t>Searchable FAQs, plain-language reference articles, step-by-step guides, short video modules, mobile app alerts.</w:t>
            </w:r>
          </w:p>
        </w:tc>
      </w:tr>
      <w:tr>
        <w:tc>
          <w:tcPr>
            <w:tcW w:type="dxa" w:w="1872"/>
            <w:shd w:fill="FFFFFF"/>
            <w:tcMar>
              <w:top w:w="80" w:type="dxa"/>
              <w:bottom w:w="80" w:type="dxa"/>
              <w:left w:w="100" w:type="dxa"/>
              <w:right w:w="100" w:type="dxa"/>
            </w:tcMar>
          </w:tcPr>
          <w:p>
            <w:r>
              <w:rPr>
                <w:rFonts w:ascii="Arial" w:hAnsi="Arial"/>
                <w:color w:val="1A1A1A"/>
                <w:sz w:val="18"/>
              </w:rPr>
              <w:t>Caregivers</w:t>
            </w:r>
          </w:p>
        </w:tc>
        <w:tc>
          <w:tcPr>
            <w:tcW w:type="dxa" w:w="3168"/>
            <w:shd w:fill="FFFFFF"/>
            <w:tcMar>
              <w:top w:w="80" w:type="dxa"/>
              <w:bottom w:w="80" w:type="dxa"/>
              <w:left w:w="100" w:type="dxa"/>
              <w:right w:w="100" w:type="dxa"/>
            </w:tcMar>
          </w:tcPr>
          <w:p>
            <w:r>
              <w:rPr>
                <w:rFonts w:ascii="Arial" w:hAnsi="Arial"/>
                <w:color w:val="1A1A1A"/>
                <w:sz w:val="18"/>
              </w:rPr>
              <w:t>Practical patient management protocols, dosing schedules, red-flag symptom monitoring, and care coordination.</w:t>
            </w:r>
          </w:p>
        </w:tc>
        <w:tc>
          <w:tcPr>
            <w:tcW w:type="dxa" w:w="1584"/>
            <w:shd w:fill="FFFFFF"/>
            <w:tcMar>
              <w:top w:w="80" w:type="dxa"/>
              <w:bottom w:w="80" w:type="dxa"/>
              <w:left w:w="100" w:type="dxa"/>
              <w:right w:w="100" w:type="dxa"/>
            </w:tcMar>
          </w:tcPr>
          <w:p>
            <w:r>
              <w:rPr>
                <w:rFonts w:ascii="Arial" w:hAnsi="Arial"/>
                <w:color w:val="1A1A1A"/>
                <w:sz w:val="18"/>
              </w:rPr>
              <w:t>Low to Moderate</w:t>
            </w:r>
          </w:p>
        </w:tc>
        <w:tc>
          <w:tcPr>
            <w:tcW w:type="dxa" w:w="2736"/>
            <w:shd w:fill="FFFFFF"/>
            <w:tcMar>
              <w:top w:w="80" w:type="dxa"/>
              <w:bottom w:w="80" w:type="dxa"/>
              <w:left w:w="100" w:type="dxa"/>
              <w:right w:w="100" w:type="dxa"/>
            </w:tcMar>
          </w:tcPr>
          <w:p>
            <w:r>
              <w:rPr>
                <w:rFonts w:ascii="Arial" w:hAnsi="Arial"/>
                <w:color w:val="1A1A1A"/>
                <w:sz w:val="18"/>
              </w:rPr>
              <w:t>Comprehensive action guides, visual monitoring checklists, email digests, interactive mobile tools.</w:t>
            </w:r>
          </w:p>
        </w:tc>
      </w:tr>
      <w:tr>
        <w:tc>
          <w:tcPr>
            <w:tcW w:type="dxa" w:w="1872"/>
            <w:shd w:fill="F2F7F4"/>
            <w:tcMar>
              <w:top w:w="80" w:type="dxa"/>
              <w:bottom w:w="80" w:type="dxa"/>
              <w:left w:w="100" w:type="dxa"/>
              <w:right w:w="100" w:type="dxa"/>
            </w:tcMar>
          </w:tcPr>
          <w:p>
            <w:r>
              <w:rPr>
                <w:rFonts w:ascii="Arial" w:hAnsi="Arial"/>
                <w:color w:val="1A1A1A"/>
                <w:sz w:val="18"/>
              </w:rPr>
              <w:t>General Public</w:t>
            </w:r>
          </w:p>
        </w:tc>
        <w:tc>
          <w:tcPr>
            <w:tcW w:type="dxa" w:w="3168"/>
            <w:shd w:fill="F2F7F4"/>
            <w:tcMar>
              <w:top w:w="80" w:type="dxa"/>
              <w:bottom w:w="80" w:type="dxa"/>
              <w:left w:w="100" w:type="dxa"/>
              <w:right w:w="100" w:type="dxa"/>
            </w:tcMar>
          </w:tcPr>
          <w:p>
            <w:r>
              <w:rPr>
                <w:rFonts w:ascii="Arial" w:hAnsi="Arial"/>
                <w:color w:val="1A1A1A"/>
                <w:sz w:val="18"/>
              </w:rPr>
              <w:t>Primary disease prevention, wellness principles, screening recommendations, public health guidance, and myth debunking.</w:t>
            </w:r>
          </w:p>
        </w:tc>
        <w:tc>
          <w:tcPr>
            <w:tcW w:type="dxa" w:w="1584"/>
            <w:shd w:fill="F2F7F4"/>
            <w:tcMar>
              <w:top w:w="80" w:type="dxa"/>
              <w:bottom w:w="80" w:type="dxa"/>
              <w:left w:w="100" w:type="dxa"/>
              <w:right w:w="100" w:type="dxa"/>
            </w:tcMar>
          </w:tcPr>
          <w:p>
            <w:r>
              <w:rPr>
                <w:rFonts w:ascii="Arial" w:hAnsi="Arial"/>
                <w:color w:val="1A1A1A"/>
                <w:sz w:val="18"/>
              </w:rPr>
              <w:t>Low</w:t>
            </w:r>
          </w:p>
        </w:tc>
        <w:tc>
          <w:tcPr>
            <w:tcW w:type="dxa" w:w="2736"/>
            <w:shd w:fill="F2F7F4"/>
            <w:tcMar>
              <w:top w:w="80" w:type="dxa"/>
              <w:bottom w:w="80" w:type="dxa"/>
              <w:left w:w="100" w:type="dxa"/>
              <w:right w:w="100" w:type="dxa"/>
            </w:tcMar>
          </w:tcPr>
          <w:p>
            <w:r>
              <w:rPr>
                <w:rFonts w:ascii="Arial" w:hAnsi="Arial"/>
                <w:color w:val="1A1A1A"/>
                <w:sz w:val="18"/>
              </w:rPr>
              <w:t>Short plain-language articles, visual infographics, short-form video clips, visual social channels (Instagram).</w:t>
            </w:r>
          </w:p>
        </w:tc>
      </w:tr>
      <w:tr>
        <w:tc>
          <w:tcPr>
            <w:tcW w:type="dxa" w:w="1872"/>
            <w:shd w:fill="FFFFFF"/>
            <w:tcMar>
              <w:top w:w="80" w:type="dxa"/>
              <w:bottom w:w="80" w:type="dxa"/>
              <w:left w:w="100" w:type="dxa"/>
              <w:right w:w="100" w:type="dxa"/>
            </w:tcMar>
          </w:tcPr>
          <w:p>
            <w:r>
              <w:rPr>
                <w:rFonts w:ascii="Arial" w:hAnsi="Arial"/>
                <w:color w:val="1A1A1A"/>
                <w:sz w:val="18"/>
              </w:rPr>
              <w:t>Medical Students</w:t>
            </w:r>
          </w:p>
        </w:tc>
        <w:tc>
          <w:tcPr>
            <w:tcW w:type="dxa" w:w="3168"/>
            <w:shd w:fill="FFFFFF"/>
            <w:tcMar>
              <w:top w:w="80" w:type="dxa"/>
              <w:bottom w:w="80" w:type="dxa"/>
              <w:left w:w="100" w:type="dxa"/>
              <w:right w:w="100" w:type="dxa"/>
            </w:tcMar>
          </w:tcPr>
          <w:p>
            <w:r>
              <w:rPr>
                <w:rFonts w:ascii="Arial" w:hAnsi="Arial"/>
                <w:color w:val="1A1A1A"/>
                <w:sz w:val="18"/>
              </w:rPr>
              <w:t>High-density educational digests, pathophysiological summaries, clinical guideline breakdowns, and trial analyses.</w:t>
            </w:r>
          </w:p>
        </w:tc>
        <w:tc>
          <w:tcPr>
            <w:tcW w:type="dxa" w:w="1584"/>
            <w:shd w:fill="FFFFFF"/>
            <w:tcMar>
              <w:top w:w="80" w:type="dxa"/>
              <w:bottom w:w="80" w:type="dxa"/>
              <w:left w:w="100" w:type="dxa"/>
              <w:right w:w="100" w:type="dxa"/>
            </w:tcMar>
          </w:tcPr>
          <w:p>
            <w:r>
              <w:rPr>
                <w:rFonts w:ascii="Arial" w:hAnsi="Arial"/>
                <w:color w:val="1A1A1A"/>
                <w:sz w:val="18"/>
              </w:rPr>
              <w:t>Moderate to High</w:t>
            </w:r>
          </w:p>
        </w:tc>
        <w:tc>
          <w:tcPr>
            <w:tcW w:type="dxa" w:w="2736"/>
            <w:shd w:fill="FFFFFF"/>
            <w:tcMar>
              <w:top w:w="80" w:type="dxa"/>
              <w:bottom w:w="80" w:type="dxa"/>
              <w:left w:w="100" w:type="dxa"/>
              <w:right w:w="100" w:type="dxa"/>
            </w:tcMar>
          </w:tcPr>
          <w:p>
            <w:r>
              <w:rPr>
                <w:rFonts w:ascii="Arial" w:hAnsi="Arial"/>
                <w:color w:val="1A1A1A"/>
                <w:sz w:val="18"/>
              </w:rPr>
              <w:t>Structured study guides, literature reviews, clinical research digests, technical newsletters.</w:t>
            </w:r>
          </w:p>
        </w:tc>
      </w:tr>
      <w:tr>
        <w:tc>
          <w:tcPr>
            <w:tcW w:type="dxa" w:w="1872"/>
            <w:shd w:fill="F2F7F4"/>
            <w:tcMar>
              <w:top w:w="80" w:type="dxa"/>
              <w:bottom w:w="80" w:type="dxa"/>
              <w:left w:w="100" w:type="dxa"/>
              <w:right w:w="100" w:type="dxa"/>
            </w:tcMar>
          </w:tcPr>
          <w:p>
            <w:r>
              <w:rPr>
                <w:rFonts w:ascii="Arial" w:hAnsi="Arial"/>
                <w:color w:val="1A1A1A"/>
                <w:sz w:val="18"/>
              </w:rPr>
              <w:t>Healthcare Professionals</w:t>
            </w:r>
          </w:p>
        </w:tc>
        <w:tc>
          <w:tcPr>
            <w:tcW w:type="dxa" w:w="3168"/>
            <w:shd w:fill="F2F7F4"/>
            <w:tcMar>
              <w:top w:w="80" w:type="dxa"/>
              <w:bottom w:w="80" w:type="dxa"/>
              <w:left w:w="100" w:type="dxa"/>
              <w:right w:w="100" w:type="dxa"/>
            </w:tcMar>
          </w:tcPr>
          <w:p>
            <w:r>
              <w:rPr>
                <w:rFonts w:ascii="Arial" w:hAnsi="Arial"/>
                <w:color w:val="1A1A1A"/>
                <w:sz w:val="18"/>
              </w:rPr>
              <w:t>Rapid access to emerging evidence, updated clinical guidelines, trial data breakdowns, and specialized research.</w:t>
            </w:r>
          </w:p>
        </w:tc>
        <w:tc>
          <w:tcPr>
            <w:tcW w:type="dxa" w:w="1584"/>
            <w:shd w:fill="F2F7F4"/>
            <w:tcMar>
              <w:top w:w="80" w:type="dxa"/>
              <w:bottom w:w="80" w:type="dxa"/>
              <w:left w:w="100" w:type="dxa"/>
              <w:right w:w="100" w:type="dxa"/>
            </w:tcMar>
          </w:tcPr>
          <w:p>
            <w:r>
              <w:rPr>
                <w:rFonts w:ascii="Arial" w:hAnsi="Arial"/>
                <w:color w:val="1A1A1A"/>
                <w:sz w:val="18"/>
              </w:rPr>
              <w:t>High</w:t>
            </w:r>
          </w:p>
        </w:tc>
        <w:tc>
          <w:tcPr>
            <w:tcW w:type="dxa" w:w="2736"/>
            <w:shd w:fill="F2F7F4"/>
            <w:tcMar>
              <w:top w:w="80" w:type="dxa"/>
              <w:bottom w:w="80" w:type="dxa"/>
              <w:left w:w="100" w:type="dxa"/>
              <w:right w:w="100" w:type="dxa"/>
            </w:tcMar>
          </w:tcPr>
          <w:p>
            <w:r>
              <w:rPr>
                <w:rFonts w:ascii="Arial" w:hAnsi="Arial"/>
                <w:color w:val="1A1A1A"/>
                <w:sz w:val="18"/>
              </w:rPr>
              <w:t>In-depth research syntheses, methodology evaluations, clinical trial briefs, professional networks (LinkedIn).</w:t>
            </w:r>
          </w:p>
        </w:tc>
      </w:tr>
    </w:tbl>
    <w:p>
      <w:pPr>
        <w:spacing w:after="120"/>
      </w:pPr>
    </w:p>
    <w:p>
      <w:pPr>
        <w:keepNext/>
        <w:spacing w:before="280" w:after="120"/>
      </w:pPr>
      <w:r>
        <w:rPr>
          <w:rFonts w:ascii="Arial" w:hAnsi="Arial"/>
          <w:b/>
          <w:color w:val="1E5631"/>
          <w:sz w:val="26"/>
        </w:rPr>
        <w:t>Analytical Breakdown: Adapting Clinical Topics Across Knowledge Tiers</w:t>
      </w:r>
    </w:p>
    <w:p>
      <w:pPr>
        <w:spacing w:before="0" w:after="120" w:line="276" w:lineRule="auto"/>
      </w:pPr>
      <w:r>
        <w:rPr>
          <w:rFonts w:ascii="Arial" w:hAnsi="Arial"/>
          <w:i w:val="0"/>
          <w:color w:val="1A1A1A"/>
          <w:sz w:val="21"/>
        </w:rPr>
        <w:t>To operationalize audience-specific adaptation, the editorial team applies structured plain-language translation models. Below are two comparative clinical translation analyses:</w:t>
      </w:r>
    </w:p>
    <w:tbl>
      <w:tblPr>
        <w:tblW w:type="auto" w:w="0"/>
        <w:jc w:val="center"/>
        <w:tblLayout w:type="fixed"/>
        <w:tblLook w:firstColumn="1" w:firstRow="1" w:lastColumn="0" w:lastRow="0" w:noHBand="0" w:noVBand="1" w:val="04A0"/>
      </w:tblPr>
      <w:tblGrid>
        <w:gridCol w:w="9360"/>
      </w:tblGrid>
      <w:tr>
        <w:tc>
          <w:tcPr>
            <w:tcW w:type="dxa" w:w="9360"/>
            <w:shd w:fill="F2F7F4"/>
            <w:tcMar>
              <w:top w:w="140" w:type="dxa"/>
              <w:bottom w:w="140" w:type="dxa"/>
              <w:left w:w="200" w:type="dxa"/>
              <w:right w:w="200" w:type="dxa"/>
            </w:tcMar>
            <w:tcBorders>
              <w:left w:val="single" w:sz="24" w:space="0" w:color="0F3822"/>
              <w:top w:val="none"/>
              <w:right w:val="none"/>
              <w:bottom w:val="none"/>
            </w:tcBorders>
          </w:tcPr>
          <w:p>
            <w:pPr>
              <w:spacing w:before="40" w:after="40" w:line="276" w:lineRule="auto"/>
            </w:pPr>
            <w:r>
              <w:rPr>
                <w:rFonts w:ascii="Arial" w:hAnsi="Arial"/>
                <w:b/>
                <w:color w:val="0F3822"/>
                <w:sz w:val="22"/>
              </w:rPr>
              <w:t>■ CLINICAL BREAKDOWN 1: ESSENTIAL HYPERTENSION</w:t>
              <w:br/>
            </w:r>
            <w:r>
              <w:rPr>
                <w:rFonts w:ascii="Arial" w:hAnsi="Arial"/>
                <w:color w:val="1A1A1A"/>
                <w:sz w:val="20"/>
              </w:rPr>
              <w:t>CLINICIAN / SPECIALIST FORMULATION:</w:t>
              <w:br/>
              <w:t>"Hypertension is a chronic cardiovascular pathology characterized by persistently elevated systemic arterial blood pressure, requiring therapeutic management to reduce systemic vascular resistance and prevent progressive end-organ microvascular damage."</w:t>
              <w:br/>
              <w:br/>
              <w:t>PATIENT / LAY PUBLIC TRANSLATION:</w:t>
              <w:br/>
              <w:t>"High blood pressure means the force of blood pushing against the walls of your blood vessels stays higher than it should over time. Over time, this extra pressure forces your heart to work harder and can cause damage to your blood vessels, heart, and kidneys."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2F7F4"/>
            <w:tcMar>
              <w:top w:w="140" w:type="dxa"/>
              <w:bottom w:w="140" w:type="dxa"/>
              <w:left w:w="200" w:type="dxa"/>
              <w:right w:w="200" w:type="dxa"/>
            </w:tcMar>
            <w:tcBorders>
              <w:left w:val="single" w:sz="24" w:space="0" w:color="0F3822"/>
              <w:top w:val="none"/>
              <w:right w:val="none"/>
              <w:bottom w:val="none"/>
            </w:tcBorders>
          </w:tcPr>
          <w:p>
            <w:pPr>
              <w:spacing w:before="40" w:after="40" w:line="276" w:lineRule="auto"/>
            </w:pPr>
            <w:r>
              <w:rPr>
                <w:rFonts w:ascii="Arial" w:hAnsi="Arial"/>
                <w:b/>
                <w:color w:val="0F3822"/>
                <w:sz w:val="22"/>
              </w:rPr>
              <w:t>■ CLINICAL BREAKDOWN 2: TYPE 2 DIABETES MELLITUS</w:t>
              <w:br/>
            </w:r>
            <w:r>
              <w:rPr>
                <w:rFonts w:ascii="Arial" w:hAnsi="Arial"/>
                <w:color w:val="1A1A1A"/>
                <w:sz w:val="20"/>
              </w:rPr>
              <w:t>CLINICIAN / SPECIALIST FORMULATION:</w:t>
              <w:br/>
              <w:t>"Type 2 Diabetes Mellitus is a metabolic disorder characterized by peripheral insulin receptor resistance combined with progressive pancreatic beta-cell dysfunction, resulting in chronic hyperglycemia and elevated glycated hemoglobin (HbA1c) levels."</w:t>
              <w:br/>
              <w:br/>
              <w:t>PATIENT / LAY PUBLIC TRANSLATION:</w:t>
              <w:br/>
              <w:t>"Type 2 diabetes is a condition where your body has trouble using insulin properly—the key hormone that moves sugar from your blood into your cells. Because your cells resist insulin, sugar builds up in your blood instead of being used for energy, which can cause health problems over time if not managed."</w:t>
            </w:r>
          </w:p>
        </w:tc>
      </w:tr>
    </w:tbl>
    <w:p>
      <w:pPr>
        <w:spacing w:after="120"/>
      </w:pPr>
    </w:p>
    <w:p>
      <w:pPr>
        <w:keepNext/>
        <w:spacing w:before="360" w:after="160"/>
      </w:pPr>
      <w:r>
        <w:rPr>
          <w:rFonts w:ascii="Arial" w:hAnsi="Arial"/>
          <w:b/>
          <w:color w:val="0F3822"/>
          <w:sz w:val="32"/>
        </w:rPr>
        <w:t>5. Strategic Objectives Framework</w:t>
      </w:r>
    </w:p>
    <w:p>
      <w:pPr>
        <w:spacing w:before="0" w:after="120" w:line="276" w:lineRule="auto"/>
      </w:pPr>
      <w:r>
        <w:rPr>
          <w:rFonts w:ascii="Arial" w:hAnsi="Arial"/>
          <w:i w:val="0"/>
          <w:color w:val="1A1A1A"/>
          <w:sz w:val="21"/>
        </w:rPr>
        <w:t>A structured strategic objectives framework guides editorial decision-making, governs quality assurance processes, and aligns daily content output with corporate governance standards.</w:t>
      </w:r>
    </w:p>
    <w:p>
      <w:pPr>
        <w:pStyle w:val="ListBullet"/>
        <w:spacing w:before="0" w:after="80" w:line="276" w:lineRule="auto"/>
      </w:pPr>
      <w:r>
        <w:rPr>
          <w:rFonts w:ascii="Arial" w:hAnsi="Arial"/>
          <w:b/>
          <w:color w:val="1A1A1A"/>
          <w:sz w:val="21"/>
        </w:rPr>
        <w:t>1. Objective 1 — Accuracy:</w:t>
      </w:r>
      <w:r>
        <w:rPr>
          <w:rFonts w:ascii="Arial" w:hAnsi="Arial"/>
          <w:color w:val="1A1A1A"/>
          <w:sz w:val="21"/>
        </w:rPr>
        <w:t xml:space="preserve"> Ground 100% of medical claims, diagnostic descriptions, and therapeutic guidance in high-authority, peer-reviewed literature or official public health guidelines.</w:t>
      </w:r>
    </w:p>
    <w:p>
      <w:pPr>
        <w:pStyle w:val="ListBullet"/>
        <w:spacing w:before="0" w:after="80" w:line="276" w:lineRule="auto"/>
      </w:pPr>
      <w:r>
        <w:rPr>
          <w:rFonts w:ascii="Arial" w:hAnsi="Arial"/>
          <w:b/>
          <w:color w:val="1A1A1A"/>
          <w:sz w:val="21"/>
        </w:rPr>
        <w:t>2. Objective 2 — Clarity:</w:t>
      </w:r>
      <w:r>
        <w:rPr>
          <w:rFonts w:ascii="Arial" w:hAnsi="Arial"/>
          <w:color w:val="1A1A1A"/>
          <w:sz w:val="21"/>
        </w:rPr>
        <w:t xml:space="preserve"> Translate complex physiological processes and clinical jargon into audience-appropriate language aligned with target readability scores (Flesch-Kincaid Grade Level ≤ 8.0 for patient content).</w:t>
      </w:r>
    </w:p>
    <w:p>
      <w:pPr>
        <w:pStyle w:val="ListBullet"/>
        <w:spacing w:before="0" w:after="80" w:line="276" w:lineRule="auto"/>
      </w:pPr>
      <w:r>
        <w:rPr>
          <w:rFonts w:ascii="Arial" w:hAnsi="Arial"/>
          <w:b/>
          <w:color w:val="1A1A1A"/>
          <w:sz w:val="21"/>
        </w:rPr>
        <w:t>3. Objective 3 — Accessibility:</w:t>
      </w:r>
      <w:r>
        <w:rPr>
          <w:rFonts w:ascii="Arial" w:hAnsi="Arial"/>
          <w:color w:val="1A1A1A"/>
          <w:sz w:val="21"/>
        </w:rPr>
        <w:t xml:space="preserve"> Format all digital content to meet universal accessibility standards (WCAG 2.1 AA), supporting users across varying health literacy levels, physical abilities, and mobile devices.</w:t>
      </w:r>
    </w:p>
    <w:p>
      <w:pPr>
        <w:pStyle w:val="ListBullet"/>
        <w:spacing w:before="0" w:after="80" w:line="276" w:lineRule="auto"/>
      </w:pPr>
      <w:r>
        <w:rPr>
          <w:rFonts w:ascii="Arial" w:hAnsi="Arial"/>
          <w:b/>
          <w:color w:val="1A1A1A"/>
          <w:sz w:val="21"/>
        </w:rPr>
        <w:t>4. Objective 4 — Engagement:</w:t>
      </w:r>
      <w:r>
        <w:rPr>
          <w:rFonts w:ascii="Arial" w:hAnsi="Arial"/>
          <w:color w:val="1A1A1A"/>
          <w:sz w:val="21"/>
        </w:rPr>
        <w:t xml:space="preserve"> Construct patient-centered content that directly answers real-world queries, clarifies prevalent misconceptions, and drives appropriate clinical interactions.</w:t>
      </w:r>
    </w:p>
    <w:p>
      <w:pPr>
        <w:pStyle w:val="ListBullet"/>
        <w:spacing w:before="0" w:after="80" w:line="276" w:lineRule="auto"/>
      </w:pPr>
      <w:r>
        <w:rPr>
          <w:rFonts w:ascii="Arial" w:hAnsi="Arial"/>
          <w:b/>
          <w:color w:val="1A1A1A"/>
          <w:sz w:val="21"/>
        </w:rPr>
        <w:t>5. Objective 5 — Ethical Communication:</w:t>
      </w:r>
      <w:r>
        <w:rPr>
          <w:rFonts w:ascii="Arial" w:hAnsi="Arial"/>
          <w:color w:val="1A1A1A"/>
          <w:sz w:val="21"/>
        </w:rPr>
        <w:t xml:space="preserve"> Enforce absolute prohibitions against sensationalism, unsubstantiated claims, commercial bias, and self-diagnosis messaging across all digital touchpoints.</w:t>
      </w:r>
    </w:p>
    <w:p>
      <w:pPr>
        <w:pStyle w:val="ListBullet"/>
        <w:spacing w:before="0" w:after="80" w:line="276" w:lineRule="auto"/>
      </w:pPr>
      <w:r>
        <w:rPr>
          <w:rFonts w:ascii="Arial" w:hAnsi="Arial"/>
          <w:b/>
          <w:color w:val="1A1A1A"/>
          <w:sz w:val="21"/>
        </w:rPr>
        <w:t>6. Objective 6 — Workflow Consistency:</w:t>
      </w:r>
      <w:r>
        <w:rPr>
          <w:rFonts w:ascii="Arial" w:hAnsi="Arial"/>
          <w:color w:val="1A1A1A"/>
          <w:sz w:val="21"/>
        </w:rPr>
        <w:t xml:space="preserve"> Operationalize a standardized, 12-step workflow covering literature research, drafting, medical review, fact-checking, and publication across all editorial teams.</w:t>
      </w:r>
    </w:p>
    <w:p>
      <w:pPr>
        <w:pStyle w:val="ListBullet"/>
        <w:spacing w:before="0" w:after="80" w:line="276" w:lineRule="auto"/>
      </w:pPr>
      <w:r>
        <w:rPr>
          <w:rFonts w:ascii="Arial" w:hAnsi="Arial"/>
          <w:b/>
          <w:color w:val="1A1A1A"/>
          <w:sz w:val="21"/>
        </w:rPr>
        <w:t>7. Objective 7 — Data-Driven Evaluation:</w:t>
      </w:r>
      <w:r>
        <w:rPr>
          <w:rFonts w:ascii="Arial" w:hAnsi="Arial"/>
          <w:color w:val="1A1A1A"/>
          <w:sz w:val="21"/>
        </w:rPr>
        <w:t xml:space="preserve"> Continuously measure performance using a dual-taxonomy framework balancing digital reach metrics against clinical quality and citation accuracy scores.</w:t>
      </w:r>
    </w:p>
    <w:p>
      <w:pPr>
        <w:keepNext/>
        <w:spacing w:before="360" w:after="160"/>
      </w:pPr>
      <w:r>
        <w:rPr>
          <w:rFonts w:ascii="Arial" w:hAnsi="Arial"/>
          <w:b/>
          <w:color w:val="0F3822"/>
          <w:sz w:val="32"/>
        </w:rPr>
        <w:t>6. Core Content Strategy &amp; Pillar Framework</w:t>
      </w:r>
    </w:p>
    <w:p>
      <w:pPr>
        <w:spacing w:before="0" w:after="120" w:line="276" w:lineRule="auto"/>
      </w:pPr>
      <w:r>
        <w:rPr>
          <w:rFonts w:ascii="Arial" w:hAnsi="Arial"/>
          <w:i w:val="0"/>
          <w:color w:val="1A1A1A"/>
          <w:sz w:val="21"/>
        </w:rPr>
        <w:t>The Content Pillar Framework translates overarching strategic objectives into six distinct, repeatable publishing streams. This structure guarantees broad clinical coverage, maintains editorial focus, and systematizes evidence gathering.</w:t>
      </w:r>
    </w:p>
    <w:p>
      <w:pPr>
        <w:keepNext/>
        <w:spacing w:before="280" w:after="120"/>
      </w:pPr>
      <w:r>
        <w:rPr>
          <w:rFonts w:ascii="Arial" w:hAnsi="Arial"/>
          <w:b/>
          <w:color w:val="1E5631"/>
          <w:sz w:val="26"/>
        </w:rPr>
        <w:t>Pillar Breakdown &amp; Sub-Topic Mapping</w:t>
      </w:r>
    </w:p>
    <w:p>
      <w:pPr>
        <w:pStyle w:val="ListBullet"/>
        <w:spacing w:before="0" w:after="80" w:line="276" w:lineRule="auto"/>
      </w:pPr>
      <w:r>
        <w:rPr>
          <w:rFonts w:ascii="Arial" w:hAnsi="Arial"/>
          <w:b/>
          <w:color w:val="1A1A1A"/>
          <w:sz w:val="21"/>
        </w:rPr>
        <w:t>Pillar 1: Disease Education —</w:t>
      </w:r>
      <w:r>
        <w:rPr>
          <w:rFonts w:ascii="Arial" w:hAnsi="Arial"/>
          <w:color w:val="1A1A1A"/>
          <w:sz w:val="21"/>
        </w:rPr>
        <w:t xml:space="preserve"> Pathophysiology, etiology, symptom presentation, disease progression, and long-term management of chronic and acute medical conditions. Sub-topics include Chronic Metabolic Conditions (Type 2 Diabetes, Metabolic Syndrome), Cardiovascular Diseases (Essential Hypertension, Atherosclerosis, Heart Failure), and Respiratory Disorders (Asthma, COPD). Example: "Understanding Type 2 Diabetes: How Insulin Resistance Affects Your Blood Sugar and Long-Term Health."</w:t>
      </w:r>
    </w:p>
    <w:p>
      <w:pPr>
        <w:pStyle w:val="ListBullet"/>
        <w:spacing w:before="0" w:after="80" w:line="276" w:lineRule="auto"/>
      </w:pPr>
      <w:r>
        <w:rPr>
          <w:rFonts w:ascii="Arial" w:hAnsi="Arial"/>
          <w:b/>
          <w:color w:val="1A1A1A"/>
          <w:sz w:val="21"/>
        </w:rPr>
        <w:t>Pillar 2: Prevention &amp; Wellness —</w:t>
      </w:r>
      <w:r>
        <w:rPr>
          <w:rFonts w:ascii="Arial" w:hAnsi="Arial"/>
          <w:color w:val="1A1A1A"/>
          <w:sz w:val="21"/>
        </w:rPr>
        <w:t xml:space="preserve"> Prophylactic interventions, evidence-based lifestyle modifications, routine screening guidelines, and public health immunization programs. Sub-topics include Adult Diagnostic Screening Schedules by Age/Risk, Prophylactic Immunizations, and Metabolic Lifestyle Modifications. Example: "Adult Screening Guidelines: Essential Diagnostic Tests You Need by Age and Risk Category."</w:t>
      </w:r>
    </w:p>
    <w:p>
      <w:pPr>
        <w:pStyle w:val="ListBullet"/>
        <w:spacing w:before="0" w:after="80" w:line="276" w:lineRule="auto"/>
      </w:pPr>
      <w:r>
        <w:rPr>
          <w:rFonts w:ascii="Arial" w:hAnsi="Arial"/>
          <w:b/>
          <w:color w:val="1A1A1A"/>
          <w:sz w:val="21"/>
        </w:rPr>
        <w:t>Pillar 3: Treatment Education —</w:t>
      </w:r>
      <w:r>
        <w:rPr>
          <w:rFonts w:ascii="Arial" w:hAnsi="Arial"/>
          <w:color w:val="1A1A1A"/>
          <w:sz w:val="21"/>
        </w:rPr>
        <w:t xml:space="preserve"> Mechanisms of therapeutic action, pharmacological profiles, surgical alternatives, adverse effect management, and doctor-patient dialogue enhancement. Sub-topics include Pharmacological Class Overviews (ACE Inhibitors, Metformin, Statins), Managing Common Medication Side Effects, and Patient Action Guides. Example: "Managing Common Side Effects of Blood Pressure Medications: A Patient Safety Guide."</w:t>
      </w:r>
    </w:p>
    <w:p>
      <w:pPr>
        <w:pStyle w:val="ListBullet"/>
        <w:spacing w:before="0" w:after="80" w:line="276" w:lineRule="auto"/>
      </w:pPr>
      <w:r>
        <w:rPr>
          <w:rFonts w:ascii="Arial" w:hAnsi="Arial"/>
          <w:b/>
          <w:color w:val="1A1A1A"/>
          <w:sz w:val="21"/>
        </w:rPr>
        <w:t>Pillar 4: Clinical Research Summaries —</w:t>
      </w:r>
      <w:r>
        <w:rPr>
          <w:rFonts w:ascii="Arial" w:hAnsi="Arial"/>
          <w:color w:val="1A1A1A"/>
          <w:sz w:val="21"/>
        </w:rPr>
        <w:t xml:space="preserve"> Translating newly published peer-reviewed studies, randomized controlled trials (RCTs), and systematic reviews into accessible formats for lay and professional audiences. Sub-topics include Trial Methodology Breakdowns, Cardiorenal Outcomes Updates, and Contextualizing Research ("What This Study Means for Your Daily Care"). Example: "Evaluating Recent Cardiovascular Trials: What New SGLT2 Inhibitor Data Means for Patient Care."</w:t>
      </w:r>
    </w:p>
    <w:p>
      <w:pPr>
        <w:pStyle w:val="ListBullet"/>
        <w:spacing w:before="0" w:after="80" w:line="276" w:lineRule="auto"/>
      </w:pPr>
      <w:r>
        <w:rPr>
          <w:rFonts w:ascii="Arial" w:hAnsi="Arial"/>
          <w:b/>
          <w:color w:val="1A1A1A"/>
          <w:sz w:val="21"/>
        </w:rPr>
        <w:t>Pillar 5: Health Myth vs. Evidence —</w:t>
      </w:r>
      <w:r>
        <w:rPr>
          <w:rFonts w:ascii="Arial" w:hAnsi="Arial"/>
          <w:color w:val="1A1A1A"/>
          <w:sz w:val="21"/>
        </w:rPr>
        <w:t xml:space="preserve"> Rigorous empirical evaluation of viral health trends, popular dietary myths, and unverified alternative therapies using tier-one literature. Sub-topics include Dietary Supplement Claims Evaluation, Detoxification &amp; Cleanse Debunking, and Misinformation Correction. Example: "Dietary Supplements and Immunity: What the Scientific Literature Actually Proves."</w:t>
      </w:r>
    </w:p>
    <w:p>
      <w:pPr>
        <w:pStyle w:val="ListBullet"/>
        <w:spacing w:before="0" w:after="80" w:line="276" w:lineRule="auto"/>
      </w:pPr>
      <w:r>
        <w:rPr>
          <w:rFonts w:ascii="Arial" w:hAnsi="Arial"/>
          <w:b/>
          <w:color w:val="1A1A1A"/>
          <w:sz w:val="21"/>
        </w:rPr>
        <w:t>Pillar 6: Health Literacy &amp; Navigation —</w:t>
      </w:r>
      <w:r>
        <w:rPr>
          <w:rFonts w:ascii="Arial" w:hAnsi="Arial"/>
          <w:color w:val="1A1A1A"/>
          <w:sz w:val="21"/>
        </w:rPr>
        <w:t xml:space="preserve"> Equipping consumers with practical competencies required to navigate healthcare systems, interpret diagnostic data, and manage health records. Sub-topics include Deciphering Diagnostic Lab Reports (CBC, Lipid Panels), Reading Pharmaceutical Labels, and Clinical Visit Preparation. Example: "How to Read Your Complete Blood Count (CBC) Lab Results: A Plain-Language Guide."</w:t>
      </w:r>
    </w:p>
    <w:p>
      <w:pPr>
        <w:keepNext/>
        <w:spacing w:before="360" w:after="160"/>
      </w:pPr>
      <w:r>
        <w:rPr>
          <w:rFonts w:ascii="Arial" w:hAnsi="Arial"/>
          <w:b/>
          <w:color w:val="0F3822"/>
          <w:sz w:val="32"/>
        </w:rPr>
        <w:t>7. Authoritative Research Methodology &amp; Fact-Checking Infrastructure</w:t>
      </w:r>
    </w:p>
    <w:p>
      <w:pPr>
        <w:keepNext/>
        <w:spacing w:before="280" w:after="120"/>
      </w:pPr>
      <w:r>
        <w:rPr>
          <w:rFonts w:ascii="Arial" w:hAnsi="Arial"/>
          <w:b/>
          <w:color w:val="1E5631"/>
          <w:sz w:val="26"/>
        </w:rPr>
        <w:t>Source Authority Taxonomy</w:t>
      </w:r>
    </w:p>
    <w:p>
      <w:pPr>
        <w:spacing w:before="0" w:after="120" w:line="276" w:lineRule="auto"/>
      </w:pPr>
      <w:r>
        <w:rPr>
          <w:rFonts w:ascii="Arial" w:hAnsi="Arial"/>
          <w:i w:val="0"/>
          <w:color w:val="1A1A1A"/>
          <w:sz w:val="21"/>
        </w:rPr>
        <w:t>To guarantee clinical validity and guard against misinformation, the platform strictly enforces a tiered research taxonomy. Unverified commercial blogs, personal health claims, and secondary media summaries are explicitly prohibited as evidence sources.</w:t>
      </w:r>
    </w:p>
    <w:p>
      <w:pPr>
        <w:pStyle w:val="ListBullet"/>
        <w:spacing w:before="0" w:after="80" w:line="276" w:lineRule="auto"/>
      </w:pPr>
      <w:r>
        <w:rPr>
          <w:rFonts w:ascii="Arial" w:hAnsi="Arial"/>
          <w:b/>
          <w:color w:val="1A1A1A"/>
          <w:sz w:val="21"/>
        </w:rPr>
        <w:t>Tier 1 Academic &amp; Peer-Reviewed Literature:</w:t>
      </w:r>
      <w:r>
        <w:rPr>
          <w:rFonts w:ascii="Arial" w:hAnsi="Arial"/>
          <w:color w:val="1A1A1A"/>
          <w:sz w:val="21"/>
        </w:rPr>
        <w:t xml:space="preserve"> PubMed / MEDLINE is the primary source for empirical research. For every cited study, researchers log the Title, First Author, Year, Journal, DOI/PMID, Clinical Finding, and Target Section into the master research database.</w:t>
      </w:r>
    </w:p>
    <w:p>
      <w:pPr>
        <w:pStyle w:val="ListBullet"/>
        <w:spacing w:before="0" w:after="80" w:line="276" w:lineRule="auto"/>
      </w:pPr>
      <w:r>
        <w:rPr>
          <w:rFonts w:ascii="Arial" w:hAnsi="Arial"/>
          <w:b/>
          <w:color w:val="1A1A1A"/>
          <w:sz w:val="21"/>
        </w:rPr>
        <w:t>Global &amp; National Public Health Agencies:</w:t>
      </w:r>
      <w:r>
        <w:rPr>
          <w:rFonts w:ascii="Arial" w:hAnsi="Arial"/>
          <w:color w:val="1A1A1A"/>
          <w:sz w:val="21"/>
        </w:rPr>
        <w:t xml:space="preserve"> World Health Organization (WHO) guidance establishes global public health messaging, infodemic protocols, and disease burden metrics. Centers for Disease Control and Prevention (CDC) standards provide health literacy frameworks, plain-language guidelines, and disease prevention protocols.</w:t>
      </w:r>
    </w:p>
    <w:p>
      <w:pPr>
        <w:pStyle w:val="ListBullet"/>
        <w:spacing w:before="0" w:after="80" w:line="276" w:lineRule="auto"/>
      </w:pPr>
      <w:r>
        <w:rPr>
          <w:rFonts w:ascii="Arial" w:hAnsi="Arial"/>
          <w:b/>
          <w:color w:val="1A1A1A"/>
          <w:sz w:val="21"/>
        </w:rPr>
        <w:t>Federal &amp; Regulatory Agencies:</w:t>
      </w:r>
      <w:r>
        <w:rPr>
          <w:rFonts w:ascii="Arial" w:hAnsi="Arial"/>
          <w:color w:val="1A1A1A"/>
          <w:sz w:val="21"/>
        </w:rPr>
        <w:t xml:space="preserve"> National Institutes of Health (NIH) and National Library of Medicine (NLM) supply clinical research syntheses and medical terminology standards. U.S. Food and Drug Administration (FDA) databases supply official drug labels, safety warnings, and adverse event reports.</w:t>
      </w:r>
    </w:p>
    <w:p>
      <w:pPr>
        <w:pStyle w:val="ListBullet"/>
        <w:spacing w:before="0" w:after="80" w:line="276" w:lineRule="auto"/>
      </w:pPr>
      <w:r>
        <w:rPr>
          <w:rFonts w:ascii="Arial" w:hAnsi="Arial"/>
          <w:b/>
          <w:color w:val="1A1A1A"/>
          <w:sz w:val="21"/>
        </w:rPr>
        <w:t>Regional Health Authorities (MoHFW &amp; ICMR):</w:t>
      </w:r>
      <w:r>
        <w:rPr>
          <w:rFonts w:ascii="Arial" w:hAnsi="Arial"/>
          <w:color w:val="1A1A1A"/>
          <w:sz w:val="21"/>
        </w:rPr>
        <w:t xml:space="preserve"> Ministry of Health and Family Welfare (MoHFW) and Indian Council of Medical Research (ICMR) sources provide localized health priorities, national disease control initiatives, and regional epidemiological data.</w:t>
      </w:r>
    </w:p>
    <w:p>
      <w:pPr>
        <w:keepNext/>
        <w:spacing w:before="280" w:after="120"/>
      </w:pPr>
      <w:r>
        <w:rPr>
          <w:rFonts w:ascii="Arial" w:hAnsi="Arial"/>
          <w:b/>
          <w:color w:val="1E5631"/>
          <w:sz w:val="26"/>
        </w:rPr>
        <w:t>10-Point Evidence Verification Checklist</w:t>
      </w:r>
    </w:p>
    <w:tbl>
      <w:tblPr>
        <w:tblW w:type="auto" w:w="0"/>
        <w:jc w:val="center"/>
        <w:tblLook w:firstColumn="1" w:firstRow="1" w:lastColumn="0" w:lastRow="0" w:noHBand="0" w:noVBand="1" w:val="04A0"/>
        <w:tblBorders>
          <w:top w:val="single" w:sz="6" w:space="0" w:color="0F3822"/>
          <w:bottom w:val="single" w:sz="6" w:space="0" w:color="0F3822"/>
          <w:insideH w:val="single" w:sz="6" w:space="0" w:color="0F3822"/>
          <w:insideV w:val="none"/>
          <w:left w:val="none"/>
          <w:right w:val="none"/>
        </w:tblBorders>
      </w:tblPr>
      <w:tblGrid>
        <w:gridCol w:w="3120"/>
        <w:gridCol w:w="3120"/>
        <w:gridCol w:w="3120"/>
      </w:tblGrid>
      <w:tr>
        <w:tc>
          <w:tcPr>
            <w:tcW w:type="dxa" w:w="864"/>
            <w:shd w:fill="0F3822"/>
            <w:tcMar>
              <w:top w:w="100" w:type="dxa"/>
              <w:bottom w:w="100" w:type="dxa"/>
              <w:left w:w="100" w:type="dxa"/>
              <w:right w:w="100" w:type="dxa"/>
            </w:tcMar>
          </w:tcPr>
          <w:p>
            <w:r>
              <w:rPr>
                <w:rFonts w:ascii="Arial" w:hAnsi="Arial"/>
                <w:b/>
                <w:color w:val="FFFFFF"/>
                <w:sz w:val="19"/>
              </w:rPr>
              <w:t>Step</w:t>
            </w:r>
          </w:p>
        </w:tc>
        <w:tc>
          <w:tcPr>
            <w:tcW w:type="dxa" w:w="5616"/>
            <w:shd w:fill="0F3822"/>
            <w:tcMar>
              <w:top w:w="100" w:type="dxa"/>
              <w:bottom w:w="100" w:type="dxa"/>
              <w:left w:w="100" w:type="dxa"/>
              <w:right w:w="100" w:type="dxa"/>
            </w:tcMar>
          </w:tcPr>
          <w:p>
            <w:r>
              <w:rPr>
                <w:rFonts w:ascii="Arial" w:hAnsi="Arial"/>
                <w:b/>
                <w:color w:val="FFFFFF"/>
                <w:sz w:val="19"/>
              </w:rPr>
              <w:t>Verification Criteria</w:t>
            </w:r>
          </w:p>
        </w:tc>
        <w:tc>
          <w:tcPr>
            <w:tcW w:type="dxa" w:w="2880"/>
            <w:shd w:fill="0F3822"/>
            <w:tcMar>
              <w:top w:w="100" w:type="dxa"/>
              <w:bottom w:w="100" w:type="dxa"/>
              <w:left w:w="100" w:type="dxa"/>
              <w:right w:w="100" w:type="dxa"/>
            </w:tcMar>
          </w:tcPr>
          <w:p>
            <w:r>
              <w:rPr>
                <w:rFonts w:ascii="Arial" w:hAnsi="Arial"/>
                <w:b/>
                <w:color w:val="FFFFFF"/>
                <w:sz w:val="19"/>
              </w:rPr>
              <w:t>Operational Audit Requirement</w:t>
            </w:r>
          </w:p>
        </w:tc>
      </w:tr>
      <w:tr>
        <w:tc>
          <w:tcPr>
            <w:tcW w:type="dxa" w:w="864"/>
            <w:shd w:fill="F2F7F4"/>
            <w:tcMar>
              <w:top w:w="80" w:type="dxa"/>
              <w:bottom w:w="80" w:type="dxa"/>
              <w:left w:w="100" w:type="dxa"/>
              <w:right w:w="100" w:type="dxa"/>
            </w:tcMar>
          </w:tcPr>
          <w:p>
            <w:r>
              <w:rPr>
                <w:rFonts w:ascii="Arial" w:hAnsi="Arial"/>
                <w:color w:val="1A1A1A"/>
                <w:sz w:val="18"/>
              </w:rPr>
              <w:t>1</w:t>
            </w:r>
          </w:p>
        </w:tc>
        <w:tc>
          <w:tcPr>
            <w:tcW w:type="dxa" w:w="5616"/>
            <w:shd w:fill="F2F7F4"/>
            <w:tcMar>
              <w:top w:w="80" w:type="dxa"/>
              <w:bottom w:w="80" w:type="dxa"/>
              <w:left w:w="100" w:type="dxa"/>
              <w:right w:w="100" w:type="dxa"/>
            </w:tcMar>
          </w:tcPr>
          <w:p>
            <w:r>
              <w:rPr>
                <w:rFonts w:ascii="Arial" w:hAnsi="Arial"/>
                <w:color w:val="1A1A1A"/>
                <w:sz w:val="18"/>
              </w:rPr>
              <w:t>Claim Identification: Explicitly identify every diagnostic, therapeutic, or physiological assertion.</w:t>
            </w:r>
          </w:p>
        </w:tc>
        <w:tc>
          <w:tcPr>
            <w:tcW w:type="dxa" w:w="2880"/>
            <w:shd w:fill="F2F7F4"/>
            <w:tcMar>
              <w:top w:w="80" w:type="dxa"/>
              <w:bottom w:w="80" w:type="dxa"/>
              <w:left w:w="100" w:type="dxa"/>
              <w:right w:w="100" w:type="dxa"/>
            </w:tcMar>
          </w:tcPr>
          <w:p>
            <w:r>
              <w:rPr>
                <w:rFonts w:ascii="Arial" w:hAnsi="Arial"/>
                <w:color w:val="1A1A1A"/>
                <w:sz w:val="18"/>
              </w:rPr>
              <w:t>Logged in Master Research Sheet</w:t>
            </w:r>
          </w:p>
        </w:tc>
      </w:tr>
      <w:tr>
        <w:tc>
          <w:tcPr>
            <w:tcW w:type="dxa" w:w="864"/>
            <w:shd w:fill="FFFFFF"/>
            <w:tcMar>
              <w:top w:w="80" w:type="dxa"/>
              <w:bottom w:w="80" w:type="dxa"/>
              <w:left w:w="100" w:type="dxa"/>
              <w:right w:w="100" w:type="dxa"/>
            </w:tcMar>
          </w:tcPr>
          <w:p>
            <w:r>
              <w:rPr>
                <w:rFonts w:ascii="Arial" w:hAnsi="Arial"/>
                <w:color w:val="1A1A1A"/>
                <w:sz w:val="18"/>
              </w:rPr>
              <w:t>2</w:t>
            </w:r>
          </w:p>
        </w:tc>
        <w:tc>
          <w:tcPr>
            <w:tcW w:type="dxa" w:w="5616"/>
            <w:shd w:fill="FFFFFF"/>
            <w:tcMar>
              <w:top w:w="80" w:type="dxa"/>
              <w:bottom w:w="80" w:type="dxa"/>
              <w:left w:w="100" w:type="dxa"/>
              <w:right w:w="100" w:type="dxa"/>
            </w:tcMar>
          </w:tcPr>
          <w:p>
            <w:r>
              <w:rPr>
                <w:rFonts w:ascii="Arial" w:hAnsi="Arial"/>
                <w:color w:val="1A1A1A"/>
                <w:sz w:val="18"/>
              </w:rPr>
              <w:t>Source Traceability: Link each claim directly to an authoritative source (DOI, PMID, or official URL).</w:t>
            </w:r>
          </w:p>
        </w:tc>
        <w:tc>
          <w:tcPr>
            <w:tcW w:type="dxa" w:w="2880"/>
            <w:shd w:fill="FFFFFF"/>
            <w:tcMar>
              <w:top w:w="80" w:type="dxa"/>
              <w:bottom w:w="80" w:type="dxa"/>
              <w:left w:w="100" w:type="dxa"/>
              <w:right w:w="100" w:type="dxa"/>
            </w:tcMar>
          </w:tcPr>
          <w:p>
            <w:r>
              <w:rPr>
                <w:rFonts w:ascii="Arial" w:hAnsi="Arial"/>
                <w:color w:val="1A1A1A"/>
                <w:sz w:val="18"/>
              </w:rPr>
              <w:t>Direct hyperlink verified</w:t>
            </w:r>
          </w:p>
        </w:tc>
      </w:tr>
      <w:tr>
        <w:tc>
          <w:tcPr>
            <w:tcW w:type="dxa" w:w="864"/>
            <w:shd w:fill="F2F7F4"/>
            <w:tcMar>
              <w:top w:w="80" w:type="dxa"/>
              <w:bottom w:w="80" w:type="dxa"/>
              <w:left w:w="100" w:type="dxa"/>
              <w:right w:w="100" w:type="dxa"/>
            </w:tcMar>
          </w:tcPr>
          <w:p>
            <w:r>
              <w:rPr>
                <w:rFonts w:ascii="Arial" w:hAnsi="Arial"/>
                <w:color w:val="1A1A1A"/>
                <w:sz w:val="18"/>
              </w:rPr>
              <w:t>3</w:t>
            </w:r>
          </w:p>
        </w:tc>
        <w:tc>
          <w:tcPr>
            <w:tcW w:type="dxa" w:w="5616"/>
            <w:shd w:fill="F2F7F4"/>
            <w:tcMar>
              <w:top w:w="80" w:type="dxa"/>
              <w:bottom w:w="80" w:type="dxa"/>
              <w:left w:w="100" w:type="dxa"/>
              <w:right w:w="100" w:type="dxa"/>
            </w:tcMar>
          </w:tcPr>
          <w:p>
            <w:r>
              <w:rPr>
                <w:rFonts w:ascii="Arial" w:hAnsi="Arial"/>
                <w:color w:val="1A1A1A"/>
                <w:sz w:val="18"/>
              </w:rPr>
              <w:t>Source Tier Verification: Ensure the source meets Tier-1 parameters (PubMed, WHO, CDC, FDA, ICMR).</w:t>
            </w:r>
          </w:p>
        </w:tc>
        <w:tc>
          <w:tcPr>
            <w:tcW w:type="dxa" w:w="2880"/>
            <w:shd w:fill="F2F7F4"/>
            <w:tcMar>
              <w:top w:w="80" w:type="dxa"/>
              <w:bottom w:w="80" w:type="dxa"/>
              <w:left w:w="100" w:type="dxa"/>
              <w:right w:w="100" w:type="dxa"/>
            </w:tcMar>
          </w:tcPr>
          <w:p>
            <w:r>
              <w:rPr>
                <w:rFonts w:ascii="Arial" w:hAnsi="Arial"/>
                <w:color w:val="1A1A1A"/>
                <w:sz w:val="18"/>
              </w:rPr>
              <w:t>Non-Tier-1 sources rejected</w:t>
            </w:r>
          </w:p>
        </w:tc>
      </w:tr>
      <w:tr>
        <w:tc>
          <w:tcPr>
            <w:tcW w:type="dxa" w:w="864"/>
            <w:shd w:fill="FFFFFF"/>
            <w:tcMar>
              <w:top w:w="80" w:type="dxa"/>
              <w:bottom w:w="80" w:type="dxa"/>
              <w:left w:w="100" w:type="dxa"/>
              <w:right w:w="100" w:type="dxa"/>
            </w:tcMar>
          </w:tcPr>
          <w:p>
            <w:r>
              <w:rPr>
                <w:rFonts w:ascii="Arial" w:hAnsi="Arial"/>
                <w:color w:val="1A1A1A"/>
                <w:sz w:val="18"/>
              </w:rPr>
              <w:t>4</w:t>
            </w:r>
          </w:p>
        </w:tc>
        <w:tc>
          <w:tcPr>
            <w:tcW w:type="dxa" w:w="5616"/>
            <w:shd w:fill="FFFFFF"/>
            <w:tcMar>
              <w:top w:w="80" w:type="dxa"/>
              <w:bottom w:w="80" w:type="dxa"/>
              <w:left w:w="100" w:type="dxa"/>
              <w:right w:w="100" w:type="dxa"/>
            </w:tcMar>
          </w:tcPr>
          <w:p>
            <w:r>
              <w:rPr>
                <w:rFonts w:ascii="Arial" w:hAnsi="Arial"/>
                <w:color w:val="1A1A1A"/>
                <w:sz w:val="18"/>
              </w:rPr>
              <w:t>Temporal Recency: Confirm evidence reflects contemporary consensus (published within 3–5 years).</w:t>
            </w:r>
          </w:p>
        </w:tc>
        <w:tc>
          <w:tcPr>
            <w:tcW w:type="dxa" w:w="2880"/>
            <w:shd w:fill="FFFFFF"/>
            <w:tcMar>
              <w:top w:w="80" w:type="dxa"/>
              <w:bottom w:w="80" w:type="dxa"/>
              <w:left w:w="100" w:type="dxa"/>
              <w:right w:w="100" w:type="dxa"/>
            </w:tcMar>
          </w:tcPr>
          <w:p>
            <w:r>
              <w:rPr>
                <w:rFonts w:ascii="Arial" w:hAnsi="Arial"/>
                <w:color w:val="1A1A1A"/>
                <w:sz w:val="18"/>
              </w:rPr>
              <w:t>Publication date confirmed</w:t>
            </w:r>
          </w:p>
        </w:tc>
      </w:tr>
      <w:tr>
        <w:tc>
          <w:tcPr>
            <w:tcW w:type="dxa" w:w="864"/>
            <w:shd w:fill="F2F7F4"/>
            <w:tcMar>
              <w:top w:w="80" w:type="dxa"/>
              <w:bottom w:w="80" w:type="dxa"/>
              <w:left w:w="100" w:type="dxa"/>
              <w:right w:w="100" w:type="dxa"/>
            </w:tcMar>
          </w:tcPr>
          <w:p>
            <w:r>
              <w:rPr>
                <w:rFonts w:ascii="Arial" w:hAnsi="Arial"/>
                <w:color w:val="1A1A1A"/>
                <w:sz w:val="18"/>
              </w:rPr>
              <w:t>5</w:t>
            </w:r>
          </w:p>
        </w:tc>
        <w:tc>
          <w:tcPr>
            <w:tcW w:type="dxa" w:w="5616"/>
            <w:shd w:fill="F2F7F4"/>
            <w:tcMar>
              <w:top w:w="80" w:type="dxa"/>
              <w:bottom w:w="80" w:type="dxa"/>
              <w:left w:w="100" w:type="dxa"/>
              <w:right w:w="100" w:type="dxa"/>
            </w:tcMar>
          </w:tcPr>
          <w:p>
            <w:r>
              <w:rPr>
                <w:rFonts w:ascii="Arial" w:hAnsi="Arial"/>
                <w:color w:val="1A1A1A"/>
                <w:sz w:val="18"/>
              </w:rPr>
              <w:t>Demographic Applicability: Confirm study results apply to the target human demographic (human RCT vs animal model).</w:t>
            </w:r>
          </w:p>
        </w:tc>
        <w:tc>
          <w:tcPr>
            <w:tcW w:type="dxa" w:w="2880"/>
            <w:shd w:fill="F2F7F4"/>
            <w:tcMar>
              <w:top w:w="80" w:type="dxa"/>
              <w:bottom w:w="80" w:type="dxa"/>
              <w:left w:w="100" w:type="dxa"/>
              <w:right w:w="100" w:type="dxa"/>
            </w:tcMar>
          </w:tcPr>
          <w:p>
            <w:r>
              <w:rPr>
                <w:rFonts w:ascii="Arial" w:hAnsi="Arial"/>
                <w:color w:val="1A1A1A"/>
                <w:sz w:val="18"/>
              </w:rPr>
              <w:t>Study sample parameters verified</w:t>
            </w:r>
          </w:p>
        </w:tc>
      </w:tr>
      <w:tr>
        <w:tc>
          <w:tcPr>
            <w:tcW w:type="dxa" w:w="864"/>
            <w:shd w:fill="FFFFFF"/>
            <w:tcMar>
              <w:top w:w="80" w:type="dxa"/>
              <w:bottom w:w="80" w:type="dxa"/>
              <w:left w:w="100" w:type="dxa"/>
              <w:right w:w="100" w:type="dxa"/>
            </w:tcMar>
          </w:tcPr>
          <w:p>
            <w:r>
              <w:rPr>
                <w:rFonts w:ascii="Arial" w:hAnsi="Arial"/>
                <w:color w:val="1A1A1A"/>
                <w:sz w:val="18"/>
              </w:rPr>
              <w:t>6</w:t>
            </w:r>
          </w:p>
        </w:tc>
        <w:tc>
          <w:tcPr>
            <w:tcW w:type="dxa" w:w="5616"/>
            <w:shd w:fill="FFFFFF"/>
            <w:tcMar>
              <w:top w:w="80" w:type="dxa"/>
              <w:bottom w:w="80" w:type="dxa"/>
              <w:left w:w="100" w:type="dxa"/>
              <w:right w:w="100" w:type="dxa"/>
            </w:tcMar>
          </w:tcPr>
          <w:p>
            <w:r>
              <w:rPr>
                <w:rFonts w:ascii="Arial" w:hAnsi="Arial"/>
                <w:color w:val="1A1A1A"/>
                <w:sz w:val="18"/>
              </w:rPr>
              <w:t>Claim Fidelity: Ensure the draft text accurately mirrors source conclusions without distortion.</w:t>
            </w:r>
          </w:p>
        </w:tc>
        <w:tc>
          <w:tcPr>
            <w:tcW w:type="dxa" w:w="2880"/>
            <w:shd w:fill="FFFFFF"/>
            <w:tcMar>
              <w:top w:w="80" w:type="dxa"/>
              <w:bottom w:w="80" w:type="dxa"/>
              <w:left w:w="100" w:type="dxa"/>
              <w:right w:w="100" w:type="dxa"/>
            </w:tcMar>
          </w:tcPr>
          <w:p>
            <w:r>
              <w:rPr>
                <w:rFonts w:ascii="Arial" w:hAnsi="Arial"/>
                <w:color w:val="1A1A1A"/>
                <w:sz w:val="18"/>
              </w:rPr>
              <w:t>Verbatim source comparison</w:t>
            </w:r>
          </w:p>
        </w:tc>
      </w:tr>
      <w:tr>
        <w:tc>
          <w:tcPr>
            <w:tcW w:type="dxa" w:w="864"/>
            <w:shd w:fill="F2F7F4"/>
            <w:tcMar>
              <w:top w:w="80" w:type="dxa"/>
              <w:bottom w:w="80" w:type="dxa"/>
              <w:left w:w="100" w:type="dxa"/>
              <w:right w:w="100" w:type="dxa"/>
            </w:tcMar>
          </w:tcPr>
          <w:p>
            <w:r>
              <w:rPr>
                <w:rFonts w:ascii="Arial" w:hAnsi="Arial"/>
                <w:color w:val="1A1A1A"/>
                <w:sz w:val="18"/>
              </w:rPr>
              <w:t>7</w:t>
            </w:r>
          </w:p>
        </w:tc>
        <w:tc>
          <w:tcPr>
            <w:tcW w:type="dxa" w:w="5616"/>
            <w:shd w:fill="F2F7F4"/>
            <w:tcMar>
              <w:top w:w="80" w:type="dxa"/>
              <w:bottom w:w="80" w:type="dxa"/>
              <w:left w:w="100" w:type="dxa"/>
              <w:right w:w="100" w:type="dxa"/>
            </w:tcMar>
          </w:tcPr>
          <w:p>
            <w:r>
              <w:rPr>
                <w:rFonts w:ascii="Arial" w:hAnsi="Arial"/>
                <w:color w:val="1A1A1A"/>
                <w:sz w:val="18"/>
              </w:rPr>
              <w:t>Tone Precision: Calibrate wording to match evidence strength (e.g., 'studies suggest' vs 'proves').</w:t>
            </w:r>
          </w:p>
        </w:tc>
        <w:tc>
          <w:tcPr>
            <w:tcW w:type="dxa" w:w="2880"/>
            <w:shd w:fill="F2F7F4"/>
            <w:tcMar>
              <w:top w:w="80" w:type="dxa"/>
              <w:bottom w:w="80" w:type="dxa"/>
              <w:left w:w="100" w:type="dxa"/>
              <w:right w:w="100" w:type="dxa"/>
            </w:tcMar>
          </w:tcPr>
          <w:p>
            <w:r>
              <w:rPr>
                <w:rFonts w:ascii="Arial" w:hAnsi="Arial"/>
                <w:color w:val="1A1A1A"/>
                <w:sz w:val="18"/>
              </w:rPr>
              <w:t>Language strength adjusted</w:t>
            </w:r>
          </w:p>
        </w:tc>
      </w:tr>
      <w:tr>
        <w:tc>
          <w:tcPr>
            <w:tcW w:type="dxa" w:w="864"/>
            <w:shd w:fill="FFFFFF"/>
            <w:tcMar>
              <w:top w:w="80" w:type="dxa"/>
              <w:bottom w:w="80" w:type="dxa"/>
              <w:left w:w="100" w:type="dxa"/>
              <w:right w:w="100" w:type="dxa"/>
            </w:tcMar>
          </w:tcPr>
          <w:p>
            <w:r>
              <w:rPr>
                <w:rFonts w:ascii="Arial" w:hAnsi="Arial"/>
                <w:color w:val="1A1A1A"/>
                <w:sz w:val="18"/>
              </w:rPr>
              <w:t>8</w:t>
            </w:r>
          </w:p>
        </w:tc>
        <w:tc>
          <w:tcPr>
            <w:tcW w:type="dxa" w:w="5616"/>
            <w:shd w:fill="FFFFFF"/>
            <w:tcMar>
              <w:top w:w="80" w:type="dxa"/>
              <w:bottom w:w="80" w:type="dxa"/>
              <w:left w:w="100" w:type="dxa"/>
              <w:right w:w="100" w:type="dxa"/>
            </w:tcMar>
          </w:tcPr>
          <w:p>
            <w:r>
              <w:rPr>
                <w:rFonts w:ascii="Arial" w:hAnsi="Arial"/>
                <w:color w:val="1A1A1A"/>
                <w:sz w:val="18"/>
              </w:rPr>
              <w:t>Limitation Disclosure: Explicitly disclose study limitations, sample size constraints, or conflicts of interest.</w:t>
            </w:r>
          </w:p>
        </w:tc>
        <w:tc>
          <w:tcPr>
            <w:tcW w:type="dxa" w:w="2880"/>
            <w:shd w:fill="FFFFFF"/>
            <w:tcMar>
              <w:top w:w="80" w:type="dxa"/>
              <w:bottom w:w="80" w:type="dxa"/>
              <w:left w:w="100" w:type="dxa"/>
              <w:right w:w="100" w:type="dxa"/>
            </w:tcMar>
          </w:tcPr>
          <w:p>
            <w:r>
              <w:rPr>
                <w:rFonts w:ascii="Arial" w:hAnsi="Arial"/>
                <w:color w:val="1A1A1A"/>
                <w:sz w:val="18"/>
              </w:rPr>
              <w:t>Limitation callout integrated</w:t>
            </w:r>
          </w:p>
        </w:tc>
      </w:tr>
      <w:tr>
        <w:tc>
          <w:tcPr>
            <w:tcW w:type="dxa" w:w="864"/>
            <w:shd w:fill="F2F7F4"/>
            <w:tcMar>
              <w:top w:w="80" w:type="dxa"/>
              <w:bottom w:w="80" w:type="dxa"/>
              <w:left w:w="100" w:type="dxa"/>
              <w:right w:w="100" w:type="dxa"/>
            </w:tcMar>
          </w:tcPr>
          <w:p>
            <w:r>
              <w:rPr>
                <w:rFonts w:ascii="Arial" w:hAnsi="Arial"/>
                <w:color w:val="1A1A1A"/>
                <w:sz w:val="18"/>
              </w:rPr>
              <w:t>9</w:t>
            </w:r>
          </w:p>
        </w:tc>
        <w:tc>
          <w:tcPr>
            <w:tcW w:type="dxa" w:w="5616"/>
            <w:shd w:fill="F2F7F4"/>
            <w:tcMar>
              <w:top w:w="80" w:type="dxa"/>
              <w:bottom w:w="80" w:type="dxa"/>
              <w:left w:w="100" w:type="dxa"/>
              <w:right w:w="100" w:type="dxa"/>
            </w:tcMar>
          </w:tcPr>
          <w:p>
            <w:r>
              <w:rPr>
                <w:rFonts w:ascii="Arial" w:hAnsi="Arial"/>
                <w:color w:val="1A1A1A"/>
                <w:sz w:val="18"/>
              </w:rPr>
              <w:t>SME Escalation: Identify complex clinical claims requiring specialized Subject Matter Expert sign-off.</w:t>
            </w:r>
          </w:p>
        </w:tc>
        <w:tc>
          <w:tcPr>
            <w:tcW w:type="dxa" w:w="2880"/>
            <w:shd w:fill="F2F7F4"/>
            <w:tcMar>
              <w:top w:w="80" w:type="dxa"/>
              <w:bottom w:w="80" w:type="dxa"/>
              <w:left w:w="100" w:type="dxa"/>
              <w:right w:w="100" w:type="dxa"/>
            </w:tcMar>
          </w:tcPr>
          <w:p>
            <w:r>
              <w:rPr>
                <w:rFonts w:ascii="Arial" w:hAnsi="Arial"/>
                <w:color w:val="1A1A1A"/>
                <w:sz w:val="18"/>
              </w:rPr>
              <w:t>Routed to SME queue</w:t>
            </w:r>
          </w:p>
        </w:tc>
      </w:tr>
      <w:tr>
        <w:tc>
          <w:tcPr>
            <w:tcW w:type="dxa" w:w="864"/>
            <w:shd w:fill="FFFFFF"/>
            <w:tcMar>
              <w:top w:w="80" w:type="dxa"/>
              <w:bottom w:w="80" w:type="dxa"/>
              <w:left w:w="100" w:type="dxa"/>
              <w:right w:w="100" w:type="dxa"/>
            </w:tcMar>
          </w:tcPr>
          <w:p>
            <w:r>
              <w:rPr>
                <w:rFonts w:ascii="Arial" w:hAnsi="Arial"/>
                <w:color w:val="1A1A1A"/>
                <w:sz w:val="18"/>
              </w:rPr>
              <w:t>10</w:t>
            </w:r>
          </w:p>
        </w:tc>
        <w:tc>
          <w:tcPr>
            <w:tcW w:type="dxa" w:w="5616"/>
            <w:shd w:fill="FFFFFF"/>
            <w:tcMar>
              <w:top w:w="80" w:type="dxa"/>
              <w:bottom w:w="80" w:type="dxa"/>
              <w:left w:w="100" w:type="dxa"/>
              <w:right w:w="100" w:type="dxa"/>
            </w:tcMar>
          </w:tcPr>
          <w:p>
            <w:r>
              <w:rPr>
                <w:rFonts w:ascii="Arial" w:hAnsi="Arial"/>
                <w:color w:val="1A1A1A"/>
                <w:sz w:val="18"/>
              </w:rPr>
              <w:t>Cataloging: Record all source data in the master research catalog.</w:t>
            </w:r>
          </w:p>
        </w:tc>
        <w:tc>
          <w:tcPr>
            <w:tcW w:type="dxa" w:w="2880"/>
            <w:shd w:fill="FFFFFF"/>
            <w:tcMar>
              <w:top w:w="80" w:type="dxa"/>
              <w:bottom w:w="80" w:type="dxa"/>
              <w:left w:w="100" w:type="dxa"/>
              <w:right w:w="100" w:type="dxa"/>
            </w:tcMar>
          </w:tcPr>
          <w:p>
            <w:r>
              <w:rPr>
                <w:rFonts w:ascii="Arial" w:hAnsi="Arial"/>
                <w:color w:val="1A1A1A"/>
                <w:sz w:val="18"/>
              </w:rPr>
              <w:t>Source ID assigned</w:t>
            </w:r>
          </w:p>
        </w:tc>
      </w:tr>
    </w:tbl>
    <w:p>
      <w:pPr>
        <w:spacing w:after="120"/>
      </w:pPr>
    </w:p>
    <w:p>
      <w:pPr>
        <w:keepNext/>
        <w:spacing w:before="360" w:after="160"/>
      </w:pPr>
      <w:r>
        <w:rPr>
          <w:rFonts w:ascii="Arial" w:hAnsi="Arial"/>
          <w:b/>
          <w:color w:val="0F3822"/>
          <w:sz w:val="32"/>
        </w:rPr>
        <w:t>8. End-to-End Medical Content Workflow &amp; Cadence</w:t>
      </w:r>
    </w:p>
    <w:p>
      <w:pPr>
        <w:keepNext/>
        <w:spacing w:before="280" w:after="120"/>
      </w:pPr>
      <w:r>
        <w:rPr>
          <w:rFonts w:ascii="Arial" w:hAnsi="Arial"/>
          <w:b/>
          <w:color w:val="1E5631"/>
          <w:sz w:val="26"/>
        </w:rPr>
        <w:t>The 12-Step Quality Assurance Engine</w:t>
      </w:r>
    </w:p>
    <w:p>
      <w:pPr>
        <w:spacing w:before="0" w:after="120" w:line="276" w:lineRule="auto"/>
      </w:pPr>
      <w:r>
        <w:rPr>
          <w:rFonts w:ascii="Arial" w:hAnsi="Arial"/>
          <w:i w:val="0"/>
          <w:color w:val="1A1A1A"/>
          <w:sz w:val="21"/>
        </w:rPr>
        <w:t>A standardized content workflow serves as an enterprise quality control mechanism. It ensures that every published asset undergoes systematic clinical review, fact-checking, and plain-language optimization.</w:t>
      </w:r>
    </w:p>
    <w:p>
      <w:pPr>
        <w:pStyle w:val="ListBullet"/>
        <w:spacing w:before="0" w:after="80" w:line="276" w:lineRule="auto"/>
      </w:pPr>
      <w:r>
        <w:rPr>
          <w:rFonts w:ascii="Arial" w:hAnsi="Arial"/>
          <w:color w:val="1A1A1A"/>
          <w:sz w:val="21"/>
        </w:rPr>
        <w:t>1. Topic Selection &amp; Keyword Ideation: Identify user search queries, clinical updates, or public health priorities.</w:t>
      </w:r>
    </w:p>
    <w:p>
      <w:pPr>
        <w:pStyle w:val="ListBullet"/>
        <w:spacing w:before="0" w:after="80" w:line="276" w:lineRule="auto"/>
      </w:pPr>
      <w:r>
        <w:rPr>
          <w:rFonts w:ascii="Arial" w:hAnsi="Arial"/>
          <w:color w:val="1A1A1A"/>
          <w:sz w:val="21"/>
        </w:rPr>
        <w:t>2. Secondary Literature Research: Query PubMed, WHO, CDC, FDA, and ICMR databases for tier-one evidence.</w:t>
      </w:r>
    </w:p>
    <w:p>
      <w:pPr>
        <w:pStyle w:val="ListBullet"/>
        <w:spacing w:before="0" w:after="80" w:line="276" w:lineRule="auto"/>
      </w:pPr>
      <w:r>
        <w:rPr>
          <w:rFonts w:ascii="Arial" w:hAnsi="Arial"/>
          <w:color w:val="1A1A1A"/>
          <w:sz w:val="21"/>
        </w:rPr>
        <w:t>3. Evidence Assessment &amp; Claim Mapping: Evaluate source methodology, sample sizes, and clinical relevance.</w:t>
      </w:r>
    </w:p>
    <w:p>
      <w:pPr>
        <w:pStyle w:val="ListBullet"/>
        <w:spacing w:before="0" w:after="80" w:line="276" w:lineRule="auto"/>
      </w:pPr>
      <w:r>
        <w:rPr>
          <w:rFonts w:ascii="Arial" w:hAnsi="Arial"/>
          <w:color w:val="1A1A1A"/>
          <w:sz w:val="21"/>
        </w:rPr>
        <w:t>4. Content Outlining &amp; Tone Definition: Establish content hierarchy, plain-language objectives, and target reading level.</w:t>
      </w:r>
    </w:p>
    <w:p>
      <w:pPr>
        <w:pStyle w:val="ListBullet"/>
        <w:spacing w:before="0" w:after="80" w:line="276" w:lineRule="auto"/>
      </w:pPr>
      <w:r>
        <w:rPr>
          <w:rFonts w:ascii="Arial" w:hAnsi="Arial"/>
          <w:color w:val="1A1A1A"/>
          <w:sz w:val="21"/>
        </w:rPr>
        <w:t>5. First Draft Creation: Draft content integrating plain-language concepts and inline references.</w:t>
      </w:r>
    </w:p>
    <w:p>
      <w:pPr>
        <w:pStyle w:val="ListBullet"/>
        <w:spacing w:before="0" w:after="80" w:line="276" w:lineRule="auto"/>
      </w:pPr>
      <w:r>
        <w:rPr>
          <w:rFonts w:ascii="Arial" w:hAnsi="Arial"/>
          <w:color w:val="1A1A1A"/>
          <w:sz w:val="21"/>
        </w:rPr>
        <w:t>6. Medical / SME Clinical Review: Subject Matter Expert verifies medical accuracy, safety, and clinical nuance.</w:t>
      </w:r>
    </w:p>
    <w:p>
      <w:pPr>
        <w:pStyle w:val="ListBullet"/>
        <w:spacing w:before="0" w:after="80" w:line="276" w:lineRule="auto"/>
      </w:pPr>
      <w:r>
        <w:rPr>
          <w:rFonts w:ascii="Arial" w:hAnsi="Arial"/>
          <w:color w:val="1A1A1A"/>
          <w:sz w:val="21"/>
        </w:rPr>
        <w:t>7. Fact-Checking &amp; Verification: Execute the 10-point checklist to verify stats, links, and dates.</w:t>
      </w:r>
    </w:p>
    <w:p>
      <w:pPr>
        <w:pStyle w:val="ListBullet"/>
        <w:spacing w:before="0" w:after="80" w:line="276" w:lineRule="auto"/>
      </w:pPr>
      <w:r>
        <w:rPr>
          <w:rFonts w:ascii="Arial" w:hAnsi="Arial"/>
          <w:color w:val="1A1A1A"/>
          <w:sz w:val="21"/>
        </w:rPr>
        <w:t>8. Language &amp; Readability Review: Optimize text structure, reduce sentence length, and eliminate unnecessary jargon.</w:t>
      </w:r>
    </w:p>
    <w:p>
      <w:pPr>
        <w:pStyle w:val="ListBullet"/>
        <w:spacing w:before="0" w:after="80" w:line="276" w:lineRule="auto"/>
      </w:pPr>
      <w:r>
        <w:rPr>
          <w:rFonts w:ascii="Arial" w:hAnsi="Arial"/>
          <w:color w:val="1A1A1A"/>
          <w:sz w:val="21"/>
        </w:rPr>
        <w:t>9. Ethical, Legal &amp; Compliance Check: Verify disclaimers, privacy compliance, and commercial disclosures.</w:t>
      </w:r>
    </w:p>
    <w:p>
      <w:pPr>
        <w:pStyle w:val="ListBullet"/>
        <w:spacing w:before="0" w:after="80" w:line="276" w:lineRule="auto"/>
      </w:pPr>
      <w:r>
        <w:rPr>
          <w:rFonts w:ascii="Arial" w:hAnsi="Arial"/>
          <w:color w:val="1A1A1A"/>
          <w:sz w:val="21"/>
        </w:rPr>
        <w:t>10. Final Editorial Polish &amp; Formatting: Apply visual styling, metadata, header tags, and cross-links.</w:t>
      </w:r>
    </w:p>
    <w:p>
      <w:pPr>
        <w:pStyle w:val="ListBullet"/>
        <w:spacing w:before="0" w:after="80" w:line="276" w:lineRule="auto"/>
      </w:pPr>
      <w:r>
        <w:rPr>
          <w:rFonts w:ascii="Arial" w:hAnsi="Arial"/>
          <w:color w:val="1A1A1A"/>
          <w:sz w:val="21"/>
        </w:rPr>
        <w:t>11. Multi-Channel Publication: Format and deploy assets across web, app, email, and social networks.</w:t>
      </w:r>
    </w:p>
    <w:p>
      <w:pPr>
        <w:pStyle w:val="ListBullet"/>
        <w:spacing w:before="0" w:after="80" w:line="276" w:lineRule="auto"/>
      </w:pPr>
      <w:r>
        <w:rPr>
          <w:rFonts w:ascii="Arial" w:hAnsi="Arial"/>
          <w:color w:val="1A1A1A"/>
          <w:sz w:val="21"/>
        </w:rPr>
        <w:t>12. Post-Publishing Audit: Monitor performance metrics, track corrections, and schedule updates.</w:t>
      </w:r>
    </w:p>
    <w:p>
      <w:pPr>
        <w:keepNext/>
        <w:spacing w:before="280" w:after="120"/>
      </w:pPr>
      <w:r>
        <w:rPr>
          <w:rFonts w:ascii="Arial" w:hAnsi="Arial"/>
          <w:b/>
          <w:color w:val="1E5631"/>
          <w:sz w:val="26"/>
        </w:rPr>
        <w:t>Weekly 5-Day Operational Cadence</w:t>
      </w:r>
    </w:p>
    <w:tbl>
      <w:tblPr>
        <w:tblW w:type="auto" w:w="0"/>
        <w:jc w:val="center"/>
        <w:tblLook w:firstColumn="1" w:firstRow="1" w:lastColumn="0" w:lastRow="0" w:noHBand="0" w:noVBand="1" w:val="04A0"/>
        <w:tblBorders>
          <w:top w:val="single" w:sz="6" w:space="0" w:color="0F3822"/>
          <w:bottom w:val="single" w:sz="6" w:space="0" w:color="0F3822"/>
          <w:insideH w:val="single" w:sz="6" w:space="0" w:color="0F3822"/>
          <w:insideV w:val="none"/>
          <w:left w:val="none"/>
          <w:right w:val="none"/>
        </w:tblBorders>
      </w:tblPr>
      <w:tblGrid>
        <w:gridCol w:w="3120"/>
        <w:gridCol w:w="3120"/>
        <w:gridCol w:w="3120"/>
      </w:tblGrid>
      <w:tr>
        <w:tc>
          <w:tcPr>
            <w:tcW w:type="dxa" w:w="1728"/>
            <w:shd w:fill="0F3822"/>
            <w:tcMar>
              <w:top w:w="100" w:type="dxa"/>
              <w:bottom w:w="100" w:type="dxa"/>
              <w:left w:w="100" w:type="dxa"/>
              <w:right w:w="100" w:type="dxa"/>
            </w:tcMar>
          </w:tcPr>
          <w:p>
            <w:r>
              <w:rPr>
                <w:rFonts w:ascii="Arial" w:hAnsi="Arial"/>
                <w:b/>
                <w:color w:val="FFFFFF"/>
                <w:sz w:val="19"/>
              </w:rPr>
              <w:t>Day</w:t>
            </w:r>
          </w:p>
        </w:tc>
        <w:tc>
          <w:tcPr>
            <w:tcW w:type="dxa" w:w="3312"/>
            <w:shd w:fill="0F3822"/>
            <w:tcMar>
              <w:top w:w="100" w:type="dxa"/>
              <w:bottom w:w="100" w:type="dxa"/>
              <w:left w:w="100" w:type="dxa"/>
              <w:right w:w="100" w:type="dxa"/>
            </w:tcMar>
          </w:tcPr>
          <w:p>
            <w:r>
              <w:rPr>
                <w:rFonts w:ascii="Arial" w:hAnsi="Arial"/>
                <w:b/>
                <w:color w:val="FFFFFF"/>
                <w:sz w:val="19"/>
              </w:rPr>
              <w:t>Phase &amp; Time Allocation</w:t>
            </w:r>
          </w:p>
        </w:tc>
        <w:tc>
          <w:tcPr>
            <w:tcW w:type="dxa" w:w="4320"/>
            <w:shd w:fill="0F3822"/>
            <w:tcMar>
              <w:top w:w="100" w:type="dxa"/>
              <w:bottom w:w="100" w:type="dxa"/>
              <w:left w:w="100" w:type="dxa"/>
              <w:right w:w="100" w:type="dxa"/>
            </w:tcMar>
          </w:tcPr>
          <w:p>
            <w:r>
              <w:rPr>
                <w:rFonts w:ascii="Arial" w:hAnsi="Arial"/>
                <w:b/>
                <w:color w:val="FFFFFF"/>
                <w:sz w:val="19"/>
              </w:rPr>
              <w:t>Key Operational Deliverables</w:t>
            </w:r>
          </w:p>
        </w:tc>
      </w:tr>
      <w:tr>
        <w:tc>
          <w:tcPr>
            <w:tcW w:type="dxa" w:w="1728"/>
            <w:shd w:fill="F2F7F4"/>
            <w:tcMar>
              <w:top w:w="80" w:type="dxa"/>
              <w:bottom w:w="80" w:type="dxa"/>
              <w:left w:w="100" w:type="dxa"/>
              <w:right w:w="100" w:type="dxa"/>
            </w:tcMar>
          </w:tcPr>
          <w:p>
            <w:r>
              <w:rPr>
                <w:rFonts w:ascii="Arial" w:hAnsi="Arial"/>
                <w:color w:val="1A1A1A"/>
                <w:sz w:val="18"/>
              </w:rPr>
              <w:t>Monday</w:t>
            </w:r>
          </w:p>
        </w:tc>
        <w:tc>
          <w:tcPr>
            <w:tcW w:type="dxa" w:w="3312"/>
            <w:shd w:fill="F2F7F4"/>
            <w:tcMar>
              <w:top w:w="80" w:type="dxa"/>
              <w:bottom w:w="80" w:type="dxa"/>
              <w:left w:w="100" w:type="dxa"/>
              <w:right w:w="100" w:type="dxa"/>
            </w:tcMar>
          </w:tcPr>
          <w:p>
            <w:r>
              <w:rPr>
                <w:rFonts w:ascii="Arial" w:hAnsi="Arial"/>
                <w:color w:val="1A1A1A"/>
                <w:sz w:val="18"/>
              </w:rPr>
              <w:t>Research Phase (4–6 Hours)</w:t>
            </w:r>
          </w:p>
        </w:tc>
        <w:tc>
          <w:tcPr>
            <w:tcW w:type="dxa" w:w="4320"/>
            <w:shd w:fill="F2F7F4"/>
            <w:tcMar>
              <w:top w:w="80" w:type="dxa"/>
              <w:bottom w:w="80" w:type="dxa"/>
              <w:left w:w="100" w:type="dxa"/>
              <w:right w:w="100" w:type="dxa"/>
            </w:tcMar>
          </w:tcPr>
          <w:p>
            <w:r>
              <w:rPr>
                <w:rFonts w:ascii="Arial" w:hAnsi="Arial"/>
                <w:color w:val="1A1A1A"/>
                <w:sz w:val="18"/>
              </w:rPr>
              <w:t>Query PubMed/WHO/CDC databases, log Tier-1 references, populate source tracking sheet.</w:t>
            </w:r>
          </w:p>
        </w:tc>
      </w:tr>
      <w:tr>
        <w:tc>
          <w:tcPr>
            <w:tcW w:type="dxa" w:w="1728"/>
            <w:shd w:fill="FFFFFF"/>
            <w:tcMar>
              <w:top w:w="80" w:type="dxa"/>
              <w:bottom w:w="80" w:type="dxa"/>
              <w:left w:w="100" w:type="dxa"/>
              <w:right w:w="100" w:type="dxa"/>
            </w:tcMar>
          </w:tcPr>
          <w:p>
            <w:r>
              <w:rPr>
                <w:rFonts w:ascii="Arial" w:hAnsi="Arial"/>
                <w:color w:val="1A1A1A"/>
                <w:sz w:val="18"/>
              </w:rPr>
              <w:t>Tuesday</w:t>
            </w:r>
          </w:p>
        </w:tc>
        <w:tc>
          <w:tcPr>
            <w:tcW w:type="dxa" w:w="3312"/>
            <w:shd w:fill="FFFFFF"/>
            <w:tcMar>
              <w:top w:w="80" w:type="dxa"/>
              <w:bottom w:w="80" w:type="dxa"/>
              <w:left w:w="100" w:type="dxa"/>
              <w:right w:w="100" w:type="dxa"/>
            </w:tcMar>
          </w:tcPr>
          <w:p>
            <w:r>
              <w:rPr>
                <w:rFonts w:ascii="Arial" w:hAnsi="Arial"/>
                <w:color w:val="1A1A1A"/>
                <w:sz w:val="18"/>
              </w:rPr>
              <w:t>Outlining Phase (2–3 Hours)</w:t>
            </w:r>
          </w:p>
        </w:tc>
        <w:tc>
          <w:tcPr>
            <w:tcW w:type="dxa" w:w="4320"/>
            <w:shd w:fill="FFFFFF"/>
            <w:tcMar>
              <w:top w:w="80" w:type="dxa"/>
              <w:bottom w:w="80" w:type="dxa"/>
              <w:left w:w="100" w:type="dxa"/>
              <w:right w:w="100" w:type="dxa"/>
            </w:tcMar>
          </w:tcPr>
          <w:p>
            <w:r>
              <w:rPr>
                <w:rFonts w:ascii="Arial" w:hAnsi="Arial"/>
                <w:color w:val="1A1A1A"/>
                <w:sz w:val="18"/>
              </w:rPr>
              <w:t>Map target audience, construct claim-to-evidence matrix, finalize structural content plan.</w:t>
            </w:r>
          </w:p>
        </w:tc>
      </w:tr>
      <w:tr>
        <w:tc>
          <w:tcPr>
            <w:tcW w:type="dxa" w:w="1728"/>
            <w:shd w:fill="F2F7F4"/>
            <w:tcMar>
              <w:top w:w="80" w:type="dxa"/>
              <w:bottom w:w="80" w:type="dxa"/>
              <w:left w:w="100" w:type="dxa"/>
              <w:right w:w="100" w:type="dxa"/>
            </w:tcMar>
          </w:tcPr>
          <w:p>
            <w:r>
              <w:rPr>
                <w:rFonts w:ascii="Arial" w:hAnsi="Arial"/>
                <w:color w:val="1A1A1A"/>
                <w:sz w:val="18"/>
              </w:rPr>
              <w:t>Wednesday</w:t>
            </w:r>
          </w:p>
        </w:tc>
        <w:tc>
          <w:tcPr>
            <w:tcW w:type="dxa" w:w="3312"/>
            <w:shd w:fill="F2F7F4"/>
            <w:tcMar>
              <w:top w:w="80" w:type="dxa"/>
              <w:bottom w:w="80" w:type="dxa"/>
              <w:left w:w="100" w:type="dxa"/>
              <w:right w:w="100" w:type="dxa"/>
            </w:tcMar>
          </w:tcPr>
          <w:p>
            <w:r>
              <w:rPr>
                <w:rFonts w:ascii="Arial" w:hAnsi="Arial"/>
                <w:color w:val="1A1A1A"/>
                <w:sz w:val="18"/>
              </w:rPr>
              <w:t>Drafting Phase (4–5 Hours)</w:t>
            </w:r>
          </w:p>
        </w:tc>
        <w:tc>
          <w:tcPr>
            <w:tcW w:type="dxa" w:w="4320"/>
            <w:shd w:fill="F2F7F4"/>
            <w:tcMar>
              <w:top w:w="80" w:type="dxa"/>
              <w:bottom w:w="80" w:type="dxa"/>
              <w:left w:w="100" w:type="dxa"/>
              <w:right w:w="100" w:type="dxa"/>
            </w:tcMar>
          </w:tcPr>
          <w:p>
            <w:r>
              <w:rPr>
                <w:rFonts w:ascii="Arial" w:hAnsi="Arial"/>
                <w:color w:val="1A1A1A"/>
                <w:sz w:val="18"/>
              </w:rPr>
              <w:t>Compose full text, embed inline citations, apply plain-language translation models.</w:t>
            </w:r>
          </w:p>
        </w:tc>
      </w:tr>
      <w:tr>
        <w:tc>
          <w:tcPr>
            <w:tcW w:type="dxa" w:w="1728"/>
            <w:shd w:fill="FFFFFF"/>
            <w:tcMar>
              <w:top w:w="80" w:type="dxa"/>
              <w:bottom w:w="80" w:type="dxa"/>
              <w:left w:w="100" w:type="dxa"/>
              <w:right w:w="100" w:type="dxa"/>
            </w:tcMar>
          </w:tcPr>
          <w:p>
            <w:r>
              <w:rPr>
                <w:rFonts w:ascii="Arial" w:hAnsi="Arial"/>
                <w:color w:val="1A1A1A"/>
                <w:sz w:val="18"/>
              </w:rPr>
              <w:t>Thursday</w:t>
            </w:r>
          </w:p>
        </w:tc>
        <w:tc>
          <w:tcPr>
            <w:tcW w:type="dxa" w:w="3312"/>
            <w:shd w:fill="FFFFFF"/>
            <w:tcMar>
              <w:top w:w="80" w:type="dxa"/>
              <w:bottom w:w="80" w:type="dxa"/>
              <w:left w:w="100" w:type="dxa"/>
              <w:right w:w="100" w:type="dxa"/>
            </w:tcMar>
          </w:tcPr>
          <w:p>
            <w:r>
              <w:rPr>
                <w:rFonts w:ascii="Arial" w:hAnsi="Arial"/>
                <w:color w:val="1A1A1A"/>
                <w:sz w:val="18"/>
              </w:rPr>
              <w:t>Review Phase (2–4 Hours)</w:t>
            </w:r>
          </w:p>
        </w:tc>
        <w:tc>
          <w:tcPr>
            <w:tcW w:type="dxa" w:w="4320"/>
            <w:shd w:fill="FFFFFF"/>
            <w:tcMar>
              <w:top w:w="80" w:type="dxa"/>
              <w:bottom w:w="80" w:type="dxa"/>
              <w:left w:w="100" w:type="dxa"/>
              <w:right w:w="100" w:type="dxa"/>
            </w:tcMar>
          </w:tcPr>
          <w:p>
            <w:r>
              <w:rPr>
                <w:rFonts w:ascii="Arial" w:hAnsi="Arial"/>
                <w:color w:val="1A1A1A"/>
                <w:sz w:val="18"/>
              </w:rPr>
              <w:t>Conduct SME clinical review, execute 10-point fact-checking checklist, verify readability scores.</w:t>
            </w:r>
          </w:p>
        </w:tc>
      </w:tr>
      <w:tr>
        <w:tc>
          <w:tcPr>
            <w:tcW w:type="dxa" w:w="1728"/>
            <w:shd w:fill="F2F7F4"/>
            <w:tcMar>
              <w:top w:w="80" w:type="dxa"/>
              <w:bottom w:w="80" w:type="dxa"/>
              <w:left w:w="100" w:type="dxa"/>
              <w:right w:w="100" w:type="dxa"/>
            </w:tcMar>
          </w:tcPr>
          <w:p>
            <w:r>
              <w:rPr>
                <w:rFonts w:ascii="Arial" w:hAnsi="Arial"/>
                <w:color w:val="1A1A1A"/>
                <w:sz w:val="18"/>
              </w:rPr>
              <w:t>Friday</w:t>
            </w:r>
          </w:p>
        </w:tc>
        <w:tc>
          <w:tcPr>
            <w:tcW w:type="dxa" w:w="3312"/>
            <w:shd w:fill="F2F7F4"/>
            <w:tcMar>
              <w:top w:w="80" w:type="dxa"/>
              <w:bottom w:w="80" w:type="dxa"/>
              <w:left w:w="100" w:type="dxa"/>
              <w:right w:w="100" w:type="dxa"/>
            </w:tcMar>
          </w:tcPr>
          <w:p>
            <w:r>
              <w:rPr>
                <w:rFonts w:ascii="Arial" w:hAnsi="Arial"/>
                <w:color w:val="1A1A1A"/>
                <w:sz w:val="18"/>
              </w:rPr>
              <w:t>Publishing Phase (2–3 Hours)</w:t>
            </w:r>
          </w:p>
        </w:tc>
        <w:tc>
          <w:tcPr>
            <w:tcW w:type="dxa" w:w="4320"/>
            <w:shd w:fill="F2F7F4"/>
            <w:tcMar>
              <w:top w:w="80" w:type="dxa"/>
              <w:bottom w:w="80" w:type="dxa"/>
              <w:left w:w="100" w:type="dxa"/>
              <w:right w:w="100" w:type="dxa"/>
            </w:tcMar>
          </w:tcPr>
          <w:p>
            <w:r>
              <w:rPr>
                <w:rFonts w:ascii="Arial" w:hAnsi="Arial"/>
                <w:color w:val="1A1A1A"/>
                <w:sz w:val="18"/>
              </w:rPr>
              <w:t>Apply final proofreading, configure SEO metadata, deploy multi-channel formatting, archive log.</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