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1B4D3E"/>
          <w:sz w:val="48"/>
        </w:rPr>
        <w:t>Payroll Compliance Audit Report</w:t>
      </w:r>
    </w:p>
    <w:p>
      <w:pPr>
        <w:spacing w:before="0" w:after="360"/>
      </w:pPr>
      <w:r>
        <w:rPr>
          <w:rFonts w:ascii="Calibri" w:hAnsi="Calibri"/>
          <w:i/>
          <w:color w:val="9E2A4B"/>
          <w:sz w:val="26"/>
        </w:rPr>
        <w:t>Internal Control Review &amp; Governance Evaluation (FY2023–FY2024)</w:t>
      </w:r>
    </w:p>
    <w:p>
      <w:pPr>
        <w:spacing w:after="240"/>
        <w:pBrd>
          <w:bottom w:val="single" w:sz="18" w:space="1" w:color="9E2A4B"/>
        </w:pBrd>
      </w:pPr>
    </w:p>
    <w:p>
      <w:pPr>
        <w:keepNext/>
        <w:spacing w:before="360" w:after="120"/>
      </w:pPr>
      <w:r>
        <w:rPr>
          <w:rFonts w:ascii="Calibri" w:hAnsi="Calibri"/>
          <w:b/>
          <w:color w:val="1B4D3E"/>
          <w:sz w:val="32"/>
        </w:rPr>
        <w:t>1. Executive Summary &amp; Governance Overview</w:t>
      </w:r>
    </w:p>
    <w:p>
      <w:pPr>
        <w:spacing w:before="0" w:after="120" w:line="276" w:lineRule="auto"/>
      </w:pPr>
      <w:r>
        <w:t>An internal audit report is fundamentally a strategic governance document designed to translate technical internal control gaps into clear, business-relevant risk insights for executive decision-makers. Internal payroll controls serve as a critical operational mechanism to safeguard organizational assets, guarantee accurate financial reporting, and ensure strict adherence to statutory tax and labor mandates. Effective audit reporting bridges technical testing results with institutional strategy, enabling the Audit Committee, executive leadership, and operational process owners to prioritize risk responses, allocate remediation resources effectively, and enforce accountability across processing departments.</w:t>
      </w:r>
    </w:p>
    <w:p>
      <w:pPr>
        <w:spacing w:before="0" w:after="120" w:line="276" w:lineRule="auto"/>
      </w:pPr>
      <w:r>
        <w:t>This compliance audit evaluated the operational design and operating effectiveness of the organization’s payroll internal control framework for the Fiscal Year 2023 through Fiscal Year 2024 testing period (FY2023–FY2024). The audit was planned and executed in conformance with the International Professional Practices Framework (IPPF) promulgated by the Institute of Internal Auditors (IIA), fulfilling the criteria of IIA Standard 2410 (Criteria for Communicating) by systematically communicating the engagement's objectives, operational scope, and results. Based on our substantive testing and internal control evaluations, the overall payroll internal control environment requires structural enhancement.</w:t>
      </w:r>
    </w:p>
    <w:p>
      <w:pPr>
        <w:keepNext/>
        <w:spacing w:before="280" w:after="80"/>
      </w:pPr>
      <w:r>
        <w:rPr>
          <w:rFonts w:ascii="Calibri" w:hAnsi="Calibri"/>
          <w:b/>
          <w:color w:val="9E2A4B"/>
          <w:sz w:val="26"/>
        </w:rPr>
        <w:t>Executive Engagement Summary &amp; Governance Rating</w:t>
      </w:r>
    </w:p>
    <w:p>
      <w:pPr>
        <w:pStyle w:val="ListBullet"/>
        <w:spacing w:before="0" w:after="80" w:line="276" w:lineRule="auto"/>
      </w:pPr>
      <w:r>
        <w:rPr>
          <w:b/>
          <w:color w:val="9E2A4B"/>
        </w:rPr>
        <w:t xml:space="preserve">Overall Engagement Rating: </w:t>
      </w:r>
      <w:r>
        <w:t>Needs Improvement</w:t>
      </w:r>
    </w:p>
    <w:p>
      <w:pPr>
        <w:pStyle w:val="ListBullet"/>
        <w:spacing w:before="0" w:after="80" w:line="276" w:lineRule="auto"/>
      </w:pPr>
      <w:r>
        <w:rPr>
          <w:b/>
          <w:color w:val="9E2A4B"/>
        </w:rPr>
        <w:t xml:space="preserve">Overall Risk Exposure: </w:t>
      </w:r>
      <w:r>
        <w:t>High Risk across Operational, Financial, and Legal/Regulatory Compliance dimensions.</w:t>
      </w:r>
    </w:p>
    <w:p>
      <w:pPr>
        <w:pStyle w:val="ListBullet"/>
        <w:spacing w:before="0" w:after="80" w:line="276" w:lineRule="auto"/>
      </w:pPr>
      <w:r>
        <w:rPr>
          <w:b/>
          <w:color w:val="9E2A4B"/>
        </w:rPr>
        <w:t xml:space="preserve">Organizational Financial Context: </w:t>
      </w:r>
      <w:r>
        <w:t>The organization incurs over $70 million annually in payroll, compensation, and employee benefits expenditures across approximately 1,000 full-time, part-time, and seasonal staff.</w:t>
      </w:r>
    </w:p>
    <w:p>
      <w:pPr>
        <w:pStyle w:val="ListBullet"/>
        <w:spacing w:before="0" w:after="80" w:line="276" w:lineRule="auto"/>
      </w:pPr>
      <w:r>
        <w:rPr>
          <w:b/>
          <w:color w:val="9E2A4B"/>
        </w:rPr>
        <w:t xml:space="preserve">Core Governance Impact: </w:t>
      </w:r>
      <w:r>
        <w:t>While baseline controls maintain basic operational integrity, material deficiencies exist in automated wage calculation verification, overtime approval workflows, direct bank transfer controls, system standing parameter governance, and worker classification protocols. Without structural remediation, these gaps expose the organization to material financial misstatements, wage and hour claims, regulatory tax penalties, and unrecoverable payroll disbursements.</w:t>
      </w:r>
    </w:p>
    <w:p>
      <w:pPr>
        <w:keepNext/>
        <w:spacing w:before="280" w:after="80"/>
      </w:pPr>
      <w:r>
        <w:rPr>
          <w:rFonts w:ascii="Calibri" w:hAnsi="Calibri"/>
          <w:b/>
          <w:color w:val="9E2A4B"/>
          <w:sz w:val="26"/>
        </w:rPr>
        <w:t>High-Level Findings Matrix</w:t>
      </w:r>
    </w:p>
    <w:p>
      <w:pPr>
        <w:spacing w:before="0" w:after="120" w:line="276" w:lineRule="auto"/>
      </w:pPr>
      <w:r>
        <w:t>The matrix below categorizes the primary audit findings by risk priority, establishing mandatory target remediation windows based on risk severity, control failure likelihood, and regulatory exposure:</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B4D3E"/>
            <w:tcMar>
              <w:top w:w="120" w:type="dxa"/>
              <w:bottom w:w="120" w:type="dxa"/>
              <w:left w:w="150" w:type="dxa"/>
              <w:right w:w="150" w:type="dxa"/>
            </w:tcMar>
          </w:tcPr>
          <w:p>
            <w:pPr>
              <w:jc w:val="left"/>
            </w:pPr>
            <w:r>
              <w:rPr>
                <w:b/>
                <w:color w:val="FFFFFF"/>
                <w:sz w:val="20"/>
              </w:rPr>
              <w:t>Risk Priority &amp; Remediation Window</w:t>
            </w:r>
          </w:p>
        </w:tc>
        <w:tc>
          <w:tcPr>
            <w:tcW w:type="dxa" w:w="3312"/>
            <w:shd w:fill="1B4D3E"/>
            <w:tcMar>
              <w:top w:w="120" w:type="dxa"/>
              <w:bottom w:w="120" w:type="dxa"/>
              <w:left w:w="150" w:type="dxa"/>
              <w:right w:w="150" w:type="dxa"/>
            </w:tcMar>
          </w:tcPr>
          <w:p>
            <w:pPr>
              <w:jc w:val="left"/>
            </w:pPr>
            <w:r>
              <w:rPr>
                <w:b/>
                <w:color w:val="FFFFFF"/>
                <w:sz w:val="20"/>
              </w:rPr>
              <w:t>Finding Title</w:t>
            </w:r>
          </w:p>
        </w:tc>
        <w:tc>
          <w:tcPr>
            <w:tcW w:type="dxa" w:w="2880"/>
            <w:shd w:fill="1B4D3E"/>
            <w:tcMar>
              <w:top w:w="120" w:type="dxa"/>
              <w:bottom w:w="120" w:type="dxa"/>
              <w:left w:w="150" w:type="dxa"/>
              <w:right w:w="150" w:type="dxa"/>
            </w:tcMar>
          </w:tcPr>
          <w:p>
            <w:pPr>
              <w:jc w:val="left"/>
            </w:pPr>
            <w:r>
              <w:rPr>
                <w:b/>
                <w:color w:val="FFFFFF"/>
                <w:sz w:val="20"/>
              </w:rPr>
              <w:t>Core Impact Area</w:t>
            </w:r>
          </w:p>
        </w:tc>
      </w:tr>
      <w:tr>
        <w:tc>
          <w:tcPr>
            <w:tcW w:type="dxa" w:w="3168"/>
            <w:shd w:fill="FFFFFF"/>
            <w:tcMar>
              <w:top w:w="100" w:type="dxa"/>
              <w:bottom w:w="100" w:type="dxa"/>
              <w:left w:w="150" w:type="dxa"/>
              <w:right w:w="150" w:type="dxa"/>
            </w:tcMar>
          </w:tcPr>
          <w:p>
            <w:r>
              <w:rPr>
                <w:sz w:val="19"/>
              </w:rPr>
              <w:t>Priority 1 / High Risk</w:t>
              <w:br/>
              <w:t>(90-Day Remediation Target)</w:t>
            </w:r>
          </w:p>
        </w:tc>
        <w:tc>
          <w:tcPr>
            <w:tcW w:type="dxa" w:w="3312"/>
            <w:shd w:fill="FFFFFF"/>
            <w:tcMar>
              <w:top w:w="100" w:type="dxa"/>
              <w:bottom w:w="100" w:type="dxa"/>
              <w:left w:w="150" w:type="dxa"/>
              <w:right w:w="150" w:type="dxa"/>
            </w:tcMar>
          </w:tcPr>
          <w:p>
            <w:r>
              <w:rPr>
                <w:sz w:val="19"/>
              </w:rPr>
              <w:t>Unchecked Automated Wage Calculations</w:t>
            </w:r>
          </w:p>
        </w:tc>
        <w:tc>
          <w:tcPr>
            <w:tcW w:type="dxa" w:w="2880"/>
            <w:shd w:fill="FFFFFF"/>
            <w:tcMar>
              <w:top w:w="100" w:type="dxa"/>
              <w:bottom w:w="100" w:type="dxa"/>
              <w:left w:w="150" w:type="dxa"/>
              <w:right w:w="150" w:type="dxa"/>
            </w:tcMar>
          </w:tcPr>
          <w:p>
            <w:r>
              <w:rPr>
                <w:sz w:val="19"/>
              </w:rPr>
              <w:t>Payroll Calculation Integrity &amp; Systemic Accuracy</w:t>
            </w:r>
          </w:p>
        </w:tc>
      </w:tr>
      <w:tr>
        <w:tc>
          <w:tcPr>
            <w:tcW w:type="dxa" w:w="3168"/>
            <w:shd w:fill="F9EBEA"/>
            <w:tcMar>
              <w:top w:w="100" w:type="dxa"/>
              <w:bottom w:w="100" w:type="dxa"/>
              <w:left w:w="150" w:type="dxa"/>
              <w:right w:w="150" w:type="dxa"/>
            </w:tcMar>
          </w:tcPr>
          <w:p>
            <w:r>
              <w:rPr>
                <w:sz w:val="19"/>
              </w:rPr>
              <w:t>Priority 1 / High Risk</w:t>
              <w:br/>
              <w:t>(90-Day Remediation Target)</w:t>
            </w:r>
          </w:p>
        </w:tc>
        <w:tc>
          <w:tcPr>
            <w:tcW w:type="dxa" w:w="3312"/>
            <w:shd w:fill="F9EBEA"/>
            <w:tcMar>
              <w:top w:w="100" w:type="dxa"/>
              <w:bottom w:w="100" w:type="dxa"/>
              <w:left w:w="150" w:type="dxa"/>
              <w:right w:w="150" w:type="dxa"/>
            </w:tcMar>
          </w:tcPr>
          <w:p>
            <w:r>
              <w:rPr>
                <w:sz w:val="19"/>
              </w:rPr>
              <w:t>Inconsistent Overtime Authorization Controls</w:t>
            </w:r>
          </w:p>
        </w:tc>
        <w:tc>
          <w:tcPr>
            <w:tcW w:type="dxa" w:w="2880"/>
            <w:shd w:fill="F9EBEA"/>
            <w:tcMar>
              <w:top w:w="100" w:type="dxa"/>
              <w:bottom w:w="100" w:type="dxa"/>
              <w:left w:w="150" w:type="dxa"/>
              <w:right w:w="150" w:type="dxa"/>
            </w:tcMar>
          </w:tcPr>
          <w:p>
            <w:r>
              <w:rPr>
                <w:sz w:val="19"/>
              </w:rPr>
              <w:t>FLSA Compliance &amp; Operational Budget Management</w:t>
            </w:r>
          </w:p>
        </w:tc>
      </w:tr>
      <w:tr>
        <w:tc>
          <w:tcPr>
            <w:tcW w:type="dxa" w:w="3168"/>
            <w:shd w:fill="FFFFFF"/>
            <w:tcMar>
              <w:top w:w="100" w:type="dxa"/>
              <w:bottom w:w="100" w:type="dxa"/>
              <w:left w:w="150" w:type="dxa"/>
              <w:right w:w="150" w:type="dxa"/>
            </w:tcMar>
          </w:tcPr>
          <w:p>
            <w:r>
              <w:rPr>
                <w:sz w:val="19"/>
              </w:rPr>
              <w:t>Priority 1 / High Risk</w:t>
              <w:br/>
              <w:t>(90-Day Remediation Target)</w:t>
            </w:r>
          </w:p>
        </w:tc>
        <w:tc>
          <w:tcPr>
            <w:tcW w:type="dxa" w:w="3312"/>
            <w:shd w:fill="FFFFFF"/>
            <w:tcMar>
              <w:top w:w="100" w:type="dxa"/>
              <w:bottom w:w="100" w:type="dxa"/>
              <w:left w:w="150" w:type="dxa"/>
              <w:right w:w="150" w:type="dxa"/>
            </w:tcMar>
          </w:tcPr>
          <w:p>
            <w:r>
              <w:rPr>
                <w:sz w:val="19"/>
              </w:rPr>
              <w:t>Unapproved Manual Alterations to Automated Bank Transfer Lists</w:t>
            </w:r>
          </w:p>
        </w:tc>
        <w:tc>
          <w:tcPr>
            <w:tcW w:type="dxa" w:w="2880"/>
            <w:shd w:fill="FFFFFF"/>
            <w:tcMar>
              <w:top w:w="100" w:type="dxa"/>
              <w:bottom w:w="100" w:type="dxa"/>
              <w:left w:w="150" w:type="dxa"/>
              <w:right w:w="150" w:type="dxa"/>
            </w:tcMar>
          </w:tcPr>
          <w:p>
            <w:r>
              <w:rPr>
                <w:sz w:val="19"/>
              </w:rPr>
              <w:t>Direct Disbursement Safeguards &amp; Fraud Prevention</w:t>
            </w:r>
          </w:p>
        </w:tc>
      </w:tr>
      <w:tr>
        <w:tc>
          <w:tcPr>
            <w:tcW w:type="dxa" w:w="3168"/>
            <w:shd w:fill="F9EBEA"/>
            <w:tcMar>
              <w:top w:w="100" w:type="dxa"/>
              <w:bottom w:w="100" w:type="dxa"/>
              <w:left w:w="150" w:type="dxa"/>
              <w:right w:w="150" w:type="dxa"/>
            </w:tcMar>
          </w:tcPr>
          <w:p>
            <w:r>
              <w:rPr>
                <w:sz w:val="19"/>
              </w:rPr>
              <w:t>Priority 1 / High Risk</w:t>
              <w:br/>
              <w:t>(90-Day Remediation Target)</w:t>
            </w:r>
          </w:p>
        </w:tc>
        <w:tc>
          <w:tcPr>
            <w:tcW w:type="dxa" w:w="3312"/>
            <w:shd w:fill="F9EBEA"/>
            <w:tcMar>
              <w:top w:w="100" w:type="dxa"/>
              <w:bottom w:w="100" w:type="dxa"/>
              <w:left w:w="150" w:type="dxa"/>
              <w:right w:w="150" w:type="dxa"/>
            </w:tcMar>
          </w:tcPr>
          <w:p>
            <w:r>
              <w:rPr>
                <w:sz w:val="19"/>
              </w:rPr>
              <w:t>Unrestricted System Standing Data &amp; Parameter Updates</w:t>
            </w:r>
          </w:p>
        </w:tc>
        <w:tc>
          <w:tcPr>
            <w:tcW w:type="dxa" w:w="2880"/>
            <w:shd w:fill="F9EBEA"/>
            <w:tcMar>
              <w:top w:w="100" w:type="dxa"/>
              <w:bottom w:w="100" w:type="dxa"/>
              <w:left w:w="150" w:type="dxa"/>
              <w:right w:w="150" w:type="dxa"/>
            </w:tcMar>
          </w:tcPr>
          <w:p>
            <w:r>
              <w:rPr>
                <w:sz w:val="19"/>
              </w:rPr>
              <w:t>Segregation of Duties &amp; System Access Control</w:t>
            </w:r>
          </w:p>
        </w:tc>
      </w:tr>
      <w:tr>
        <w:tc>
          <w:tcPr>
            <w:tcW w:type="dxa" w:w="3168"/>
            <w:shd w:fill="FFFFFF"/>
            <w:tcMar>
              <w:top w:w="100" w:type="dxa"/>
              <w:bottom w:w="100" w:type="dxa"/>
              <w:left w:w="150" w:type="dxa"/>
              <w:right w:w="150" w:type="dxa"/>
            </w:tcMar>
          </w:tcPr>
          <w:p>
            <w:r>
              <w:rPr>
                <w:sz w:val="19"/>
              </w:rPr>
              <w:t>Priority 1 / High Risk</w:t>
              <w:br/>
              <w:t>(90-Day Remediation Target)</w:t>
            </w:r>
          </w:p>
        </w:tc>
        <w:tc>
          <w:tcPr>
            <w:tcW w:type="dxa" w:w="3312"/>
            <w:shd w:fill="FFFFFF"/>
            <w:tcMar>
              <w:top w:w="100" w:type="dxa"/>
              <w:bottom w:w="100" w:type="dxa"/>
              <w:left w:w="150" w:type="dxa"/>
              <w:right w:w="150" w:type="dxa"/>
            </w:tcMar>
          </w:tcPr>
          <w:p>
            <w:r>
              <w:rPr>
                <w:sz w:val="19"/>
              </w:rPr>
              <w:t>Worker Misclassification Exposures (Employee vs. Contractor)</w:t>
            </w:r>
          </w:p>
        </w:tc>
        <w:tc>
          <w:tcPr>
            <w:tcW w:type="dxa" w:w="2880"/>
            <w:shd w:fill="FFFFFF"/>
            <w:tcMar>
              <w:top w:w="100" w:type="dxa"/>
              <w:bottom w:w="100" w:type="dxa"/>
              <w:left w:w="150" w:type="dxa"/>
              <w:right w:w="150" w:type="dxa"/>
            </w:tcMar>
          </w:tcPr>
          <w:p>
            <w:r>
              <w:rPr>
                <w:sz w:val="19"/>
              </w:rPr>
              <w:t>IRS Statutory Tax Compliance &amp; Legal Exposure</w:t>
            </w:r>
          </w:p>
        </w:tc>
      </w:tr>
      <w:tr>
        <w:tc>
          <w:tcPr>
            <w:tcW w:type="dxa" w:w="3168"/>
            <w:shd w:fill="F9EBEA"/>
            <w:tcMar>
              <w:top w:w="100" w:type="dxa"/>
              <w:bottom w:w="100" w:type="dxa"/>
              <w:left w:w="150" w:type="dxa"/>
              <w:right w:w="150" w:type="dxa"/>
            </w:tcMar>
          </w:tcPr>
          <w:p>
            <w:r>
              <w:rPr>
                <w:sz w:val="19"/>
              </w:rPr>
              <w:t>Priority 2 / Moderate Risk</w:t>
              <w:br/>
              <w:t>(120-Day Remediation Target)</w:t>
            </w:r>
          </w:p>
        </w:tc>
        <w:tc>
          <w:tcPr>
            <w:tcW w:type="dxa" w:w="3312"/>
            <w:shd w:fill="F9EBEA"/>
            <w:tcMar>
              <w:top w:w="100" w:type="dxa"/>
              <w:bottom w:w="100" w:type="dxa"/>
              <w:left w:w="150" w:type="dxa"/>
              <w:right w:w="150" w:type="dxa"/>
            </w:tcMar>
          </w:tcPr>
          <w:p>
            <w:r>
              <w:rPr>
                <w:sz w:val="19"/>
              </w:rPr>
              <w:t>Delayed Removal of Terminated Employees</w:t>
            </w:r>
          </w:p>
        </w:tc>
        <w:tc>
          <w:tcPr>
            <w:tcW w:type="dxa" w:w="2880"/>
            <w:shd w:fill="F9EBEA"/>
            <w:tcMar>
              <w:top w:w="100" w:type="dxa"/>
              <w:bottom w:w="100" w:type="dxa"/>
              <w:left w:w="150" w:type="dxa"/>
              <w:right w:w="150" w:type="dxa"/>
            </w:tcMar>
          </w:tcPr>
          <w:p>
            <w:r>
              <w:rPr>
                <w:sz w:val="19"/>
              </w:rPr>
              <w:t>HR-Payroll Synchronization &amp; Ghost Employee Prevention</w:t>
            </w:r>
          </w:p>
        </w:tc>
      </w:tr>
      <w:tr>
        <w:tc>
          <w:tcPr>
            <w:tcW w:type="dxa" w:w="3168"/>
            <w:shd w:fill="FFFFFF"/>
            <w:tcMar>
              <w:top w:w="100" w:type="dxa"/>
              <w:bottom w:w="100" w:type="dxa"/>
              <w:left w:w="150" w:type="dxa"/>
              <w:right w:w="150" w:type="dxa"/>
            </w:tcMar>
          </w:tcPr>
          <w:p>
            <w:r>
              <w:rPr>
                <w:sz w:val="19"/>
              </w:rPr>
              <w:t>Priority 2 / Moderate Risk</w:t>
              <w:br/>
              <w:t>(120-Day Remediation Target)</w:t>
            </w:r>
          </w:p>
        </w:tc>
        <w:tc>
          <w:tcPr>
            <w:tcW w:type="dxa" w:w="3312"/>
            <w:shd w:fill="FFFFFF"/>
            <w:tcMar>
              <w:top w:w="100" w:type="dxa"/>
              <w:bottom w:w="100" w:type="dxa"/>
              <w:left w:w="150" w:type="dxa"/>
              <w:right w:w="150" w:type="dxa"/>
            </w:tcMar>
          </w:tcPr>
          <w:p>
            <w:r>
              <w:rPr>
                <w:sz w:val="19"/>
              </w:rPr>
              <w:t>Inadequate Timekeeping Oversight and Leave Policy Abuse</w:t>
            </w:r>
          </w:p>
        </w:tc>
        <w:tc>
          <w:tcPr>
            <w:tcW w:type="dxa" w:w="2880"/>
            <w:shd w:fill="FFFFFF"/>
            <w:tcMar>
              <w:top w:w="100" w:type="dxa"/>
              <w:bottom w:w="100" w:type="dxa"/>
              <w:left w:w="150" w:type="dxa"/>
              <w:right w:w="150" w:type="dxa"/>
            </w:tcMar>
          </w:tcPr>
          <w:p>
            <w:r>
              <w:rPr>
                <w:sz w:val="19"/>
              </w:rPr>
              <w:t>Labor Tracking Integrity &amp; Leave Policy Enforcement</w:t>
            </w:r>
          </w:p>
        </w:tc>
      </w:tr>
      <w:tr>
        <w:tc>
          <w:tcPr>
            <w:tcW w:type="dxa" w:w="3168"/>
            <w:shd w:fill="F9EBEA"/>
            <w:tcMar>
              <w:top w:w="100" w:type="dxa"/>
              <w:bottom w:w="100" w:type="dxa"/>
              <w:left w:w="150" w:type="dxa"/>
              <w:right w:w="150" w:type="dxa"/>
            </w:tcMar>
          </w:tcPr>
          <w:p>
            <w:r>
              <w:rPr>
                <w:sz w:val="19"/>
              </w:rPr>
              <w:t>Priority 3 / Low Risk</w:t>
              <w:br/>
              <w:t>(180-Day Remediation Target)</w:t>
            </w:r>
          </w:p>
        </w:tc>
        <w:tc>
          <w:tcPr>
            <w:tcW w:type="dxa" w:w="3312"/>
            <w:shd w:fill="F9EBEA"/>
            <w:tcMar>
              <w:top w:w="100" w:type="dxa"/>
              <w:bottom w:w="100" w:type="dxa"/>
              <w:left w:w="150" w:type="dxa"/>
              <w:right w:w="150" w:type="dxa"/>
            </w:tcMar>
          </w:tcPr>
          <w:p>
            <w:r>
              <w:rPr>
                <w:sz w:val="19"/>
              </w:rPr>
              <w:t>Routine Policy Refresh Intervals and Personnel File Archiving Lapses</w:t>
            </w:r>
          </w:p>
        </w:tc>
        <w:tc>
          <w:tcPr>
            <w:tcW w:type="dxa" w:w="2880"/>
            <w:shd w:fill="F9EBEA"/>
            <w:tcMar>
              <w:top w:w="100" w:type="dxa"/>
              <w:bottom w:w="100" w:type="dxa"/>
              <w:left w:w="150" w:type="dxa"/>
              <w:right w:w="150" w:type="dxa"/>
            </w:tcMar>
          </w:tcPr>
          <w:p>
            <w:r>
              <w:rPr>
                <w:sz w:val="19"/>
              </w:rPr>
              <w:t>Governance Documentation &amp; Record Retention</w:t>
            </w:r>
          </w:p>
        </w:tc>
      </w:tr>
    </w:tbl>
    <w:p>
      <w:pPr>
        <w:keepNext/>
        <w:spacing w:before="280" w:after="80"/>
      </w:pPr>
      <w:r>
        <w:rPr>
          <w:rFonts w:ascii="Calibri" w:hAnsi="Calibri"/>
          <w:b/>
          <w:color w:val="9E2A4B"/>
          <w:sz w:val="26"/>
        </w:rPr>
        <w:t>Key Recognition &amp; Positive Observations</w:t>
      </w:r>
    </w:p>
    <w:p>
      <w:pPr>
        <w:spacing w:before="0" w:after="120" w:line="276" w:lineRule="auto"/>
      </w:pPr>
      <w:r>
        <w:t>In accordance with professional auditing standards, Internal Audit recognizes the following operational strengths, existing control baselines, and auditee contributions observed during fieldwork:</w:t>
      </w:r>
    </w:p>
    <w:p>
      <w:pPr>
        <w:pStyle w:val="ListBullet"/>
        <w:spacing w:before="0" w:after="80" w:line="276" w:lineRule="auto"/>
      </w:pPr>
      <w:r>
        <w:rPr>
          <w:b/>
          <w:color w:val="9E2A4B"/>
        </w:rPr>
        <w:t xml:space="preserve">Acceptable Core Fraud Mitigation Baseline: </w:t>
      </w:r>
      <w:r>
        <w:t>Management has established functional baseline control activities that effectively mitigate the macro-level risks of widespread ghost employees and systematic wage falsification to an acceptable operational level within the constraints of the current software architecture.</w:t>
      </w:r>
    </w:p>
    <w:p>
      <w:pPr>
        <w:pStyle w:val="ListBullet"/>
        <w:spacing w:before="0" w:after="80" w:line="276" w:lineRule="auto"/>
      </w:pPr>
      <w:r>
        <w:rPr>
          <w:b/>
          <w:color w:val="9E2A4B"/>
        </w:rPr>
        <w:t xml:space="preserve">Proactive Inter-Departmental Collaboration: </w:t>
      </w:r>
      <w:r>
        <w:t>Operational staff across Purchasing, Accounts Payable, and Human Resources demonstrated high transparency during audit inquiries and have proactively initiated joint cross-training initiatives to improve workflow handoffs and documentation quality.</w:t>
      </w:r>
    </w:p>
    <w:p>
      <w:pPr>
        <w:pStyle w:val="ListBullet"/>
        <w:spacing w:before="0" w:after="80" w:line="276" w:lineRule="auto"/>
      </w:pPr>
      <w:r>
        <w:rPr>
          <w:b/>
          <w:color w:val="9E2A4B"/>
        </w:rPr>
        <w:t xml:space="preserve">Continuous Departmental System Training: </w:t>
      </w:r>
      <w:r>
        <w:t>Administrative departments maintain scheduled biweekly and monthly operational touchpoints to review software utilization, timekeeping entry protocols, and departmental billing adherence.</w:t>
      </w:r>
    </w:p>
    <w:p>
      <w:pPr>
        <w:spacing w:before="0" w:after="120" w:line="276" w:lineRule="auto"/>
      </w:pPr>
      <w:r>
        <w:t>Building upon these foundational strengths, establishing strict operational boundaries and applying authoritative evaluation frameworks provides the necessary context for analyzing observed control deficiencies.</w:t>
      </w:r>
    </w:p>
    <w:p>
      <w:pPr>
        <w:keepNext/>
        <w:spacing w:before="360" w:after="120"/>
      </w:pPr>
      <w:r>
        <w:rPr>
          <w:rFonts w:ascii="Calibri" w:hAnsi="Calibri"/>
          <w:b/>
          <w:color w:val="1B4D3E"/>
          <w:sz w:val="32"/>
        </w:rPr>
        <w:t>2. Audit Scope, Methodology, and Regulatory Framework</w:t>
      </w:r>
    </w:p>
    <w:p>
      <w:pPr>
        <w:spacing w:before="0" w:after="120" w:line="276" w:lineRule="auto"/>
      </w:pPr>
      <w:r>
        <w:t>Establishing explicit operational boundaries, robust sampling methodologies, and formal professional standards is essential to ensure audit defensibility, objective evaluation, and technical precision. A clearly defined methodology ensures that testing procedures focus on high-risk operational interfaces while providing management with an authoritative evaluation of internal control design and operating effectiveness.</w:t>
      </w:r>
    </w:p>
    <w:p>
      <w:pPr>
        <w:keepNext/>
        <w:spacing w:before="280" w:after="80"/>
      </w:pPr>
      <w:r>
        <w:rPr>
          <w:rFonts w:ascii="Calibri" w:hAnsi="Calibri"/>
          <w:b/>
          <w:color w:val="9E2A4B"/>
          <w:sz w:val="26"/>
        </w:rPr>
        <w:t>Audit Scope &amp; Operational Boundaries</w:t>
      </w:r>
    </w:p>
    <w:p>
      <w:pPr>
        <w:spacing w:before="0" w:after="120" w:line="276" w:lineRule="auto"/>
      </w:pPr>
      <w:r>
        <w:t>The audit evaluation period spanned Fiscal Year 2023 and Fiscal Year 2024 (testing window from July 1, 2022 through June 30, 2024). The audit scope encompassed all core software applications supporting payroll, timekeeping, disbursements, and non-employee vendor payments:</w:t>
      </w:r>
    </w:p>
    <w:p>
      <w:pPr>
        <w:pStyle w:val="ListBullet"/>
        <w:spacing w:before="0" w:after="80" w:line="276" w:lineRule="auto"/>
      </w:pPr>
      <w:r>
        <w:rPr>
          <w:b/>
          <w:color w:val="9E2A4B"/>
        </w:rPr>
        <w:t xml:space="preserve">Banner (Ellucian): </w:t>
      </w:r>
      <w:r>
        <w:t>Functions as the central enterprise resource planning (ERP) system, financial general ledger database, and core payroll calculation module.</w:t>
      </w:r>
    </w:p>
    <w:p>
      <w:pPr>
        <w:pStyle w:val="ListBullet"/>
        <w:spacing w:before="0" w:after="80" w:line="276" w:lineRule="auto"/>
      </w:pPr>
      <w:r>
        <w:rPr>
          <w:b/>
          <w:color w:val="9E2A4B"/>
        </w:rPr>
        <w:t xml:space="preserve">Argos: </w:t>
      </w:r>
      <w:r>
        <w:t>Serves as the primary business intelligence and reporting application utilized to execute database queries and extract financial records from Banner.</w:t>
      </w:r>
    </w:p>
    <w:p>
      <w:pPr>
        <w:pStyle w:val="ListBullet"/>
        <w:spacing w:before="0" w:after="80" w:line="276" w:lineRule="auto"/>
      </w:pPr>
      <w:r>
        <w:rPr>
          <w:b/>
          <w:color w:val="9E2A4B"/>
        </w:rPr>
        <w:t xml:space="preserve">Intellecheck: </w:t>
      </w:r>
      <w:r>
        <w:t>Operates as the secure check printing and electronic disbursement utility for physical check generation and payment file routing.</w:t>
      </w:r>
    </w:p>
    <w:p>
      <w:pPr>
        <w:pStyle w:val="ListBullet"/>
        <w:spacing w:before="0" w:after="80" w:line="276" w:lineRule="auto"/>
      </w:pPr>
      <w:r>
        <w:rPr>
          <w:b/>
          <w:color w:val="9E2A4B"/>
        </w:rPr>
        <w:t xml:space="preserve">Eagles' Purch (Jaggaer): </w:t>
      </w:r>
      <w:r>
        <w:t>Represents the automated e-procurement and invoice workflow system utilized for processing requisitions, purchase orders, and Form 1099-NEC independent contractor payments.</w:t>
      </w:r>
    </w:p>
    <w:p>
      <w:pPr>
        <w:pStyle w:val="ListBullet"/>
        <w:spacing w:before="0" w:after="80" w:line="276" w:lineRule="auto"/>
      </w:pPr>
      <w:r>
        <w:rPr>
          <w:b/>
          <w:color w:val="9E2A4B"/>
        </w:rPr>
        <w:t xml:space="preserve">IMAYL: </w:t>
      </w:r>
      <w:r>
        <w:t>Operates as the physical package and delivery tracking utility deployed at Central Receiving to log physical deliveries and verification receipts.</w:t>
      </w:r>
    </w:p>
    <w:p>
      <w:pPr>
        <w:pStyle w:val="ListBullet"/>
        <w:spacing w:before="0" w:after="80" w:line="276" w:lineRule="auto"/>
      </w:pPr>
      <w:r>
        <w:rPr>
          <w:b/>
          <w:color w:val="9E2A4B"/>
        </w:rPr>
        <w:t xml:space="preserve">Explicit Scope Exclusions: </w:t>
      </w:r>
      <w:r>
        <w:t>Direct disbursements processed outside automated workflow engines—specifically direct payments executed solely within the Banner software system that bypassed Eagles' Purch approval workflows—were excluded from this audit sample due to data unavailability at the time of testing. These excluded direct payments are scheduled for evaluation under a separate, dedicated internal audit engagement.</w:t>
      </w:r>
    </w:p>
    <w:p>
      <w:pPr>
        <w:keepNext/>
        <w:spacing w:before="280" w:after="80"/>
      </w:pPr>
      <w:r>
        <w:rPr>
          <w:rFonts w:ascii="Calibri" w:hAnsi="Calibri"/>
          <w:b/>
          <w:color w:val="9E2A4B"/>
          <w:sz w:val="26"/>
        </w:rPr>
        <w:t>Professional Standards &amp; Evaluation Methodology</w:t>
      </w:r>
    </w:p>
    <w:p>
      <w:pPr>
        <w:spacing w:before="0" w:after="120" w:line="276" w:lineRule="auto"/>
      </w:pPr>
      <w:r>
        <w:t>This engagement was conducted in strict conformance with the International Standards for the Professional Practice of Internal Auditing and IIA Standard 2300 (Performing the Engagement). Audit communications were executed under IIA Standard 2420 (Quality of Communications), ensuring that all findings and conclusions are accurate, objective, clear, concise, constructive, complete, and timely.</w:t>
      </w:r>
    </w:p>
    <w:p>
      <w:pPr>
        <w:spacing w:before="0" w:after="120" w:line="276" w:lineRule="auto"/>
      </w:pPr>
      <w:r>
        <w:t>Internal control design and operating effectiveness were evaluated against the COSO Internal Control — Integrated Framework (2013), focusing on three foundational principles:</w:t>
      </w:r>
    </w:p>
    <w:p>
      <w:pPr>
        <w:pStyle w:val="ListBullet"/>
        <w:spacing w:before="0" w:after="80" w:line="276" w:lineRule="auto"/>
      </w:pPr>
      <w:r>
        <w:rPr>
          <w:b/>
          <w:color w:val="9E2A4B"/>
        </w:rPr>
        <w:t xml:space="preserve">COSO Principle 2 (Structure, Authority, and Responsibility): </w:t>
      </w:r>
      <w:r>
        <w:t>Evaluates whether leadership has established operational structures, clear reporting lines, and appropriate authority thresholds to enforce accountability.</w:t>
      </w:r>
    </w:p>
    <w:p>
      <w:pPr>
        <w:pStyle w:val="ListBullet"/>
        <w:spacing w:before="0" w:after="80" w:line="276" w:lineRule="auto"/>
      </w:pPr>
      <w:r>
        <w:rPr>
          <w:b/>
          <w:color w:val="9E2A4B"/>
        </w:rPr>
        <w:t xml:space="preserve">COSO Principle 12 (Policies and Procedures): </w:t>
      </w:r>
      <w:r>
        <w:t>Evaluates whether control activities are deployed through formal policies that establish operational expectations and standard operating procedures (SOPs) that operationalize those expectations.</w:t>
      </w:r>
    </w:p>
    <w:p>
      <w:pPr>
        <w:pStyle w:val="ListBullet"/>
        <w:spacing w:before="0" w:after="80" w:line="276" w:lineRule="auto"/>
      </w:pPr>
      <w:r>
        <w:rPr>
          <w:b/>
          <w:color w:val="9E2A4B"/>
        </w:rPr>
        <w:t xml:space="preserve">COSO Principle 16 (Ongoing Evaluations): </w:t>
      </w:r>
      <w:r>
        <w:t>Evaluates whether management conducts ongoing or separate evaluations to ascertain whether internal control components are present and functioning properly.</w:t>
      </w:r>
    </w:p>
    <w:p>
      <w:pPr>
        <w:keepNext/>
        <w:spacing w:before="280" w:after="80"/>
      </w:pPr>
      <w:r>
        <w:rPr>
          <w:rFonts w:ascii="Calibri" w:hAnsi="Calibri"/>
          <w:b/>
          <w:color w:val="9E2A4B"/>
          <w:sz w:val="26"/>
        </w:rPr>
        <w:t>Compliance Checkpoint Baseline (Internal Control Questionnaire)</w:t>
      </w:r>
    </w:p>
    <w:p>
      <w:pPr>
        <w:spacing w:before="0" w:after="120" w:line="276" w:lineRule="auto"/>
      </w:pPr>
      <w:r>
        <w:t>Internal Audit utilized an Internal Control Questionnaire (ICQ) framework to establish baseline compliance checkpoints across core statutory and operational domains: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4D3E"/>
            <w:tcMar>
              <w:top w:w="120" w:type="dxa"/>
              <w:bottom w:w="120" w:type="dxa"/>
              <w:left w:w="150" w:type="dxa"/>
              <w:right w:w="150" w:type="dxa"/>
            </w:tcMar>
          </w:tcPr>
          <w:p>
            <w:pPr>
              <w:jc w:val="left"/>
            </w:pPr>
            <w:r>
              <w:rPr>
                <w:b/>
                <w:color w:val="FFFFFF"/>
                <w:sz w:val="20"/>
              </w:rPr>
              <w:t>Control Checkpoint Domain</w:t>
            </w:r>
          </w:p>
        </w:tc>
        <w:tc>
          <w:tcPr>
            <w:tcW w:type="dxa" w:w="3888"/>
            <w:shd w:fill="1B4D3E"/>
            <w:tcMar>
              <w:top w:w="120" w:type="dxa"/>
              <w:bottom w:w="120" w:type="dxa"/>
              <w:left w:w="150" w:type="dxa"/>
              <w:right w:w="150" w:type="dxa"/>
            </w:tcMar>
          </w:tcPr>
          <w:p>
            <w:pPr>
              <w:jc w:val="left"/>
            </w:pPr>
            <w:r>
              <w:rPr>
                <w:b/>
                <w:color w:val="FFFFFF"/>
                <w:sz w:val="20"/>
              </w:rPr>
              <w:t>Regulatory / Policy Benchmark Standard</w:t>
            </w:r>
          </w:p>
        </w:tc>
        <w:tc>
          <w:tcPr>
            <w:tcW w:type="dxa" w:w="2880"/>
            <w:shd w:fill="1B4D3E"/>
            <w:tcMar>
              <w:top w:w="120" w:type="dxa"/>
              <w:bottom w:w="120" w:type="dxa"/>
              <w:left w:w="150" w:type="dxa"/>
              <w:right w:w="150" w:type="dxa"/>
            </w:tcMar>
          </w:tcPr>
          <w:p>
            <w:pPr>
              <w:jc w:val="left"/>
            </w:pPr>
            <w:r>
              <w:rPr>
                <w:b/>
                <w:color w:val="FFFFFF"/>
                <w:sz w:val="20"/>
              </w:rPr>
              <w:t>Audit Verification Method</w:t>
            </w:r>
          </w:p>
        </w:tc>
      </w:tr>
      <w:tr>
        <w:tc>
          <w:tcPr>
            <w:tcW w:type="dxa" w:w="2592"/>
            <w:shd w:fill="FFFFFF"/>
            <w:tcMar>
              <w:top w:w="100" w:type="dxa"/>
              <w:bottom w:w="100" w:type="dxa"/>
              <w:left w:w="150" w:type="dxa"/>
              <w:right w:w="150" w:type="dxa"/>
            </w:tcMar>
          </w:tcPr>
          <w:p>
            <w:r>
              <w:rPr>
                <w:sz w:val="19"/>
              </w:rPr>
              <w:t>Personnel File Compliance</w:t>
            </w:r>
          </w:p>
        </w:tc>
        <w:tc>
          <w:tcPr>
            <w:tcW w:type="dxa" w:w="3888"/>
            <w:shd w:fill="FFFFFF"/>
            <w:tcMar>
              <w:top w:w="100" w:type="dxa"/>
              <w:bottom w:w="100" w:type="dxa"/>
              <w:left w:w="150" w:type="dxa"/>
              <w:right w:w="150" w:type="dxa"/>
            </w:tcMar>
          </w:tcPr>
          <w:p>
            <w:r>
              <w:rPr>
                <w:sz w:val="19"/>
              </w:rPr>
              <w:t>Complete personnel files containing formal offer letters, authorized pay rates, IRS Form W-4, Department of Justice Form I-9, state withholding forms, and mandatory state new-hire reporting.</w:t>
            </w:r>
          </w:p>
        </w:tc>
        <w:tc>
          <w:tcPr>
            <w:tcW w:type="dxa" w:w="2880"/>
            <w:shd w:fill="FFFFFF"/>
            <w:tcMar>
              <w:top w:w="100" w:type="dxa"/>
              <w:bottom w:w="100" w:type="dxa"/>
              <w:left w:w="150" w:type="dxa"/>
              <w:right w:w="150" w:type="dxa"/>
            </w:tcMar>
          </w:tcPr>
          <w:p>
            <w:r>
              <w:rPr>
                <w:sz w:val="19"/>
              </w:rPr>
              <w:t>Sample inspection of active HR files against state/federal labor registries and statutory requirements.</w:t>
            </w:r>
          </w:p>
        </w:tc>
      </w:tr>
      <w:tr>
        <w:tc>
          <w:tcPr>
            <w:tcW w:type="dxa" w:w="2592"/>
            <w:shd w:fill="F9EBEA"/>
            <w:tcMar>
              <w:top w:w="100" w:type="dxa"/>
              <w:bottom w:w="100" w:type="dxa"/>
              <w:left w:w="150" w:type="dxa"/>
              <w:right w:w="150" w:type="dxa"/>
            </w:tcMar>
          </w:tcPr>
          <w:p>
            <w:r>
              <w:rPr>
                <w:sz w:val="19"/>
              </w:rPr>
              <w:t>State-Specific Notices &amp; Governance</w:t>
            </w:r>
          </w:p>
        </w:tc>
        <w:tc>
          <w:tcPr>
            <w:tcW w:type="dxa" w:w="3888"/>
            <w:shd w:fill="F9EBEA"/>
            <w:tcMar>
              <w:top w:w="100" w:type="dxa"/>
              <w:bottom w:w="100" w:type="dxa"/>
              <w:left w:w="150" w:type="dxa"/>
              <w:right w:w="150" w:type="dxa"/>
            </w:tcMar>
          </w:tcPr>
          <w:p>
            <w:r>
              <w:rPr>
                <w:sz w:val="19"/>
              </w:rPr>
              <w:t>Compliance with state-specific notice requirements (e.g., South Carolina Terms of Employment Notice) and executive board approvals (e.g., Clergy Housing Allowance approvals recorded in Vestry minutes prior to year-end).</w:t>
            </w:r>
          </w:p>
        </w:tc>
        <w:tc>
          <w:tcPr>
            <w:tcW w:type="dxa" w:w="2880"/>
            <w:shd w:fill="F9EBEA"/>
            <w:tcMar>
              <w:top w:w="100" w:type="dxa"/>
              <w:bottom w:w="100" w:type="dxa"/>
              <w:left w:w="150" w:type="dxa"/>
              <w:right w:w="150" w:type="dxa"/>
            </w:tcMar>
          </w:tcPr>
          <w:p>
            <w:r>
              <w:rPr>
                <w:sz w:val="19"/>
              </w:rPr>
              <w:t>Direct inspection of signed employee notices and official board/vestry meeting minutes.</w:t>
            </w:r>
          </w:p>
        </w:tc>
      </w:tr>
      <w:tr>
        <w:tc>
          <w:tcPr>
            <w:tcW w:type="dxa" w:w="2592"/>
            <w:shd w:fill="FFFFFF"/>
            <w:tcMar>
              <w:top w:w="100" w:type="dxa"/>
              <w:bottom w:w="100" w:type="dxa"/>
              <w:left w:w="150" w:type="dxa"/>
              <w:right w:w="150" w:type="dxa"/>
            </w:tcMar>
          </w:tcPr>
          <w:p>
            <w:r>
              <w:rPr>
                <w:sz w:val="19"/>
              </w:rPr>
              <w:t>Payroll Recordkeeping &amp; Statutory Reporting</w:t>
            </w:r>
          </w:p>
        </w:tc>
        <w:tc>
          <w:tcPr>
            <w:tcW w:type="dxa" w:w="3888"/>
            <w:shd w:fill="FFFFFF"/>
            <w:tcMar>
              <w:top w:w="100" w:type="dxa"/>
              <w:bottom w:w="100" w:type="dxa"/>
              <w:left w:w="150" w:type="dxa"/>
              <w:right w:w="150" w:type="dxa"/>
            </w:tcMar>
          </w:tcPr>
          <w:p>
            <w:r>
              <w:rPr>
                <w:sz w:val="19"/>
              </w:rPr>
              <w:t>Supervisor-approved timecards under FLSA rules; verified gross-to-net pay computations; annual Form W-2 generation; Form 1099-NEC issuance for unincorporated contractors paid ≥$600 annually; Form W-2 reconciliation to general ledger and four quarterly tax returns (Form 941).</w:t>
            </w:r>
          </w:p>
        </w:tc>
        <w:tc>
          <w:tcPr>
            <w:tcW w:type="dxa" w:w="2880"/>
            <w:shd w:fill="FFFFFF"/>
            <w:tcMar>
              <w:top w:w="100" w:type="dxa"/>
              <w:bottom w:w="100" w:type="dxa"/>
              <w:left w:w="150" w:type="dxa"/>
              <w:right w:w="150" w:type="dxa"/>
            </w:tcMar>
          </w:tcPr>
          <w:p>
            <w:r>
              <w:rPr>
                <w:sz w:val="19"/>
              </w:rPr>
              <w:t>Tracing payroll registers to quarterly tax filings, general ledger accounts, and IRS tax reporting files.</w:t>
            </w:r>
          </w:p>
        </w:tc>
      </w:tr>
      <w:tr>
        <w:tc>
          <w:tcPr>
            <w:tcW w:type="dxa" w:w="2592"/>
            <w:shd w:fill="F9EBEA"/>
            <w:tcMar>
              <w:top w:w="100" w:type="dxa"/>
              <w:bottom w:w="100" w:type="dxa"/>
              <w:left w:w="150" w:type="dxa"/>
              <w:right w:w="150" w:type="dxa"/>
            </w:tcMar>
          </w:tcPr>
          <w:p>
            <w:r>
              <w:rPr>
                <w:sz w:val="19"/>
              </w:rPr>
              <w:t>Offboarding Timeliness</w:t>
            </w:r>
          </w:p>
        </w:tc>
        <w:tc>
          <w:tcPr>
            <w:tcW w:type="dxa" w:w="3888"/>
            <w:shd w:fill="F9EBEA"/>
            <w:tcMar>
              <w:top w:w="100" w:type="dxa"/>
              <w:bottom w:w="100" w:type="dxa"/>
              <w:left w:w="150" w:type="dxa"/>
              <w:right w:w="150" w:type="dxa"/>
            </w:tcMar>
          </w:tcPr>
          <w:p>
            <w:r>
              <w:rPr>
                <w:sz w:val="19"/>
              </w:rPr>
              <w:t>Prompt HR separation notifications to prevent ghost employee creation and eliminate post-termination disbursements.</w:t>
            </w:r>
          </w:p>
        </w:tc>
        <w:tc>
          <w:tcPr>
            <w:tcW w:type="dxa" w:w="2880"/>
            <w:shd w:fill="F9EBEA"/>
            <w:tcMar>
              <w:top w:w="100" w:type="dxa"/>
              <w:bottom w:w="100" w:type="dxa"/>
              <w:left w:w="150" w:type="dxa"/>
              <w:right w:w="150" w:type="dxa"/>
            </w:tcMar>
          </w:tcPr>
          <w:p>
            <w:r>
              <w:rPr>
                <w:sz w:val="19"/>
              </w:rPr>
              <w:t>Cross-referencing departmental termination dates against system deactivation timestamps and payroll runs.</w:t>
            </w:r>
          </w:p>
        </w:tc>
      </w:tr>
    </w:tbl>
    <w:p>
      <w:pPr>
        <w:spacing w:before="0" w:after="120" w:line="276" w:lineRule="auto"/>
      </w:pPr>
      <w:r>
        <w:t>Establishing this baseline framework enables a detailed root-cause evaluation of observed internal control gaps across organizational processes.</w:t>
      </w:r>
    </w:p>
    <w:p>
      <w:pPr>
        <w:keepNext/>
        <w:spacing w:before="360" w:after="120"/>
      </w:pPr>
      <w:r>
        <w:rPr>
          <w:rFonts w:ascii="Calibri" w:hAnsi="Calibri"/>
          <w:b/>
          <w:color w:val="1B4D3E"/>
          <w:sz w:val="32"/>
        </w:rPr>
        <w:t>3. Detailed Audit Findings &amp; Root Cause Analysis (The 5 Cs Framework)</w:t>
      </w:r>
    </w:p>
    <w:p>
      <w:pPr>
        <w:spacing w:before="0" w:after="120" w:line="276" w:lineRule="auto"/>
      </w:pPr>
      <w:r>
        <w:t>To drive permanent control remediation, internal audit findings must evaluate underlying root causes rather than temporary symptoms. Each observed control deficiency is detailed below utilizing the mandatory 5 Cs Framework (Condition, Criteria, Cause, Effect, and Conclusion/Rating).</w:t>
      </w:r>
    </w:p>
    <w:p>
      <w:pPr>
        <w:keepNext/>
        <w:spacing w:before="280" w:after="80"/>
      </w:pPr>
      <w:r>
        <w:rPr>
          <w:rFonts w:ascii="Calibri" w:hAnsi="Calibri"/>
          <w:b/>
          <w:color w:val="9E2A4B"/>
          <w:sz w:val="26"/>
        </w:rPr>
        <w:t>Finding 1: Unchecked Automated Wage Calculations</w:t>
      </w:r>
    </w:p>
    <w:p>
      <w:pPr>
        <w:pStyle w:val="ListBullet"/>
        <w:spacing w:before="0" w:after="80" w:line="276" w:lineRule="auto"/>
      </w:pPr>
      <w:r>
        <w:rPr>
          <w:b/>
          <w:color w:val="9E2A4B"/>
        </w:rPr>
        <w:t xml:space="preserve">Condition: </w:t>
      </w:r>
      <w:r>
        <w:t>Gross pay calculations are generated automatically by the Banner payroll system module without routine manual sampling or independent recalculation reviews performed by payroll staff prior to final payment processing.</w:t>
      </w:r>
    </w:p>
    <w:p>
      <w:pPr>
        <w:pStyle w:val="ListBullet"/>
        <w:spacing w:before="0" w:after="80" w:line="276" w:lineRule="auto"/>
      </w:pPr>
      <w:r>
        <w:rPr>
          <w:b/>
          <w:color w:val="9E2A4B"/>
        </w:rPr>
        <w:t xml:space="preserve">Criteria: </w:t>
      </w:r>
      <w:r>
        <w:t>COSO Principle 12 dictates that control procedures must verify the operational accuracy of automated processing logic. Internal payroll control guidelines require systematic recalculation sampling of gross pay outputs to verify parameter accuracy and mathematical precision.</w:t>
      </w:r>
    </w:p>
    <w:p>
      <w:pPr>
        <w:pStyle w:val="ListBullet"/>
        <w:spacing w:before="0" w:after="80" w:line="276" w:lineRule="auto"/>
      </w:pPr>
      <w:r>
        <w:rPr>
          <w:b/>
          <w:color w:val="9E2A4B"/>
        </w:rPr>
        <w:t xml:space="preserve">Cause: </w:t>
      </w:r>
      <w:r>
        <w:t>Absence of a formalized control procedure requiring payroll staff to execute manual recalculation checks on batch outputs, compounded by an unverified assumption that automated software parameters remain free of system batch corruption or logic drift.</w:t>
      </w:r>
    </w:p>
    <w:p>
      <w:pPr>
        <w:pStyle w:val="ListBullet"/>
        <w:spacing w:before="0" w:after="80" w:line="276" w:lineRule="auto"/>
      </w:pPr>
      <w:r>
        <w:rPr>
          <w:b/>
          <w:color w:val="9E2A4B"/>
        </w:rPr>
        <w:t xml:space="preserve">Effect: </w:t>
      </w:r>
      <w:r>
        <w:t>Undetected software logic misconfigurations, incorrect tax table updates, or batch processing errors can result in systemic gross wage overstatements or understatements across entire employee populations, exposing the organization to unrecoverable financial losses or legal wage claims.</w:t>
      </w:r>
    </w:p>
    <w:p>
      <w:pPr>
        <w:pStyle w:val="ListBullet"/>
        <w:spacing w:before="0" w:after="80" w:line="276" w:lineRule="auto"/>
      </w:pPr>
      <w:r>
        <w:rPr>
          <w:b/>
          <w:color w:val="9E2A4B"/>
        </w:rPr>
        <w:t xml:space="preserve">Conclusion / Rating: </w:t>
      </w:r>
      <w:r>
        <w:t>Priority 1 (High Risk). Corrective action required within 90 days. COSO Principle 12 failure.</w:t>
      </w:r>
    </w:p>
    <w:p>
      <w:pPr>
        <w:keepNext/>
        <w:spacing w:before="280" w:after="80"/>
      </w:pPr>
      <w:r>
        <w:rPr>
          <w:rFonts w:ascii="Calibri" w:hAnsi="Calibri"/>
          <w:b/>
          <w:color w:val="9E2A4B"/>
          <w:sz w:val="26"/>
        </w:rPr>
        <w:t>Finding 2: Inconsistent Overtime Authorization Controls</w:t>
      </w:r>
    </w:p>
    <w:p>
      <w:pPr>
        <w:pStyle w:val="ListBullet"/>
        <w:spacing w:before="0" w:after="80" w:line="276" w:lineRule="auto"/>
      </w:pPr>
      <w:r>
        <w:rPr>
          <w:b/>
          <w:color w:val="9E2A4B"/>
        </w:rPr>
        <w:t xml:space="preserve">Condition: </w:t>
      </w:r>
      <w:r>
        <w:t>Department head pre-approval is systematically enforced only for overtime hours exceeding 30% of standard working hours. Furthermore, when department heads are out of the office, alternative approval workflows are omitted, resulting in unauthorized overtime processing.</w:t>
      </w:r>
    </w:p>
    <w:p>
      <w:pPr>
        <w:pStyle w:val="ListBullet"/>
        <w:spacing w:before="0" w:after="80" w:line="276" w:lineRule="auto"/>
      </w:pPr>
      <w:r>
        <w:rPr>
          <w:b/>
          <w:color w:val="9E2A4B"/>
        </w:rPr>
        <w:t xml:space="preserve">Criteria: </w:t>
      </w:r>
      <w:r>
        <w:t>Fair Labor Standards Act (FLSA) recordkeeping provisions (29 CFR Part 516) and organizational compensation policies mandate that 100% of overtime hours worked must receive documented supervisory approval prior to payroll processing, supported by formal delegation-of-authority rules during management absences.</w:t>
      </w:r>
    </w:p>
    <w:p>
      <w:pPr>
        <w:pStyle w:val="ListBullet"/>
        <w:spacing w:before="0" w:after="80" w:line="276" w:lineRule="auto"/>
      </w:pPr>
      <w:r>
        <w:rPr>
          <w:b/>
          <w:color w:val="9E2A4B"/>
        </w:rPr>
        <w:t xml:space="preserve">Cause: </w:t>
      </w:r>
      <w:r>
        <w:t>Flawed system workflow configuration that embeds a 30% threshold bypass rule, combined with management's failure to publish and enforce a standardized delegation-of-authority roster for temporary backup approvals.</w:t>
      </w:r>
    </w:p>
    <w:p>
      <w:pPr>
        <w:pStyle w:val="ListBullet"/>
        <w:spacing w:before="0" w:after="80" w:line="276" w:lineRule="auto"/>
      </w:pPr>
      <w:r>
        <w:rPr>
          <w:b/>
          <w:color w:val="9E2A4B"/>
        </w:rPr>
        <w:t xml:space="preserve">Effect: </w:t>
      </w:r>
      <w:r>
        <w:t>Employees can submit and receive compensation for unauthorized overtime or claim unworked overtime hours, leading to operational budget overruns, unmonitored compensation expenditures, and non-compliance with statutory wage tracking standards.</w:t>
      </w:r>
    </w:p>
    <w:p>
      <w:pPr>
        <w:pStyle w:val="ListBullet"/>
        <w:spacing w:before="0" w:after="80" w:line="276" w:lineRule="auto"/>
      </w:pPr>
      <w:r>
        <w:rPr>
          <w:b/>
          <w:color w:val="9E2A4B"/>
        </w:rPr>
        <w:t xml:space="preserve">Conclusion / Rating: </w:t>
      </w:r>
      <w:r>
        <w:t>Priority 1 (High Risk). Corrective action required within 90 days. COSO Principle 2 failure.</w:t>
      </w:r>
    </w:p>
    <w:p>
      <w:pPr>
        <w:keepNext/>
        <w:spacing w:before="280" w:after="80"/>
      </w:pPr>
      <w:r>
        <w:rPr>
          <w:rFonts w:ascii="Calibri" w:hAnsi="Calibri"/>
          <w:b/>
          <w:color w:val="9E2A4B"/>
          <w:sz w:val="26"/>
        </w:rPr>
        <w:t>Finding 3: Unapproved Manual Alterations to Automated Bank Transfer Lists</w:t>
      </w:r>
    </w:p>
    <w:p>
      <w:pPr>
        <w:pStyle w:val="ListBullet"/>
        <w:spacing w:before="0" w:after="80" w:line="276" w:lineRule="auto"/>
      </w:pPr>
      <w:r>
        <w:rPr>
          <w:b/>
          <w:color w:val="9E2A4B"/>
        </w:rPr>
        <w:t xml:space="preserve">Condition: </w:t>
      </w:r>
      <w:r>
        <w:t>The Finance Director possesses administrative capability to manually edit automated direct-deposit bank transfer payment schedules when processing exceptions occur, without requiring secondary approval or maintaining an independent modification audit log.</w:t>
      </w:r>
    </w:p>
    <w:p>
      <w:pPr>
        <w:pStyle w:val="ListBullet"/>
        <w:spacing w:before="0" w:after="80" w:line="276" w:lineRule="auto"/>
      </w:pPr>
      <w:r>
        <w:rPr>
          <w:b/>
          <w:color w:val="9E2A4B"/>
        </w:rPr>
        <w:t xml:space="preserve">Criteria: </w:t>
      </w:r>
      <w:r>
        <w:t>Sound internal financial controls and COSO Principle 2 require strict dual-authorization protocols for all manual overrides of automated disbursement files, mandating formal change forms and dual sign-offs to preserve payment file integrity.</w:t>
      </w:r>
    </w:p>
    <w:p>
      <w:pPr>
        <w:pStyle w:val="ListBullet"/>
        <w:spacing w:before="0" w:after="80" w:line="276" w:lineRule="auto"/>
      </w:pPr>
      <w:r>
        <w:rPr>
          <w:b/>
          <w:color w:val="9E2A4B"/>
        </w:rPr>
        <w:t xml:space="preserve">Cause: </w:t>
      </w:r>
      <w:r>
        <w:t>Lack of dual-control software enforcement within payment processing gateways and the absence of a written policy mandating secondary executive approval for manual disbursement file adjustments.</w:t>
      </w:r>
    </w:p>
    <w:p>
      <w:pPr>
        <w:pStyle w:val="ListBullet"/>
        <w:spacing w:before="0" w:after="80" w:line="276" w:lineRule="auto"/>
      </w:pPr>
      <w:r>
        <w:rPr>
          <w:b/>
          <w:color w:val="9E2A4B"/>
        </w:rPr>
        <w:t xml:space="preserve">Effect: </w:t>
      </w:r>
      <w:r>
        <w:t>Manual adjustments to finalized disbursement files create critical exposure to unauthorized divertment of funds, fraudulent bank account modifications, unrecorded adjustments, and complete loss of disbursement audit trails.</w:t>
      </w:r>
    </w:p>
    <w:p>
      <w:pPr>
        <w:pStyle w:val="ListBullet"/>
        <w:spacing w:before="0" w:after="80" w:line="276" w:lineRule="auto"/>
      </w:pPr>
      <w:r>
        <w:rPr>
          <w:b/>
          <w:color w:val="9E2A4B"/>
        </w:rPr>
        <w:t xml:space="preserve">Conclusion / Rating: </w:t>
      </w:r>
      <w:r>
        <w:t>Priority 1 (High Risk). Corrective action required within 90 days. COSO Principles 2 &amp; 12 failure.</w:t>
      </w:r>
    </w:p>
    <w:p>
      <w:pPr>
        <w:keepNext/>
        <w:spacing w:before="280" w:after="80"/>
      </w:pPr>
      <w:r>
        <w:rPr>
          <w:rFonts w:ascii="Calibri" w:hAnsi="Calibri"/>
          <w:b/>
          <w:color w:val="9E2A4B"/>
          <w:sz w:val="26"/>
        </w:rPr>
        <w:t>Finding 4: Unrestricted System Standing Data &amp; Parameter Updates</w:t>
      </w:r>
    </w:p>
    <w:p>
      <w:pPr>
        <w:pStyle w:val="ListBullet"/>
        <w:spacing w:before="0" w:after="80" w:line="276" w:lineRule="auto"/>
      </w:pPr>
      <w:r>
        <w:rPr>
          <w:b/>
          <w:color w:val="9E2A4B"/>
        </w:rPr>
        <w:t xml:space="preserve">Condition: </w:t>
      </w:r>
      <w:r>
        <w:t>Payroll clerks hold unrestricted administrative access permissions within Banner, enabling them to modify core standing data—including global system parameters such as annual inflation rate adjustments and tax deduction tables—without advance authorization or independent post-implementation review.</w:t>
      </w:r>
    </w:p>
    <w:p>
      <w:pPr>
        <w:pStyle w:val="ListBullet"/>
        <w:spacing w:before="0" w:after="80" w:line="276" w:lineRule="auto"/>
      </w:pPr>
      <w:r>
        <w:rPr>
          <w:b/>
          <w:color w:val="9E2A4B"/>
        </w:rPr>
        <w:t xml:space="preserve">Criteria: </w:t>
      </w:r>
      <w:r>
        <w:t>COSO Principle 2 mandates strict segregation of duties and role-based access control (RBAC). Modifications to core standing data parameters must require advance written authorization from the Payroll Manager via a change request form, backed by monthly independent audits of system change logs.</w:t>
      </w:r>
    </w:p>
    <w:p>
      <w:pPr>
        <w:pStyle w:val="ListBullet"/>
        <w:spacing w:before="0" w:after="80" w:line="276" w:lineRule="auto"/>
      </w:pPr>
      <w:r>
        <w:rPr>
          <w:b/>
          <w:color w:val="9E2A4B"/>
        </w:rPr>
        <w:t xml:space="preserve">Cause: </w:t>
      </w:r>
      <w:r>
        <w:t>Absence of periodic role-based access control (RBAC) matrix reviews, resulting in overly broad system permission assignments that combine operational transaction processing with global administrative parameter management.</w:t>
      </w:r>
    </w:p>
    <w:p>
      <w:pPr>
        <w:pStyle w:val="ListBullet"/>
        <w:spacing w:before="0" w:after="80" w:line="276" w:lineRule="auto"/>
      </w:pPr>
      <w:r>
        <w:rPr>
          <w:b/>
          <w:color w:val="9E2A4B"/>
        </w:rPr>
        <w:t xml:space="preserve">Effect: </w:t>
      </w:r>
      <w:r>
        <w:t>Unrestricted standing data access permits unauthorized or erroneous changes to foundational payroll calculation logic, exposing the organization to widespread compensation miscalculations, fraudulent pay rate adjustments, and corrupted financial records.</w:t>
      </w:r>
    </w:p>
    <w:p>
      <w:pPr>
        <w:pStyle w:val="ListBullet"/>
        <w:spacing w:before="0" w:after="80" w:line="276" w:lineRule="auto"/>
      </w:pPr>
      <w:r>
        <w:rPr>
          <w:b/>
          <w:color w:val="9E2A4B"/>
        </w:rPr>
        <w:t xml:space="preserve">Conclusion / Rating: </w:t>
      </w:r>
      <w:r>
        <w:t>Priority 1 (High Risk). Corrective action required within 90 days. COSO Principle 2 failure.</w:t>
      </w:r>
    </w:p>
    <w:p>
      <w:pPr>
        <w:keepNext/>
        <w:spacing w:before="280" w:after="80"/>
      </w:pPr>
      <w:r>
        <w:rPr>
          <w:rFonts w:ascii="Calibri" w:hAnsi="Calibri"/>
          <w:b/>
          <w:color w:val="9E2A4B"/>
          <w:sz w:val="26"/>
        </w:rPr>
        <w:t>Finding 5: Worker Misclassification Exposures (Employee vs. Independent Contractor)</w:t>
      </w:r>
    </w:p>
    <w:p>
      <w:pPr>
        <w:pStyle w:val="ListBullet"/>
        <w:spacing w:before="0" w:after="80" w:line="276" w:lineRule="auto"/>
      </w:pPr>
      <w:r>
        <w:rPr>
          <w:b/>
          <w:color w:val="9E2A4B"/>
        </w:rPr>
        <w:t xml:space="preserve">Condition: </w:t>
      </w:r>
      <w:r>
        <w:t>The organization lacks a centralized worker classification framework. Operating units routinely engage individual service providers as independent contractors (issued Form 1099-NEC) without conducting formal behavioral or financial control assessments.</w:t>
      </w:r>
    </w:p>
    <w:p>
      <w:pPr>
        <w:pStyle w:val="ListBullet"/>
        <w:spacing w:before="0" w:after="80" w:line="276" w:lineRule="auto"/>
      </w:pPr>
      <w:r>
        <w:rPr>
          <w:b/>
          <w:color w:val="9E2A4B"/>
        </w:rPr>
        <w:t xml:space="preserve">Criteria: </w:t>
      </w:r>
      <w:r>
        <w:t>IRS statutory guidelines (evaluating Behavioral Control, Financial Control, and Type of Relationship under 26 U.S.C. § 3121) and State ABC statutory tests dictate that workers are presumed employees unless specific statutory independence criteria are satisfied. Furthermore, internal control guidelines require Form 1099-NEC issuance for all unincorporated entities receiving ≥$600 annually.</w:t>
      </w:r>
    </w:p>
    <w:p>
      <w:pPr>
        <w:pStyle w:val="ListBullet"/>
        <w:spacing w:before="0" w:after="80" w:line="276" w:lineRule="auto"/>
      </w:pPr>
      <w:r>
        <w:rPr>
          <w:b/>
          <w:color w:val="9E2A4B"/>
        </w:rPr>
        <w:t xml:space="preserve">Cause: </w:t>
      </w:r>
      <w:r>
        <w:t>Decentralized hiring decisions made by departmental managers based on budget preferences or contract titles, combined with a lack of mandatory pre-engagement classification reviews by HR and Legal Counsel.</w:t>
      </w:r>
    </w:p>
    <w:p>
      <w:pPr>
        <w:pStyle w:val="ListBullet"/>
        <w:spacing w:before="0" w:after="80" w:line="276" w:lineRule="auto"/>
      </w:pPr>
      <w:r>
        <w:rPr>
          <w:b/>
          <w:color w:val="9E2A4B"/>
        </w:rPr>
        <w:t xml:space="preserve">Effect: </w:t>
      </w:r>
      <w:r>
        <w:t>Misclassifying statutory employees as independent contractors creates severe liability for back payroll taxes (FICA/FUTA), interest, failure-to-withhold penalties, unpaid minimum wage and overtime claims under the FLSA, and statutory workers' compensation penalties.</w:t>
      </w:r>
    </w:p>
    <w:p>
      <w:pPr>
        <w:pStyle w:val="ListBullet"/>
        <w:spacing w:before="0" w:after="80" w:line="276" w:lineRule="auto"/>
      </w:pPr>
      <w:r>
        <w:rPr>
          <w:b/>
          <w:color w:val="9E2A4B"/>
        </w:rPr>
        <w:t xml:space="preserve">Conclusion / Rating: </w:t>
      </w:r>
      <w:r>
        <w:t>Priority 1 (High Risk). Corrective action required within 90 days. Regulatory Compliance Exposure.</w:t>
      </w:r>
    </w:p>
    <w:p>
      <w:pPr>
        <w:keepNext/>
        <w:spacing w:before="280" w:after="80"/>
      </w:pPr>
      <w:r>
        <w:rPr>
          <w:rFonts w:ascii="Calibri" w:hAnsi="Calibri"/>
          <w:b/>
          <w:color w:val="9E2A4B"/>
          <w:sz w:val="26"/>
        </w:rPr>
        <w:t>Finding 6: Delayed Removal of Terminated Employees</w:t>
      </w:r>
    </w:p>
    <w:p>
      <w:pPr>
        <w:pStyle w:val="ListBullet"/>
        <w:spacing w:before="0" w:after="80" w:line="276" w:lineRule="auto"/>
      </w:pPr>
      <w:r>
        <w:rPr>
          <w:b/>
          <w:color w:val="9E2A4B"/>
        </w:rPr>
        <w:t xml:space="preserve">Condition: </w:t>
      </w:r>
      <w:r>
        <w:t>Human Resources experiences processing delays in removing separated personnel from the active payroll register, resulting in instances where departed employees remained active across subsequent pay cycles.</w:t>
      </w:r>
    </w:p>
    <w:p>
      <w:pPr>
        <w:pStyle w:val="ListBullet"/>
        <w:spacing w:before="0" w:after="80" w:line="276" w:lineRule="auto"/>
      </w:pPr>
      <w:r>
        <w:rPr>
          <w:b/>
          <w:color w:val="9E2A4B"/>
        </w:rPr>
        <w:t xml:space="preserve">Criteria: </w:t>
      </w:r>
      <w:r>
        <w:t>Offboarding controls require immediate, synchronized notification from operating units to HR upon employee termination to ensure immediate deactivation in Banner and eliminate ghost employee exposures (COSO Principle 12).</w:t>
      </w:r>
    </w:p>
    <w:p>
      <w:pPr>
        <w:pStyle w:val="ListBullet"/>
        <w:spacing w:before="0" w:after="80" w:line="276" w:lineRule="auto"/>
      </w:pPr>
      <w:r>
        <w:rPr>
          <w:b/>
          <w:color w:val="9E2A4B"/>
        </w:rPr>
        <w:t xml:space="preserve">Cause: </w:t>
      </w:r>
      <w:r>
        <w:t>Reliance on manual, ad-hoc departmental email notifications rather than an automated, mandatory offboarding trigger between departmental timekeeping systems and the central HR master file.</w:t>
      </w:r>
    </w:p>
    <w:p>
      <w:pPr>
        <w:pStyle w:val="ListBullet"/>
        <w:spacing w:before="0" w:after="80" w:line="276" w:lineRule="auto"/>
      </w:pPr>
      <w:r>
        <w:rPr>
          <w:b/>
          <w:color w:val="9E2A4B"/>
        </w:rPr>
        <w:t xml:space="preserve">Effect: </w:t>
      </w:r>
      <w:r>
        <w:t>Delayed system offboarding creates direct exposure to post-termination overpayments, unauthorized wage disbursements, and potential ghost employee payroll fraud schemes.</w:t>
      </w:r>
    </w:p>
    <w:p>
      <w:pPr>
        <w:pStyle w:val="ListBullet"/>
        <w:spacing w:before="0" w:after="80" w:line="276" w:lineRule="auto"/>
      </w:pPr>
      <w:r>
        <w:rPr>
          <w:b/>
          <w:color w:val="9E2A4B"/>
        </w:rPr>
        <w:t xml:space="preserve">Conclusion / Rating: </w:t>
      </w:r>
      <w:r>
        <w:t>Priority 2 (Moderate Risk). Corrective action required within 120 days. COSO Principle 12 failure.</w:t>
      </w:r>
    </w:p>
    <w:p>
      <w:pPr>
        <w:keepNext/>
        <w:spacing w:before="280" w:after="80"/>
      </w:pPr>
      <w:r>
        <w:rPr>
          <w:rFonts w:ascii="Calibri" w:hAnsi="Calibri"/>
          <w:b/>
          <w:color w:val="9E2A4B"/>
          <w:sz w:val="26"/>
        </w:rPr>
        <w:t>Finding 7: Inadequate Timekeeping Oversight and Leave Policy Abuse</w:t>
      </w:r>
    </w:p>
    <w:p>
      <w:pPr>
        <w:pStyle w:val="ListBullet"/>
        <w:spacing w:before="0" w:after="80" w:line="276" w:lineRule="auto"/>
      </w:pPr>
      <w:r>
        <w:rPr>
          <w:b/>
          <w:color w:val="9E2A4B"/>
        </w:rPr>
        <w:t xml:space="preserve">Condition: </w:t>
      </w:r>
      <w:r>
        <w:t>Audit testing identified indicators of sick leave policy abuse among operational personnel, alongside inconsistent supervisory verification of submitted timecards prior to payroll processing.</w:t>
      </w:r>
    </w:p>
    <w:p>
      <w:pPr>
        <w:pStyle w:val="ListBullet"/>
        <w:spacing w:before="0" w:after="80" w:line="276" w:lineRule="auto"/>
      </w:pPr>
      <w:r>
        <w:rPr>
          <w:b/>
          <w:color w:val="9E2A4B"/>
        </w:rPr>
        <w:t xml:space="preserve">Criteria: </w:t>
      </w:r>
      <w:r>
        <w:t>COSO Principle 16 and organizational leave policies mandate that paid leave usage and employee timecards be actively monitored, verified against supervisor work schedules, and supported by medical documentation where policy thresholds are met.</w:t>
      </w:r>
    </w:p>
    <w:p>
      <w:pPr>
        <w:pStyle w:val="ListBullet"/>
        <w:spacing w:before="0" w:after="80" w:line="276" w:lineRule="auto"/>
      </w:pPr>
      <w:r>
        <w:rPr>
          <w:b/>
          <w:color w:val="9E2A4B"/>
        </w:rPr>
        <w:t xml:space="preserve">Cause: </w:t>
      </w:r>
      <w:r>
        <w:t>Limitations in the legacy time and attendance tracking software, which lacks automated leave anomaly detection, automated overtime threshold alerts, and integrated scheduling controls.</w:t>
      </w:r>
    </w:p>
    <w:p>
      <w:pPr>
        <w:pStyle w:val="ListBullet"/>
        <w:spacing w:before="0" w:after="80" w:line="276" w:lineRule="auto"/>
      </w:pPr>
      <w:r>
        <w:rPr>
          <w:b/>
          <w:color w:val="9E2A4B"/>
        </w:rPr>
        <w:t xml:space="preserve">Effect: </w:t>
      </w:r>
      <w:r>
        <w:t>Absence of rigorous timecard oversight leads to compensation payments for unworked hours, inflated sick leave consumption, increased operational expenses, and reduced departmental productivity.</w:t>
      </w:r>
    </w:p>
    <w:p>
      <w:pPr>
        <w:pStyle w:val="ListBullet"/>
        <w:spacing w:before="0" w:after="80" w:line="276" w:lineRule="auto"/>
      </w:pPr>
      <w:r>
        <w:rPr>
          <w:b/>
          <w:color w:val="9E2A4B"/>
        </w:rPr>
        <w:t xml:space="preserve">Conclusion / Rating: </w:t>
      </w:r>
      <w:r>
        <w:t>Priority 2 (Moderate Risk). Corrective action required within 120 days. COSO Principle 16 failure.</w:t>
      </w:r>
    </w:p>
    <w:p>
      <w:pPr>
        <w:keepNext/>
        <w:spacing w:before="280" w:after="80"/>
      </w:pPr>
      <w:r>
        <w:rPr>
          <w:rFonts w:ascii="Calibri" w:hAnsi="Calibri"/>
          <w:b/>
          <w:color w:val="9E2A4B"/>
          <w:sz w:val="26"/>
        </w:rPr>
        <w:t>Finding 8: Routine Policy Refresh Intervals and Personnel File Archiving Lapses</w:t>
      </w:r>
    </w:p>
    <w:p>
      <w:pPr>
        <w:pStyle w:val="ListBullet"/>
        <w:spacing w:before="0" w:after="80" w:line="276" w:lineRule="auto"/>
      </w:pPr>
      <w:r>
        <w:rPr>
          <w:b/>
          <w:color w:val="9E2A4B"/>
        </w:rPr>
        <w:t xml:space="preserve">Condition: </w:t>
      </w:r>
      <w:r>
        <w:t>Standard operating procedures governing payroll file retention, personnel file archiving, and routine policy updates are outdated and lack formal schedule reviews.</w:t>
      </w:r>
    </w:p>
    <w:p>
      <w:pPr>
        <w:pStyle w:val="ListBullet"/>
        <w:spacing w:before="0" w:after="80" w:line="276" w:lineRule="auto"/>
      </w:pPr>
      <w:r>
        <w:rPr>
          <w:b/>
          <w:color w:val="9E2A4B"/>
        </w:rPr>
        <w:t xml:space="preserve">Criteria: </w:t>
      </w:r>
      <w:r>
        <w:t>COSO Principle 12 mandates that operational policies and procedures be updated periodically to reflect current technology, statutory reporting shifts, and organizational structures.</w:t>
      </w:r>
    </w:p>
    <w:p>
      <w:pPr>
        <w:pStyle w:val="ListBullet"/>
        <w:spacing w:before="0" w:after="80" w:line="276" w:lineRule="auto"/>
      </w:pPr>
      <w:r>
        <w:rPr>
          <w:b/>
          <w:color w:val="9E2A4B"/>
        </w:rPr>
        <w:t xml:space="preserve">Cause: </w:t>
      </w:r>
      <w:r>
        <w:t>Absence of an assigned compliance owner responsible for maintaining the master payroll policy calendar and managing physical file archiving cycles.</w:t>
      </w:r>
    </w:p>
    <w:p>
      <w:pPr>
        <w:pStyle w:val="ListBullet"/>
        <w:spacing w:before="0" w:after="80" w:line="276" w:lineRule="auto"/>
      </w:pPr>
      <w:r>
        <w:rPr>
          <w:b/>
          <w:color w:val="9E2A4B"/>
        </w:rPr>
        <w:t xml:space="preserve">Effect: </w:t>
      </w:r>
      <w:r>
        <w:t>Outdated operational guidance leads to inconsistent file archiving, inconsistent document retention practices, and administrative confusion among processing staff.</w:t>
      </w:r>
    </w:p>
    <w:p>
      <w:pPr>
        <w:pStyle w:val="ListBullet"/>
        <w:spacing w:before="0" w:after="80" w:line="276" w:lineRule="auto"/>
      </w:pPr>
      <w:r>
        <w:rPr>
          <w:b/>
          <w:color w:val="9E2A4B"/>
        </w:rPr>
        <w:t xml:space="preserve">Conclusion / Rating: </w:t>
      </w:r>
      <w:r>
        <w:t>Priority 3 (Low Risk). Corrective action required within 180 days. Governance Maintenance gap.</w:t>
      </w:r>
    </w:p>
    <w:p>
      <w:pPr>
        <w:keepNext/>
        <w:spacing w:before="280" w:after="80"/>
      </w:pPr>
      <w:r>
        <w:rPr>
          <w:rFonts w:ascii="Calibri" w:hAnsi="Calibri"/>
          <w:b/>
          <w:color w:val="9E2A4B"/>
          <w:sz w:val="26"/>
        </w:rPr>
        <w:t>Comparative Assessment of Deficiencies</w:t>
      </w:r>
    </w:p>
    <w:p>
      <w:pPr>
        <w:spacing w:before="0" w:after="120" w:line="276" w:lineRule="auto"/>
      </w:pPr>
      <w:r>
        <w:t>The table below provides a comparative analysis of all eight identified control deficiencies, linking risk priorities, COSO control failures, operational risk impacts, and target remediation timelines: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B4D3E"/>
            <w:tcMar>
              <w:top w:w="120" w:type="dxa"/>
              <w:bottom w:w="120" w:type="dxa"/>
              <w:left w:w="150" w:type="dxa"/>
              <w:right w:w="150" w:type="dxa"/>
            </w:tcMar>
          </w:tcPr>
          <w:p>
            <w:pPr>
              <w:jc w:val="left"/>
            </w:pPr>
            <w:r>
              <w:rPr>
                <w:b/>
                <w:color w:val="FFFFFF"/>
                <w:sz w:val="19"/>
              </w:rPr>
              <w:t>Finding Title</w:t>
            </w:r>
          </w:p>
        </w:tc>
        <w:tc>
          <w:tcPr>
            <w:tcW w:type="dxa" w:w="1296"/>
            <w:shd w:fill="1B4D3E"/>
            <w:tcMar>
              <w:top w:w="120" w:type="dxa"/>
              <w:bottom w:w="120" w:type="dxa"/>
              <w:left w:w="150" w:type="dxa"/>
              <w:right w:w="150" w:type="dxa"/>
            </w:tcMar>
          </w:tcPr>
          <w:p>
            <w:pPr>
              <w:jc w:val="left"/>
            </w:pPr>
            <w:r>
              <w:rPr>
                <w:b/>
                <w:color w:val="FFFFFF"/>
                <w:sz w:val="19"/>
              </w:rPr>
              <w:t>Priority Level</w:t>
            </w:r>
          </w:p>
        </w:tc>
        <w:tc>
          <w:tcPr>
            <w:tcW w:type="dxa" w:w="1872"/>
            <w:shd w:fill="1B4D3E"/>
            <w:tcMar>
              <w:top w:w="120" w:type="dxa"/>
              <w:bottom w:w="120" w:type="dxa"/>
              <w:left w:w="150" w:type="dxa"/>
              <w:right w:w="150" w:type="dxa"/>
            </w:tcMar>
          </w:tcPr>
          <w:p>
            <w:pPr>
              <w:jc w:val="left"/>
            </w:pPr>
            <w:r>
              <w:rPr>
                <w:b/>
                <w:color w:val="FFFFFF"/>
                <w:sz w:val="19"/>
              </w:rPr>
              <w:t>Violated COSO Principle</w:t>
            </w:r>
          </w:p>
        </w:tc>
        <w:tc>
          <w:tcPr>
            <w:tcW w:type="dxa" w:w="2592"/>
            <w:shd w:fill="1B4D3E"/>
            <w:tcMar>
              <w:top w:w="120" w:type="dxa"/>
              <w:bottom w:w="120" w:type="dxa"/>
              <w:left w:w="150" w:type="dxa"/>
              <w:right w:w="150" w:type="dxa"/>
            </w:tcMar>
          </w:tcPr>
          <w:p>
            <w:pPr>
              <w:jc w:val="left"/>
            </w:pPr>
            <w:r>
              <w:rPr>
                <w:b/>
                <w:color w:val="FFFFFF"/>
                <w:sz w:val="19"/>
              </w:rPr>
              <w:t>Operational &amp; Financial Risk Exposure</w:t>
            </w:r>
          </w:p>
        </w:tc>
        <w:tc>
          <w:tcPr>
            <w:tcW w:type="dxa" w:w="1440"/>
            <w:shd w:fill="1B4D3E"/>
            <w:tcMar>
              <w:top w:w="120" w:type="dxa"/>
              <w:bottom w:w="120" w:type="dxa"/>
              <w:left w:w="150" w:type="dxa"/>
              <w:right w:w="150" w:type="dxa"/>
            </w:tcMar>
          </w:tcPr>
          <w:p>
            <w:pPr>
              <w:jc w:val="left"/>
            </w:pPr>
            <w:r>
              <w:rPr>
                <w:b/>
                <w:color w:val="FFFFFF"/>
                <w:sz w:val="19"/>
              </w:rPr>
              <w:t>Target Remediation Timeline</w:t>
            </w:r>
          </w:p>
        </w:tc>
      </w:tr>
      <w:tr>
        <w:tc>
          <w:tcPr>
            <w:tcW w:type="dxa" w:w="2160"/>
            <w:shd w:fill="FFFFFF"/>
            <w:tcMar>
              <w:top w:w="100" w:type="dxa"/>
              <w:bottom w:w="100" w:type="dxa"/>
              <w:left w:w="120" w:type="dxa"/>
              <w:right w:w="120" w:type="dxa"/>
            </w:tcMar>
          </w:tcPr>
          <w:p>
            <w:r>
              <w:rPr>
                <w:sz w:val="18"/>
              </w:rPr>
              <w:t>Unchecked Automated Wage Calculations</w:t>
            </w:r>
          </w:p>
        </w:tc>
        <w:tc>
          <w:tcPr>
            <w:tcW w:type="dxa" w:w="1296"/>
            <w:shd w:fill="FFFFFF"/>
            <w:tcMar>
              <w:top w:w="100" w:type="dxa"/>
              <w:bottom w:w="100" w:type="dxa"/>
              <w:left w:w="120" w:type="dxa"/>
              <w:right w:w="120" w:type="dxa"/>
            </w:tcMar>
          </w:tcPr>
          <w:p>
            <w:r>
              <w:rPr>
                <w:sz w:val="18"/>
              </w:rPr>
              <w:t>Priority 1</w:t>
            </w:r>
          </w:p>
        </w:tc>
        <w:tc>
          <w:tcPr>
            <w:tcW w:type="dxa" w:w="1872"/>
            <w:shd w:fill="FFFFFF"/>
            <w:tcMar>
              <w:top w:w="100" w:type="dxa"/>
              <w:bottom w:w="100" w:type="dxa"/>
              <w:left w:w="120" w:type="dxa"/>
              <w:right w:w="120" w:type="dxa"/>
            </w:tcMar>
          </w:tcPr>
          <w:p>
            <w:r>
              <w:rPr>
                <w:sz w:val="18"/>
              </w:rPr>
              <w:t>Principle 12 (Policies &amp; Procedures)</w:t>
            </w:r>
          </w:p>
        </w:tc>
        <w:tc>
          <w:tcPr>
            <w:tcW w:type="dxa" w:w="2592"/>
            <w:shd w:fill="FFFFFF"/>
            <w:tcMar>
              <w:top w:w="100" w:type="dxa"/>
              <w:bottom w:w="100" w:type="dxa"/>
              <w:left w:w="120" w:type="dxa"/>
              <w:right w:w="120" w:type="dxa"/>
            </w:tcMar>
          </w:tcPr>
          <w:p>
            <w:r>
              <w:rPr>
                <w:sz w:val="18"/>
              </w:rPr>
              <w:t>Systemic gross pay miscalculations, financial misstatements, unrecorded liabilities.</w:t>
            </w:r>
          </w:p>
        </w:tc>
        <w:tc>
          <w:tcPr>
            <w:tcW w:type="dxa" w:w="1440"/>
            <w:shd w:fill="FFFFFF"/>
            <w:tcMar>
              <w:top w:w="100" w:type="dxa"/>
              <w:bottom w:w="100" w:type="dxa"/>
              <w:left w:w="120" w:type="dxa"/>
              <w:right w:w="120" w:type="dxa"/>
            </w:tcMar>
          </w:tcPr>
          <w:p>
            <w:r>
              <w:rPr>
                <w:sz w:val="18"/>
              </w:rPr>
              <w:t>90 Days</w:t>
            </w:r>
          </w:p>
        </w:tc>
      </w:tr>
      <w:tr>
        <w:tc>
          <w:tcPr>
            <w:tcW w:type="dxa" w:w="2160"/>
            <w:shd w:fill="F9EBEA"/>
            <w:tcMar>
              <w:top w:w="100" w:type="dxa"/>
              <w:bottom w:w="100" w:type="dxa"/>
              <w:left w:w="120" w:type="dxa"/>
              <w:right w:w="120" w:type="dxa"/>
            </w:tcMar>
          </w:tcPr>
          <w:p>
            <w:r>
              <w:rPr>
                <w:sz w:val="18"/>
              </w:rPr>
              <w:t>Inconsistent Overtime Authorization Controls</w:t>
            </w:r>
          </w:p>
        </w:tc>
        <w:tc>
          <w:tcPr>
            <w:tcW w:type="dxa" w:w="1296"/>
            <w:shd w:fill="F9EBEA"/>
            <w:tcMar>
              <w:top w:w="100" w:type="dxa"/>
              <w:bottom w:w="100" w:type="dxa"/>
              <w:left w:w="120" w:type="dxa"/>
              <w:right w:w="120" w:type="dxa"/>
            </w:tcMar>
          </w:tcPr>
          <w:p>
            <w:r>
              <w:rPr>
                <w:sz w:val="18"/>
              </w:rPr>
              <w:t>Priority 1</w:t>
            </w:r>
          </w:p>
        </w:tc>
        <w:tc>
          <w:tcPr>
            <w:tcW w:type="dxa" w:w="1872"/>
            <w:shd w:fill="F9EBEA"/>
            <w:tcMar>
              <w:top w:w="100" w:type="dxa"/>
              <w:bottom w:w="100" w:type="dxa"/>
              <w:left w:w="120" w:type="dxa"/>
              <w:right w:w="120" w:type="dxa"/>
            </w:tcMar>
          </w:tcPr>
          <w:p>
            <w:r>
              <w:rPr>
                <w:sz w:val="18"/>
              </w:rPr>
              <w:t>Principle 2 (Structure &amp; Authority)</w:t>
            </w:r>
          </w:p>
        </w:tc>
        <w:tc>
          <w:tcPr>
            <w:tcW w:type="dxa" w:w="2592"/>
            <w:shd w:fill="F9EBEA"/>
            <w:tcMar>
              <w:top w:w="100" w:type="dxa"/>
              <w:bottom w:w="100" w:type="dxa"/>
              <w:left w:w="120" w:type="dxa"/>
              <w:right w:w="120" w:type="dxa"/>
            </w:tcMar>
          </w:tcPr>
          <w:p>
            <w:r>
              <w:rPr>
                <w:sz w:val="18"/>
              </w:rPr>
              <w:t>FLSA non-compliance, unauthorized overtime expenses, operational budget deficits.</w:t>
            </w:r>
          </w:p>
        </w:tc>
        <w:tc>
          <w:tcPr>
            <w:tcW w:type="dxa" w:w="1440"/>
            <w:shd w:fill="F9EBEA"/>
            <w:tcMar>
              <w:top w:w="100" w:type="dxa"/>
              <w:bottom w:w="100" w:type="dxa"/>
              <w:left w:w="120" w:type="dxa"/>
              <w:right w:w="120" w:type="dxa"/>
            </w:tcMar>
          </w:tcPr>
          <w:p>
            <w:r>
              <w:rPr>
                <w:sz w:val="18"/>
              </w:rPr>
              <w:t>90 Days</w:t>
            </w:r>
          </w:p>
        </w:tc>
      </w:tr>
      <w:tr>
        <w:tc>
          <w:tcPr>
            <w:tcW w:type="dxa" w:w="2160"/>
            <w:shd w:fill="FFFFFF"/>
            <w:tcMar>
              <w:top w:w="100" w:type="dxa"/>
              <w:bottom w:w="100" w:type="dxa"/>
              <w:left w:w="120" w:type="dxa"/>
              <w:right w:w="120" w:type="dxa"/>
            </w:tcMar>
          </w:tcPr>
          <w:p>
            <w:r>
              <w:rPr>
                <w:sz w:val="18"/>
              </w:rPr>
              <w:t>Unapproved Manual Alterations to Bank Lists</w:t>
            </w:r>
          </w:p>
        </w:tc>
        <w:tc>
          <w:tcPr>
            <w:tcW w:type="dxa" w:w="1296"/>
            <w:shd w:fill="FFFFFF"/>
            <w:tcMar>
              <w:top w:w="100" w:type="dxa"/>
              <w:bottom w:w="100" w:type="dxa"/>
              <w:left w:w="120" w:type="dxa"/>
              <w:right w:w="120" w:type="dxa"/>
            </w:tcMar>
          </w:tcPr>
          <w:p>
            <w:r>
              <w:rPr>
                <w:sz w:val="18"/>
              </w:rPr>
              <w:t>Priority 1</w:t>
            </w:r>
          </w:p>
        </w:tc>
        <w:tc>
          <w:tcPr>
            <w:tcW w:type="dxa" w:w="1872"/>
            <w:shd w:fill="FFFFFF"/>
            <w:tcMar>
              <w:top w:w="100" w:type="dxa"/>
              <w:bottom w:w="100" w:type="dxa"/>
              <w:left w:w="120" w:type="dxa"/>
              <w:right w:w="120" w:type="dxa"/>
            </w:tcMar>
          </w:tcPr>
          <w:p>
            <w:r>
              <w:rPr>
                <w:sz w:val="18"/>
              </w:rPr>
              <w:t>Principle 2 &amp; 12</w:t>
            </w:r>
          </w:p>
        </w:tc>
        <w:tc>
          <w:tcPr>
            <w:tcW w:type="dxa" w:w="2592"/>
            <w:shd w:fill="FFFFFF"/>
            <w:tcMar>
              <w:top w:w="100" w:type="dxa"/>
              <w:bottom w:w="100" w:type="dxa"/>
              <w:left w:w="120" w:type="dxa"/>
              <w:right w:w="120" w:type="dxa"/>
            </w:tcMar>
          </w:tcPr>
          <w:p>
            <w:r>
              <w:rPr>
                <w:sz w:val="18"/>
              </w:rPr>
              <w:t>Unapproved direct disbursements, financial fraud exposure, compromised audit trails.</w:t>
            </w:r>
          </w:p>
        </w:tc>
        <w:tc>
          <w:tcPr>
            <w:tcW w:type="dxa" w:w="1440"/>
            <w:shd w:fill="FFFFFF"/>
            <w:tcMar>
              <w:top w:w="100" w:type="dxa"/>
              <w:bottom w:w="100" w:type="dxa"/>
              <w:left w:w="120" w:type="dxa"/>
              <w:right w:w="120" w:type="dxa"/>
            </w:tcMar>
          </w:tcPr>
          <w:p>
            <w:r>
              <w:rPr>
                <w:sz w:val="18"/>
              </w:rPr>
              <w:t>90 Days</w:t>
            </w:r>
          </w:p>
        </w:tc>
      </w:tr>
      <w:tr>
        <w:tc>
          <w:tcPr>
            <w:tcW w:type="dxa" w:w="2160"/>
            <w:shd w:fill="F9EBEA"/>
            <w:tcMar>
              <w:top w:w="100" w:type="dxa"/>
              <w:bottom w:w="100" w:type="dxa"/>
              <w:left w:w="120" w:type="dxa"/>
              <w:right w:w="120" w:type="dxa"/>
            </w:tcMar>
          </w:tcPr>
          <w:p>
            <w:r>
              <w:rPr>
                <w:sz w:val="18"/>
              </w:rPr>
              <w:t>Unrestricted System Standing Data Updates</w:t>
            </w:r>
          </w:p>
        </w:tc>
        <w:tc>
          <w:tcPr>
            <w:tcW w:type="dxa" w:w="1296"/>
            <w:shd w:fill="F9EBEA"/>
            <w:tcMar>
              <w:top w:w="100" w:type="dxa"/>
              <w:bottom w:w="100" w:type="dxa"/>
              <w:left w:w="120" w:type="dxa"/>
              <w:right w:w="120" w:type="dxa"/>
            </w:tcMar>
          </w:tcPr>
          <w:p>
            <w:r>
              <w:rPr>
                <w:sz w:val="18"/>
              </w:rPr>
              <w:t>Priority 1</w:t>
            </w:r>
          </w:p>
        </w:tc>
        <w:tc>
          <w:tcPr>
            <w:tcW w:type="dxa" w:w="1872"/>
            <w:shd w:fill="F9EBEA"/>
            <w:tcMar>
              <w:top w:w="100" w:type="dxa"/>
              <w:bottom w:w="100" w:type="dxa"/>
              <w:left w:w="120" w:type="dxa"/>
              <w:right w:w="120" w:type="dxa"/>
            </w:tcMar>
          </w:tcPr>
          <w:p>
            <w:r>
              <w:rPr>
                <w:sz w:val="18"/>
              </w:rPr>
              <w:t>Principle 2 (Structure &amp; Authority)</w:t>
            </w:r>
          </w:p>
        </w:tc>
        <w:tc>
          <w:tcPr>
            <w:tcW w:type="dxa" w:w="2592"/>
            <w:shd w:fill="F9EBEA"/>
            <w:tcMar>
              <w:top w:w="100" w:type="dxa"/>
              <w:bottom w:w="100" w:type="dxa"/>
              <w:left w:w="120" w:type="dxa"/>
              <w:right w:w="120" w:type="dxa"/>
            </w:tcMar>
          </w:tcPr>
          <w:p>
            <w:r>
              <w:rPr>
                <w:sz w:val="18"/>
              </w:rPr>
              <w:t>Breakdown in segregation of duties, unauthorized rate modifications, parameter corruption.</w:t>
            </w:r>
          </w:p>
        </w:tc>
        <w:tc>
          <w:tcPr>
            <w:tcW w:type="dxa" w:w="1440"/>
            <w:shd w:fill="F9EBEA"/>
            <w:tcMar>
              <w:top w:w="100" w:type="dxa"/>
              <w:bottom w:w="100" w:type="dxa"/>
              <w:left w:w="120" w:type="dxa"/>
              <w:right w:w="120" w:type="dxa"/>
            </w:tcMar>
          </w:tcPr>
          <w:p>
            <w:r>
              <w:rPr>
                <w:sz w:val="18"/>
              </w:rPr>
              <w:t>90 Days</w:t>
            </w:r>
          </w:p>
        </w:tc>
      </w:tr>
      <w:tr>
        <w:tc>
          <w:tcPr>
            <w:tcW w:type="dxa" w:w="2160"/>
            <w:shd w:fill="FFFFFF"/>
            <w:tcMar>
              <w:top w:w="100" w:type="dxa"/>
              <w:bottom w:w="100" w:type="dxa"/>
              <w:left w:w="120" w:type="dxa"/>
              <w:right w:w="120" w:type="dxa"/>
            </w:tcMar>
          </w:tcPr>
          <w:p>
            <w:r>
              <w:rPr>
                <w:sz w:val="18"/>
              </w:rPr>
              <w:t>Worker Misclassification Exposures</w:t>
            </w:r>
          </w:p>
        </w:tc>
        <w:tc>
          <w:tcPr>
            <w:tcW w:type="dxa" w:w="1296"/>
            <w:shd w:fill="FFFFFF"/>
            <w:tcMar>
              <w:top w:w="100" w:type="dxa"/>
              <w:bottom w:w="100" w:type="dxa"/>
              <w:left w:w="120" w:type="dxa"/>
              <w:right w:w="120" w:type="dxa"/>
            </w:tcMar>
          </w:tcPr>
          <w:p>
            <w:r>
              <w:rPr>
                <w:sz w:val="18"/>
              </w:rPr>
              <w:t>Priority 1</w:t>
            </w:r>
          </w:p>
        </w:tc>
        <w:tc>
          <w:tcPr>
            <w:tcW w:type="dxa" w:w="1872"/>
            <w:shd w:fill="FFFFFF"/>
            <w:tcMar>
              <w:top w:w="100" w:type="dxa"/>
              <w:bottom w:w="100" w:type="dxa"/>
              <w:left w:w="120" w:type="dxa"/>
              <w:right w:w="120" w:type="dxa"/>
            </w:tcMar>
          </w:tcPr>
          <w:p>
            <w:r>
              <w:rPr>
                <w:sz w:val="18"/>
              </w:rPr>
              <w:t>Statutory Tax Mandates</w:t>
            </w:r>
          </w:p>
        </w:tc>
        <w:tc>
          <w:tcPr>
            <w:tcW w:type="dxa" w:w="2592"/>
            <w:shd w:fill="FFFFFF"/>
            <w:tcMar>
              <w:top w:w="100" w:type="dxa"/>
              <w:bottom w:w="100" w:type="dxa"/>
              <w:left w:w="120" w:type="dxa"/>
              <w:right w:w="120" w:type="dxa"/>
            </w:tcMar>
          </w:tcPr>
          <w:p>
            <w:r>
              <w:rPr>
                <w:sz w:val="18"/>
              </w:rPr>
              <w:t>IRS back-tax liabilities, statutory failure-to-withhold penalties, FLSA overtime claims.</w:t>
            </w:r>
          </w:p>
        </w:tc>
        <w:tc>
          <w:tcPr>
            <w:tcW w:type="dxa" w:w="1440"/>
            <w:shd w:fill="FFFFFF"/>
            <w:tcMar>
              <w:top w:w="100" w:type="dxa"/>
              <w:bottom w:w="100" w:type="dxa"/>
              <w:left w:w="120" w:type="dxa"/>
              <w:right w:w="120" w:type="dxa"/>
            </w:tcMar>
          </w:tcPr>
          <w:p>
            <w:r>
              <w:rPr>
                <w:sz w:val="18"/>
              </w:rPr>
              <w:t>90 Days</w:t>
            </w:r>
          </w:p>
        </w:tc>
      </w:tr>
      <w:tr>
        <w:tc>
          <w:tcPr>
            <w:tcW w:type="dxa" w:w="2160"/>
            <w:shd w:fill="F9EBEA"/>
            <w:tcMar>
              <w:top w:w="100" w:type="dxa"/>
              <w:bottom w:w="100" w:type="dxa"/>
              <w:left w:w="120" w:type="dxa"/>
              <w:right w:w="120" w:type="dxa"/>
            </w:tcMar>
          </w:tcPr>
          <w:p>
            <w:r>
              <w:rPr>
                <w:sz w:val="18"/>
              </w:rPr>
              <w:t>Delayed Removal of Terminated Employees</w:t>
            </w:r>
          </w:p>
        </w:tc>
        <w:tc>
          <w:tcPr>
            <w:tcW w:type="dxa" w:w="1296"/>
            <w:shd w:fill="F9EBEA"/>
            <w:tcMar>
              <w:top w:w="100" w:type="dxa"/>
              <w:bottom w:w="100" w:type="dxa"/>
              <w:left w:w="120" w:type="dxa"/>
              <w:right w:w="120" w:type="dxa"/>
            </w:tcMar>
          </w:tcPr>
          <w:p>
            <w:r>
              <w:rPr>
                <w:sz w:val="18"/>
              </w:rPr>
              <w:t>Priority 2</w:t>
            </w:r>
          </w:p>
        </w:tc>
        <w:tc>
          <w:tcPr>
            <w:tcW w:type="dxa" w:w="1872"/>
            <w:shd w:fill="F9EBEA"/>
            <w:tcMar>
              <w:top w:w="100" w:type="dxa"/>
              <w:bottom w:w="100" w:type="dxa"/>
              <w:left w:w="120" w:type="dxa"/>
              <w:right w:w="120" w:type="dxa"/>
            </w:tcMar>
          </w:tcPr>
          <w:p>
            <w:r>
              <w:rPr>
                <w:sz w:val="18"/>
              </w:rPr>
              <w:t>Principle 12 (Policies &amp; Procedures)</w:t>
            </w:r>
          </w:p>
        </w:tc>
        <w:tc>
          <w:tcPr>
            <w:tcW w:type="dxa" w:w="2592"/>
            <w:shd w:fill="F9EBEA"/>
            <w:tcMar>
              <w:top w:w="100" w:type="dxa"/>
              <w:bottom w:w="100" w:type="dxa"/>
              <w:left w:w="120" w:type="dxa"/>
              <w:right w:w="120" w:type="dxa"/>
            </w:tcMar>
          </w:tcPr>
          <w:p>
            <w:r>
              <w:rPr>
                <w:sz w:val="18"/>
              </w:rPr>
              <w:t>Ghost employee payroll exposure, unrecoverable wage overpayments post-separation.</w:t>
            </w:r>
          </w:p>
        </w:tc>
        <w:tc>
          <w:tcPr>
            <w:tcW w:type="dxa" w:w="1440"/>
            <w:shd w:fill="F9EBEA"/>
            <w:tcMar>
              <w:top w:w="100" w:type="dxa"/>
              <w:bottom w:w="100" w:type="dxa"/>
              <w:left w:w="120" w:type="dxa"/>
              <w:right w:w="120" w:type="dxa"/>
            </w:tcMar>
          </w:tcPr>
          <w:p>
            <w:r>
              <w:rPr>
                <w:sz w:val="18"/>
              </w:rPr>
              <w:t>120 Days</w:t>
            </w:r>
          </w:p>
        </w:tc>
      </w:tr>
      <w:tr>
        <w:tc>
          <w:tcPr>
            <w:tcW w:type="dxa" w:w="2160"/>
            <w:shd w:fill="FFFFFF"/>
            <w:tcMar>
              <w:top w:w="100" w:type="dxa"/>
              <w:bottom w:w="100" w:type="dxa"/>
              <w:left w:w="120" w:type="dxa"/>
              <w:right w:w="120" w:type="dxa"/>
            </w:tcMar>
          </w:tcPr>
          <w:p>
            <w:r>
              <w:rPr>
                <w:sz w:val="18"/>
              </w:rPr>
              <w:t>Inadequate Timekeeping &amp; Leave Oversight</w:t>
            </w:r>
          </w:p>
        </w:tc>
        <w:tc>
          <w:tcPr>
            <w:tcW w:type="dxa" w:w="1296"/>
            <w:shd w:fill="FFFFFF"/>
            <w:tcMar>
              <w:top w:w="100" w:type="dxa"/>
              <w:bottom w:w="100" w:type="dxa"/>
              <w:left w:w="120" w:type="dxa"/>
              <w:right w:w="120" w:type="dxa"/>
            </w:tcMar>
          </w:tcPr>
          <w:p>
            <w:r>
              <w:rPr>
                <w:sz w:val="18"/>
              </w:rPr>
              <w:t>Priority 2</w:t>
            </w:r>
          </w:p>
        </w:tc>
        <w:tc>
          <w:tcPr>
            <w:tcW w:type="dxa" w:w="1872"/>
            <w:shd w:fill="FFFFFF"/>
            <w:tcMar>
              <w:top w:w="100" w:type="dxa"/>
              <w:bottom w:w="100" w:type="dxa"/>
              <w:left w:w="120" w:type="dxa"/>
              <w:right w:w="120" w:type="dxa"/>
            </w:tcMar>
          </w:tcPr>
          <w:p>
            <w:r>
              <w:rPr>
                <w:sz w:val="18"/>
              </w:rPr>
              <w:t>Principle 16 (Ongoing Evaluations)</w:t>
            </w:r>
          </w:p>
        </w:tc>
        <w:tc>
          <w:tcPr>
            <w:tcW w:type="dxa" w:w="2592"/>
            <w:shd w:fill="FFFFFF"/>
            <w:tcMar>
              <w:top w:w="100" w:type="dxa"/>
              <w:bottom w:w="100" w:type="dxa"/>
              <w:left w:w="120" w:type="dxa"/>
              <w:right w:w="120" w:type="dxa"/>
            </w:tcMar>
          </w:tcPr>
          <w:p>
            <w:r>
              <w:rPr>
                <w:sz w:val="18"/>
              </w:rPr>
              <w:t>Sick leave policy abuse, compensation for unworked hours, unmonitored labor expense.</w:t>
            </w:r>
          </w:p>
        </w:tc>
        <w:tc>
          <w:tcPr>
            <w:tcW w:type="dxa" w:w="1440"/>
            <w:shd w:fill="FFFFFF"/>
            <w:tcMar>
              <w:top w:w="100" w:type="dxa"/>
              <w:bottom w:w="100" w:type="dxa"/>
              <w:left w:w="120" w:type="dxa"/>
              <w:right w:w="120" w:type="dxa"/>
            </w:tcMar>
          </w:tcPr>
          <w:p>
            <w:r>
              <w:rPr>
                <w:sz w:val="18"/>
              </w:rPr>
              <w:t>120 Days</w:t>
            </w:r>
          </w:p>
        </w:tc>
      </w:tr>
      <w:tr>
        <w:tc>
          <w:tcPr>
            <w:tcW w:type="dxa" w:w="2160"/>
            <w:shd w:fill="F9EBEA"/>
            <w:tcMar>
              <w:top w:w="100" w:type="dxa"/>
              <w:bottom w:w="100" w:type="dxa"/>
              <w:left w:w="120" w:type="dxa"/>
              <w:right w:w="120" w:type="dxa"/>
            </w:tcMar>
          </w:tcPr>
          <w:p>
            <w:r>
              <w:rPr>
                <w:sz w:val="18"/>
              </w:rPr>
              <w:t>Routine Policy Refresh &amp; File Archiving</w:t>
            </w:r>
          </w:p>
        </w:tc>
        <w:tc>
          <w:tcPr>
            <w:tcW w:type="dxa" w:w="1296"/>
            <w:shd w:fill="F9EBEA"/>
            <w:tcMar>
              <w:top w:w="100" w:type="dxa"/>
              <w:bottom w:w="100" w:type="dxa"/>
              <w:left w:w="120" w:type="dxa"/>
              <w:right w:w="120" w:type="dxa"/>
            </w:tcMar>
          </w:tcPr>
          <w:p>
            <w:r>
              <w:rPr>
                <w:sz w:val="18"/>
              </w:rPr>
              <w:t>Priority 3</w:t>
            </w:r>
          </w:p>
        </w:tc>
        <w:tc>
          <w:tcPr>
            <w:tcW w:type="dxa" w:w="1872"/>
            <w:shd w:fill="F9EBEA"/>
            <w:tcMar>
              <w:top w:w="100" w:type="dxa"/>
              <w:bottom w:w="100" w:type="dxa"/>
              <w:left w:w="120" w:type="dxa"/>
              <w:right w:w="120" w:type="dxa"/>
            </w:tcMar>
          </w:tcPr>
          <w:p>
            <w:r>
              <w:rPr>
                <w:sz w:val="18"/>
              </w:rPr>
              <w:t>Principle 12 (Policies &amp; Procedures)</w:t>
            </w:r>
          </w:p>
        </w:tc>
        <w:tc>
          <w:tcPr>
            <w:tcW w:type="dxa" w:w="2592"/>
            <w:shd w:fill="F9EBEA"/>
            <w:tcMar>
              <w:top w:w="100" w:type="dxa"/>
              <w:bottom w:w="100" w:type="dxa"/>
              <w:left w:w="120" w:type="dxa"/>
              <w:right w:w="120" w:type="dxa"/>
            </w:tcMar>
          </w:tcPr>
          <w:p>
            <w:r>
              <w:rPr>
                <w:sz w:val="18"/>
              </w:rPr>
              <w:t>Administrative inconsistency, outdated operational guidance, document retention lapses.</w:t>
            </w:r>
          </w:p>
        </w:tc>
        <w:tc>
          <w:tcPr>
            <w:tcW w:type="dxa" w:w="1440"/>
            <w:shd w:fill="F9EBEA"/>
            <w:tcMar>
              <w:top w:w="100" w:type="dxa"/>
              <w:bottom w:w="100" w:type="dxa"/>
              <w:left w:w="120" w:type="dxa"/>
              <w:right w:w="120" w:type="dxa"/>
            </w:tcMar>
          </w:tcPr>
          <w:p>
            <w:r>
              <w:rPr>
                <w:sz w:val="18"/>
              </w:rPr>
              <w:t>180 Days</w:t>
            </w:r>
          </w:p>
        </w:tc>
      </w:tr>
    </w:tbl>
    <w:p>
      <w:pPr>
        <w:spacing w:before="0" w:after="120" w:line="276" w:lineRule="auto"/>
      </w:pPr>
      <w:r>
        <w:t>Having established the root cause analysis and comparative risk profiles, the report transitions to substantive audit testing procedures executed to confirm financial record accuracy.</w:t>
      </w:r>
    </w:p>
    <w:p>
      <w:pPr>
        <w:keepNext/>
        <w:spacing w:before="360" w:after="120"/>
      </w:pPr>
      <w:r>
        <w:rPr>
          <w:rFonts w:ascii="Calibri" w:hAnsi="Calibri"/>
          <w:b/>
          <w:color w:val="1B4D3E"/>
          <w:sz w:val="32"/>
        </w:rPr>
        <w:t>4. Substantive Audit Testing &amp; Financial Accuracy Verification</w:t>
      </w:r>
    </w:p>
    <w:p>
      <w:pPr>
        <w:spacing w:before="0" w:after="120" w:line="276" w:lineRule="auto"/>
      </w:pPr>
      <w:r>
        <w:t>Substantive testing procedures and analytical evaluations were performed to confirm the completeness, mathematical accuracy, valuation, and accounting cut-off of recorded payroll expenses and statutory year-end liabilities.</w:t>
      </w:r>
    </w:p>
    <w:p>
      <w:pPr>
        <w:keepNext/>
        <w:spacing w:before="280" w:after="80"/>
      </w:pPr>
      <w:r>
        <w:rPr>
          <w:rFonts w:ascii="Calibri" w:hAnsi="Calibri"/>
          <w:b/>
          <w:color w:val="9E2A4B"/>
          <w:sz w:val="26"/>
        </w:rPr>
        <w:t>Substantive Audit Procedures for Payroll Expenses</w:t>
      </w:r>
    </w:p>
    <w:p>
      <w:pPr>
        <w:spacing w:before="0" w:after="120" w:line="276" w:lineRule="auto"/>
      </w:pPr>
      <w:r>
        <w:t>Internal Audit executed the following substantive audit procedures on representative samples drawn from active payroll registers:</w:t>
      </w:r>
    </w:p>
    <w:p>
      <w:pPr>
        <w:pStyle w:val="ListBullet"/>
        <w:spacing w:before="0" w:after="80" w:line="276" w:lineRule="auto"/>
      </w:pPr>
      <w:r>
        <w:rPr>
          <w:b/>
          <w:color w:val="9E2A4B"/>
        </w:rPr>
        <w:t xml:space="preserve">Independent Gross-to-Net Pay Recalculation: </w:t>
      </w:r>
      <w:r>
        <w:t>Selected a statistically representative sample of active employees from Banner payroll registers and independently recomputed gross wages, overtime compensation, statutory tax deductions (FICA, federal, and state withholdings), voluntary deductions, and net pay against authorized pay rates, tax tables, and approved timecards.</w:t>
      </w:r>
    </w:p>
    <w:p>
      <w:pPr>
        <w:pStyle w:val="ListBullet"/>
        <w:spacing w:before="0" w:after="80" w:line="276" w:lineRule="auto"/>
      </w:pPr>
      <w:r>
        <w:rPr>
          <w:b/>
          <w:color w:val="9E2A4B"/>
        </w:rPr>
        <w:t xml:space="preserve">HR Master File to Payroll Completeness Tracing: </w:t>
      </w:r>
      <w:r>
        <w:t>Traced 100% of active employee records from the HR master database directly to active Banner payroll registers to confirm that all paid individuals are valid active staff and that no unrecorded personnel exist.</w:t>
      </w:r>
    </w:p>
    <w:p>
      <w:pPr>
        <w:pStyle w:val="ListBullet"/>
        <w:spacing w:before="0" w:after="80" w:line="276" w:lineRule="auto"/>
      </w:pPr>
      <w:r>
        <w:rPr>
          <w:b/>
          <w:color w:val="9E2A4B"/>
        </w:rPr>
        <w:t xml:space="preserve">Disbursement Reconciliation: </w:t>
      </w:r>
      <w:r>
        <w:t>Matched total net pay register figures against electronic direct deposit clearing files, bank transfer records, and Intellecheck check register logs to confirm actual fund settlement.</w:t>
      </w:r>
    </w:p>
    <w:p>
      <w:pPr>
        <w:pStyle w:val="ListBullet"/>
        <w:spacing w:before="0" w:after="80" w:line="276" w:lineRule="auto"/>
      </w:pPr>
      <w:r>
        <w:rPr>
          <w:b/>
          <w:color w:val="9E2A4B"/>
        </w:rPr>
        <w:t xml:space="preserve">Financial Accounting Cut-Off Testing: </w:t>
      </w:r>
      <w:r>
        <w:t>Inspected post-year-end payroll runs, bank debit advisories, and general ledger journal entries immediately following fiscal year-end (June 30) to verify proper accounting cut-off and confirm that compensation costs were recorded in the correct fiscal period.</w:t>
      </w:r>
    </w:p>
    <w:p>
      <w:pPr>
        <w:pStyle w:val="ListBullet"/>
        <w:spacing w:before="0" w:after="80" w:line="276" w:lineRule="auto"/>
      </w:pPr>
      <w:r>
        <w:rPr>
          <w:b/>
          <w:color w:val="9E2A4B"/>
        </w:rPr>
        <w:t xml:space="preserve">Onboarding/Offboarding Verification (Joiners and Leavers): </w:t>
      </w:r>
      <w:r>
        <w:t>Audited onboarding and offboarding documentation for a sample of new hires (joiners) and separated staff (leavers) during the testing window. Verified that effective start and termination dates matched payroll activation and deactivation timestamps to prevent salary overstatements or understatements.</w:t>
      </w:r>
    </w:p>
    <w:p>
      <w:pPr>
        <w:pStyle w:val="ListBullet"/>
        <w:spacing w:before="0" w:after="80" w:line="276" w:lineRule="auto"/>
      </w:pPr>
      <w:r>
        <w:rPr>
          <w:b/>
          <w:color w:val="9E2A4B"/>
        </w:rPr>
        <w:t xml:space="preserve">Macro-Level Analytical Review: </w:t>
      </w:r>
      <w:r>
        <w:t>Conducted a comparative analytical review of total year-over-year payroll expenditures against prior-year baselines, adjusting for external economic factors (e.g., cost-of-living adjustments) and verified headcount shifts. Investigated all residual department-level variances exceeding established materiality thresholds (±5%).</w:t>
      </w:r>
    </w:p>
    <w:p>
      <w:pPr>
        <w:keepNext/>
        <w:spacing w:before="280" w:after="80"/>
      </w:pPr>
      <w:r>
        <w:rPr>
          <w:rFonts w:ascii="Calibri" w:hAnsi="Calibri"/>
          <w:b/>
          <w:color w:val="9E2A4B"/>
          <w:sz w:val="26"/>
        </w:rPr>
        <w:t>Audit Procedures for Employment Tax Accruals &amp; Liabilities</w:t>
      </w:r>
    </w:p>
    <w:p>
      <w:pPr>
        <w:spacing w:before="0" w:after="120" w:line="276" w:lineRule="auto"/>
      </w:pPr>
      <w:r>
        <w:t>To verify the completeness and valuation of year-end employment tax liabilities and payroll accrual accounts as of the June 30 fiscal year-end, Internal Audit executed the following step-by-step verification plan:</w:t>
      </w:r>
    </w:p>
    <w:p>
      <w:pPr>
        <w:pStyle w:val="ListBullet"/>
        <w:spacing w:before="0" w:after="80" w:line="276" w:lineRule="auto"/>
      </w:pPr>
      <w:r>
        <w:rPr>
          <w:b/>
          <w:color w:val="9E2A4B"/>
        </w:rPr>
        <w:t xml:space="preserve">1. Accrual Schedule Mathematical Verification: </w:t>
      </w:r>
      <w:r>
        <w:t>Secure the final fiscal period (June 30) employment tax accrual schedule from finance management. Recompute all footings and cross-totals to confirm mathematical accuracy.</w:t>
      </w:r>
    </w:p>
    <w:p>
      <w:pPr>
        <w:pStyle w:val="ListBullet"/>
        <w:spacing w:before="0" w:after="80" w:line="276" w:lineRule="auto"/>
      </w:pPr>
      <w:r>
        <w:rPr>
          <w:b/>
          <w:color w:val="9E2A4B"/>
        </w:rPr>
        <w:t xml:space="preserve">2. Reperformance of Tax Accrual Calculations: </w:t>
      </w:r>
      <w:r>
        <w:t>Reperform tax accrual calculations using final payroll period expense data (May/June). Apply current statutory tax rates derived from tax authority regulations and cross-reference results against general ledger accrued liability balances.</w:t>
      </w:r>
    </w:p>
    <w:p>
      <w:pPr>
        <w:pStyle w:val="ListBullet"/>
        <w:spacing w:before="0" w:after="80" w:line="276" w:lineRule="auto"/>
      </w:pPr>
      <w:r>
        <w:rPr>
          <w:b/>
          <w:color w:val="9E2A4B"/>
        </w:rPr>
        <w:t xml:space="preserve">3. Statutory Tax Rate Benchmark Validation: </w:t>
      </w:r>
      <w:r>
        <w:t>Cross-reference all applied statutory tax rates (FICA, FUTA, SUTA) against published state and federal tax authority documentation for the applicable tax year.</w:t>
      </w:r>
    </w:p>
    <w:p>
      <w:pPr>
        <w:pStyle w:val="ListBullet"/>
        <w:spacing w:before="0" w:after="80" w:line="276" w:lineRule="auto"/>
      </w:pPr>
      <w:r>
        <w:rPr>
          <w:b/>
          <w:color w:val="9E2A4B"/>
        </w:rPr>
        <w:t xml:space="preserve">4. Post-Year-End Settlement Verification: </w:t>
      </w:r>
      <w:r>
        <w:t>Inspect post-year-end (July/August) bank clearing statements, electronic federal tax payment system (EFTPS) receipts, and state tax filing confirmations to verify that accrued year-end tax liabilities were fully settled without late payment interest or penalties.</w:t>
      </w:r>
    </w:p>
    <w:p>
      <w:pPr>
        <w:pStyle w:val="ListBullet"/>
        <w:spacing w:before="0" w:after="80" w:line="276" w:lineRule="auto"/>
      </w:pPr>
      <w:r>
        <w:rPr>
          <w:b/>
          <w:color w:val="9E2A4B"/>
        </w:rPr>
        <w:t xml:space="preserve">5. GL Variance &amp; Journal Entry Analysis: </w:t>
      </w:r>
      <w:r>
        <w:t>Compare current fiscal year-end tax accrual balances against prior-year balances. Investigate unexpected variances and inspect general ledger accrual account journal entries to confirm the absence of unsupported non-payroll adjustments.</w:t>
      </w:r>
    </w:p>
    <w:p>
      <w:pPr>
        <w:pStyle w:val="ListBullet"/>
        <w:spacing w:before="0" w:after="80" w:line="276" w:lineRule="auto"/>
      </w:pPr>
      <w:r>
        <w:rPr>
          <w:b/>
          <w:color w:val="9E2A4B"/>
        </w:rPr>
        <w:t xml:space="preserve">6. Form W-2 and Tax Return Reconciliation: </w:t>
      </w:r>
      <w:r>
        <w:t>Reconcile total annual gross wages reported on Form W-2 master files against total general ledger payroll expense accounts and combined totals from all four quarterly IRS Form 941 filings.</w:t>
      </w:r>
    </w:p>
    <w:p>
      <w:pPr>
        <w:spacing w:before="0" w:after="120" w:line="276" w:lineRule="auto"/>
      </w:pPr>
      <w:r>
        <w:t>These substantive procedures provided the objective financial evidence necessary to formulate actionable management remediation roadmaps.</w:t>
      </w:r>
    </w:p>
    <w:p>
      <w:pPr>
        <w:keepNext/>
        <w:spacing w:before="360" w:after="120"/>
      </w:pPr>
      <w:r>
        <w:rPr>
          <w:rFonts w:ascii="Calibri" w:hAnsi="Calibri"/>
          <w:b/>
          <w:color w:val="1B4D3E"/>
          <w:sz w:val="32"/>
        </w:rPr>
        <w:t>5. Corrective Action Plans, Recommendations, and Audit Conclusion</w:t>
      </w:r>
    </w:p>
    <w:p>
      <w:pPr>
        <w:spacing w:before="0" w:after="120" w:line="276" w:lineRule="auto"/>
      </w:pPr>
      <w:r>
        <w:t>Internal audit value is realized through practical, cause-based recommendations and clear management ownership of corrective action plans that correct immediate control deficiencies and address systemic root causes.</w:t>
      </w:r>
    </w:p>
    <w:p>
      <w:pPr>
        <w:keepNext/>
        <w:spacing w:before="280" w:after="80"/>
      </w:pPr>
      <w:r>
        <w:rPr>
          <w:rFonts w:ascii="Calibri" w:hAnsi="Calibri"/>
          <w:b/>
          <w:color w:val="9E2A4B"/>
          <w:sz w:val="26"/>
        </w:rPr>
        <w:t>Actionable Remediation Framework</w:t>
      </w:r>
    </w:p>
    <w:p>
      <w:pPr>
        <w:spacing w:before="0" w:after="120" w:line="276" w:lineRule="auto"/>
      </w:pPr>
      <w:r>
        <w:t>Remediation initiatives are structured across two functional categories:</w:t>
      </w:r>
    </w:p>
    <w:p>
      <w:pPr>
        <w:keepNext/>
        <w:spacing w:before="200" w:after="40"/>
      </w:pPr>
      <w:r>
        <w:rPr>
          <w:rFonts w:ascii="Calibri" w:hAnsi="Calibri"/>
          <w:b/>
          <w:color w:val="1B4D3E"/>
          <w:sz w:val="22"/>
        </w:rPr>
        <w:t>Condition-Based Recommendations (Immediate Operational Corrections)</w:t>
      </w:r>
    </w:p>
    <w:p>
      <w:pPr>
        <w:pStyle w:val="ListBullet"/>
        <w:spacing w:before="0" w:after="80" w:line="276" w:lineRule="auto"/>
      </w:pPr>
      <w:r>
        <w:t>Execute immediate manual recalculation sampling on active system payroll runs, focusing on high-risk wage categories and manual pay adjustments.</w:t>
      </w:r>
    </w:p>
    <w:p>
      <w:pPr>
        <w:pStyle w:val="ListBullet"/>
        <w:spacing w:before="0" w:after="80" w:line="276" w:lineRule="auto"/>
      </w:pPr>
      <w:r>
        <w:t>Conduct an immediate audit matching active payroll registers against HR separation records to deactivate unremoved staff and initiate recovery procedures for post-separation overpayments.</w:t>
      </w:r>
    </w:p>
    <w:p>
      <w:pPr>
        <w:pStyle w:val="ListBullet"/>
        <w:spacing w:before="0" w:after="80" w:line="276" w:lineRule="auto"/>
      </w:pPr>
      <w:r>
        <w:t>Require immediate written change forms and secondary executive sign-offs for any manual modifications made to automated direct-deposit bank transfer schedules prior to bank transmission.</w:t>
      </w:r>
    </w:p>
    <w:p>
      <w:pPr>
        <w:keepNext/>
        <w:spacing w:before="200" w:after="40"/>
      </w:pPr>
      <w:r>
        <w:rPr>
          <w:rFonts w:ascii="Calibri" w:hAnsi="Calibri"/>
          <w:b/>
          <w:color w:val="1B4D3E"/>
          <w:sz w:val="22"/>
        </w:rPr>
        <w:t>Cause-Based Recommendations (Systemic &amp; Preventive Controls)</w:t>
      </w:r>
    </w:p>
    <w:p>
      <w:pPr>
        <w:pStyle w:val="ListBullet"/>
        <w:spacing w:before="0" w:after="80" w:line="276" w:lineRule="auto"/>
      </w:pPr>
      <w:r>
        <w:rPr>
          <w:b/>
          <w:color w:val="9E2A4B"/>
        </w:rPr>
        <w:t xml:space="preserve">Formal Delegation Governance: </w:t>
      </w:r>
      <w:r>
        <w:t>Publish and enforce a binding Delegation of Authority roster for every operating department, establishing authorized backup officers for overtime and timecard approvals during management absences. Require payroll clerks to verify delegation documentation prior to processing overtime payouts.</w:t>
      </w:r>
    </w:p>
    <w:p>
      <w:pPr>
        <w:pStyle w:val="ListBullet"/>
        <w:spacing w:before="0" w:after="80" w:line="276" w:lineRule="auto"/>
      </w:pPr>
      <w:r>
        <w:rPr>
          <w:b/>
          <w:color w:val="9E2A4B"/>
        </w:rPr>
        <w:t xml:space="preserve">Segregation of Duties &amp; Access Control Configuration: </w:t>
      </w:r>
      <w:r>
        <w:t>Reconfigure user access permissions within Banner. Remove administrative standing data update rights from payroll clerks. Require advance Change Request Forms signed by the Payroll Manager for parameter updates, supported by monthly automated change log reviews signed off by the Finance Director.</w:t>
      </w:r>
    </w:p>
    <w:p>
      <w:pPr>
        <w:pStyle w:val="ListBullet"/>
        <w:spacing w:before="0" w:after="80" w:line="276" w:lineRule="auto"/>
      </w:pPr>
      <w:r>
        <w:rPr>
          <w:b/>
          <w:color w:val="9E2A4B"/>
        </w:rPr>
        <w:t xml:space="preserve">Worker Misclassification Protocol: </w:t>
      </w:r>
      <w:r>
        <w:t>Implement a mandatory pre-engagement Worker Classification Checklist aligning with IRS 3-category tests and state ABC rules. Require Legal Counsel and HR Compliance sign-off before executing non-employee independent contractor agreements (≥$600).</w:t>
      </w:r>
    </w:p>
    <w:p>
      <w:pPr>
        <w:pStyle w:val="ListBullet"/>
        <w:spacing w:before="0" w:after="80" w:line="276" w:lineRule="auto"/>
      </w:pPr>
      <w:r>
        <w:rPr>
          <w:b/>
          <w:color w:val="9E2A4B"/>
        </w:rPr>
        <w:t xml:space="preserve">Policy &amp; SOP Modernization: </w:t>
      </w:r>
      <w:r>
        <w:t>Update organizational governance policies—specifically modernizing inter-departmental interface regulations such as Accounts Payable Invoices and Checks Regulation (REG-30.04.5) alongside dedicated Payroll Administration Policies and Overtime Guidelines—to explicitly define workflow permissions, enforce dual authorization, and eliminate single-user end-to-end processing.</w:t>
      </w:r>
    </w:p>
    <w:p>
      <w:pPr>
        <w:keepNext/>
        <w:spacing w:before="280" w:after="80"/>
      </w:pPr>
      <w:r>
        <w:rPr>
          <w:rFonts w:ascii="Calibri" w:hAnsi="Calibri"/>
          <w:b/>
          <w:color w:val="9E2A4B"/>
          <w:sz w:val="26"/>
        </w:rPr>
        <w:t>Management Action Plan (MAP) Table</w:t>
      </w:r>
    </w:p>
    <w:p>
      <w:pPr>
        <w:spacing w:before="0" w:after="120" w:line="276" w:lineRule="auto"/>
      </w:pPr>
      <w:r>
        <w:t>Management concurs with the audit findings and has committed to executing the following remediation roadmap: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4D3E"/>
            <w:tcMar>
              <w:top w:w="120" w:type="dxa"/>
              <w:bottom w:w="120" w:type="dxa"/>
              <w:left w:w="150" w:type="dxa"/>
              <w:right w:w="150" w:type="dxa"/>
            </w:tcMar>
          </w:tcPr>
          <w:p>
            <w:pPr>
              <w:jc w:val="left"/>
            </w:pPr>
            <w:r>
              <w:rPr>
                <w:b/>
                <w:color w:val="FFFFFF"/>
                <w:sz w:val="19"/>
              </w:rPr>
              <w:t>Finding &amp; Priority Ranking</w:t>
            </w:r>
          </w:p>
        </w:tc>
        <w:tc>
          <w:tcPr>
            <w:tcW w:type="dxa" w:w="3168"/>
            <w:shd w:fill="1B4D3E"/>
            <w:tcMar>
              <w:top w:w="120" w:type="dxa"/>
              <w:bottom w:w="120" w:type="dxa"/>
              <w:left w:w="150" w:type="dxa"/>
              <w:right w:w="150" w:type="dxa"/>
            </w:tcMar>
          </w:tcPr>
          <w:p>
            <w:pPr>
              <w:jc w:val="left"/>
            </w:pPr>
            <w:r>
              <w:rPr>
                <w:b/>
                <w:color w:val="FFFFFF"/>
                <w:sz w:val="19"/>
              </w:rPr>
              <w:t>Agreed Management Action Plan</w:t>
            </w:r>
          </w:p>
        </w:tc>
        <w:tc>
          <w:tcPr>
            <w:tcW w:type="dxa" w:w="2160"/>
            <w:shd w:fill="1B4D3E"/>
            <w:tcMar>
              <w:top w:w="120" w:type="dxa"/>
              <w:bottom w:w="120" w:type="dxa"/>
              <w:left w:w="150" w:type="dxa"/>
              <w:right w:w="150" w:type="dxa"/>
            </w:tcMar>
          </w:tcPr>
          <w:p>
            <w:pPr>
              <w:jc w:val="left"/>
            </w:pPr>
            <w:r>
              <w:rPr>
                <w:b/>
                <w:color w:val="FFFFFF"/>
                <w:sz w:val="19"/>
              </w:rPr>
              <w:t>Responsible Ownership Team / Individual</w:t>
            </w:r>
          </w:p>
        </w:tc>
        <w:tc>
          <w:tcPr>
            <w:tcW w:type="dxa" w:w="1872"/>
            <w:shd w:fill="1B4D3E"/>
            <w:tcMar>
              <w:top w:w="120" w:type="dxa"/>
              <w:bottom w:w="120" w:type="dxa"/>
              <w:left w:w="150" w:type="dxa"/>
              <w:right w:w="150" w:type="dxa"/>
            </w:tcMar>
          </w:tcPr>
          <w:p>
            <w:pPr>
              <w:jc w:val="left"/>
            </w:pPr>
            <w:r>
              <w:rPr>
                <w:b/>
                <w:color w:val="FFFFFF"/>
                <w:sz w:val="19"/>
              </w:rPr>
              <w:t>Mandatory Implementation Milestone Deadline</w:t>
            </w:r>
          </w:p>
        </w:tc>
      </w:tr>
      <w:tr>
        <w:tc>
          <w:tcPr>
            <w:tcW w:type="dxa" w:w="2160"/>
            <w:shd w:fill="FFFFFF"/>
            <w:tcMar>
              <w:top w:w="100" w:type="dxa"/>
              <w:bottom w:w="100" w:type="dxa"/>
              <w:left w:w="120" w:type="dxa"/>
              <w:right w:w="120" w:type="dxa"/>
            </w:tcMar>
          </w:tcPr>
          <w:p>
            <w:r>
              <w:rPr>
                <w:sz w:val="18"/>
              </w:rPr>
              <w:t>Finding 1: Unchecked Automated Wage Calculations</w:t>
              <w:br/>
              <w:t>(Priority 1)</w:t>
            </w:r>
          </w:p>
        </w:tc>
        <w:tc>
          <w:tcPr>
            <w:tcW w:type="dxa" w:w="3168"/>
            <w:shd w:fill="FFFFFF"/>
            <w:tcMar>
              <w:top w:w="100" w:type="dxa"/>
              <w:bottom w:w="100" w:type="dxa"/>
              <w:left w:w="120" w:type="dxa"/>
              <w:right w:w="120" w:type="dxa"/>
            </w:tcMar>
          </w:tcPr>
          <w:p>
            <w:r>
              <w:rPr>
                <w:sz w:val="18"/>
              </w:rPr>
              <w:t>Implement mandatory monthly manual recalculation sampling of automated gross pay outputs. Establish written SOPs requiring documented sign-offs on calculation samples prior to final payroll release.</w:t>
            </w:r>
          </w:p>
        </w:tc>
        <w:tc>
          <w:tcPr>
            <w:tcW w:type="dxa" w:w="2160"/>
            <w:shd w:fill="FFFFFF"/>
            <w:tcMar>
              <w:top w:w="100" w:type="dxa"/>
              <w:bottom w:w="100" w:type="dxa"/>
              <w:left w:w="120" w:type="dxa"/>
              <w:right w:w="120" w:type="dxa"/>
            </w:tcMar>
          </w:tcPr>
          <w:p>
            <w:r>
              <w:rPr>
                <w:sz w:val="18"/>
              </w:rPr>
              <w:t>Payroll Department Supervisor</w:t>
            </w:r>
          </w:p>
        </w:tc>
        <w:tc>
          <w:tcPr>
            <w:tcW w:type="dxa" w:w="1872"/>
            <w:shd w:fill="FFFFFF"/>
            <w:tcMar>
              <w:top w:w="100" w:type="dxa"/>
              <w:bottom w:w="100" w:type="dxa"/>
              <w:left w:w="120" w:type="dxa"/>
              <w:right w:w="120" w:type="dxa"/>
            </w:tcMar>
          </w:tcPr>
          <w:p>
            <w:r>
              <w:rPr>
                <w:sz w:val="18"/>
              </w:rPr>
              <w:t>90 Days</w:t>
              <w:br/>
              <w:t>(Phase 1: SOP Draft &amp; Testing; Requires Audit Committee Sign-Off)</w:t>
            </w:r>
          </w:p>
        </w:tc>
      </w:tr>
      <w:tr>
        <w:tc>
          <w:tcPr>
            <w:tcW w:type="dxa" w:w="2160"/>
            <w:shd w:fill="F9EBEA"/>
            <w:tcMar>
              <w:top w:w="100" w:type="dxa"/>
              <w:bottom w:w="100" w:type="dxa"/>
              <w:left w:w="120" w:type="dxa"/>
              <w:right w:w="120" w:type="dxa"/>
            </w:tcMar>
          </w:tcPr>
          <w:p>
            <w:r>
              <w:rPr>
                <w:sz w:val="18"/>
              </w:rPr>
              <w:t>Finding 2: Inconsistent Overtime Authorization Controls</w:t>
              <w:br/>
              <w:t>(Priority 1)</w:t>
            </w:r>
          </w:p>
        </w:tc>
        <w:tc>
          <w:tcPr>
            <w:tcW w:type="dxa" w:w="3168"/>
            <w:shd w:fill="F9EBEA"/>
            <w:tcMar>
              <w:top w:w="100" w:type="dxa"/>
              <w:bottom w:w="100" w:type="dxa"/>
              <w:left w:w="120" w:type="dxa"/>
              <w:right w:w="120" w:type="dxa"/>
            </w:tcMar>
          </w:tcPr>
          <w:p>
            <w:r>
              <w:rPr>
                <w:sz w:val="18"/>
              </w:rPr>
              <w:t>Publish formal departmental Delegation of Authority rosters for management absences. Reconfigure timekeeping workflows to remove the 30% bypass rule and enforce 100% supervisory pre-approval.</w:t>
            </w:r>
          </w:p>
        </w:tc>
        <w:tc>
          <w:tcPr>
            <w:tcW w:type="dxa" w:w="2160"/>
            <w:shd w:fill="F9EBEA"/>
            <w:tcMar>
              <w:top w:w="100" w:type="dxa"/>
              <w:bottom w:w="100" w:type="dxa"/>
              <w:left w:w="120" w:type="dxa"/>
              <w:right w:w="120" w:type="dxa"/>
            </w:tcMar>
          </w:tcPr>
          <w:p>
            <w:r>
              <w:rPr>
                <w:sz w:val="18"/>
              </w:rPr>
              <w:t>HR Compliance Manager &amp; Operating Department Heads</w:t>
            </w:r>
          </w:p>
        </w:tc>
        <w:tc>
          <w:tcPr>
            <w:tcW w:type="dxa" w:w="1872"/>
            <w:shd w:fill="F9EBEA"/>
            <w:tcMar>
              <w:top w:w="100" w:type="dxa"/>
              <w:bottom w:w="100" w:type="dxa"/>
              <w:left w:w="120" w:type="dxa"/>
              <w:right w:w="120" w:type="dxa"/>
            </w:tcMar>
          </w:tcPr>
          <w:p>
            <w:r>
              <w:rPr>
                <w:sz w:val="18"/>
              </w:rPr>
              <w:t>90 Days</w:t>
              <w:br/>
              <w:t>(Phase 1: System Workflow Reconfiguration)</w:t>
            </w:r>
          </w:p>
        </w:tc>
      </w:tr>
      <w:tr>
        <w:tc>
          <w:tcPr>
            <w:tcW w:type="dxa" w:w="2160"/>
            <w:shd w:fill="FFFFFF"/>
            <w:tcMar>
              <w:top w:w="100" w:type="dxa"/>
              <w:bottom w:w="100" w:type="dxa"/>
              <w:left w:w="120" w:type="dxa"/>
              <w:right w:w="120" w:type="dxa"/>
            </w:tcMar>
          </w:tcPr>
          <w:p>
            <w:r>
              <w:rPr>
                <w:sz w:val="18"/>
              </w:rPr>
              <w:t>Finding 3: Unapproved Bank Transfer Modifications</w:t>
              <w:br/>
              <w:t>(Priority 1)</w:t>
            </w:r>
          </w:p>
        </w:tc>
        <w:tc>
          <w:tcPr>
            <w:tcW w:type="dxa" w:w="3168"/>
            <w:shd w:fill="FFFFFF"/>
            <w:tcMar>
              <w:top w:w="100" w:type="dxa"/>
              <w:bottom w:w="100" w:type="dxa"/>
              <w:left w:w="120" w:type="dxa"/>
              <w:right w:w="120" w:type="dxa"/>
            </w:tcMar>
          </w:tcPr>
          <w:p>
            <w:r>
              <w:rPr>
                <w:sz w:val="18"/>
              </w:rPr>
              <w:t>Enforce secondary approval and written change authorization forms for any manual edits to automated bank lists. Retain change forms in an independent audit trail file.</w:t>
            </w:r>
          </w:p>
        </w:tc>
        <w:tc>
          <w:tcPr>
            <w:tcW w:type="dxa" w:w="2160"/>
            <w:shd w:fill="FFFFFF"/>
            <w:tcMar>
              <w:top w:w="100" w:type="dxa"/>
              <w:bottom w:w="100" w:type="dxa"/>
              <w:left w:w="120" w:type="dxa"/>
              <w:right w:w="120" w:type="dxa"/>
            </w:tcMar>
          </w:tcPr>
          <w:p>
            <w:r>
              <w:rPr>
                <w:sz w:val="18"/>
              </w:rPr>
              <w:t>Finance Director &amp; Disbursement Manager</w:t>
            </w:r>
          </w:p>
        </w:tc>
        <w:tc>
          <w:tcPr>
            <w:tcW w:type="dxa" w:w="1872"/>
            <w:shd w:fill="FFFFFF"/>
            <w:tcMar>
              <w:top w:w="100" w:type="dxa"/>
              <w:bottom w:w="100" w:type="dxa"/>
              <w:left w:w="120" w:type="dxa"/>
              <w:right w:w="120" w:type="dxa"/>
            </w:tcMar>
          </w:tcPr>
          <w:p>
            <w:r>
              <w:rPr>
                <w:sz w:val="18"/>
              </w:rPr>
              <w:t>90 Days</w:t>
              <w:br/>
              <w:t>(Phase 1: Dual-Control Gateway Activation)</w:t>
            </w:r>
          </w:p>
        </w:tc>
      </w:tr>
      <w:tr>
        <w:tc>
          <w:tcPr>
            <w:tcW w:type="dxa" w:w="2160"/>
            <w:shd w:fill="F9EBEA"/>
            <w:tcMar>
              <w:top w:w="100" w:type="dxa"/>
              <w:bottom w:w="100" w:type="dxa"/>
              <w:left w:w="120" w:type="dxa"/>
              <w:right w:w="120" w:type="dxa"/>
            </w:tcMar>
          </w:tcPr>
          <w:p>
            <w:r>
              <w:rPr>
                <w:sz w:val="18"/>
              </w:rPr>
              <w:t>Finding 4: Unrestricted System Standing Data Updates</w:t>
              <w:br/>
              <w:t>(Priority 1)</w:t>
            </w:r>
          </w:p>
        </w:tc>
        <w:tc>
          <w:tcPr>
            <w:tcW w:type="dxa" w:w="3168"/>
            <w:shd w:fill="F9EBEA"/>
            <w:tcMar>
              <w:top w:w="100" w:type="dxa"/>
              <w:bottom w:w="100" w:type="dxa"/>
              <w:left w:w="120" w:type="dxa"/>
              <w:right w:w="120" w:type="dxa"/>
            </w:tcMar>
          </w:tcPr>
          <w:p>
            <w:r>
              <w:rPr>
                <w:sz w:val="18"/>
              </w:rPr>
              <w:t>Restrict Banner user permissions to enforce segregation of duties. Require formal Change Request Forms for parameter updates and institute monthly executive sign-offs on system audit logs.</w:t>
            </w:r>
          </w:p>
        </w:tc>
        <w:tc>
          <w:tcPr>
            <w:tcW w:type="dxa" w:w="2160"/>
            <w:shd w:fill="F9EBEA"/>
            <w:tcMar>
              <w:top w:w="100" w:type="dxa"/>
              <w:bottom w:w="100" w:type="dxa"/>
              <w:left w:w="120" w:type="dxa"/>
              <w:right w:w="120" w:type="dxa"/>
            </w:tcMar>
          </w:tcPr>
          <w:p>
            <w:r>
              <w:rPr>
                <w:sz w:val="18"/>
              </w:rPr>
              <w:t>IT System Administrator &amp; Payroll Manager</w:t>
            </w:r>
          </w:p>
        </w:tc>
        <w:tc>
          <w:tcPr>
            <w:tcW w:type="dxa" w:w="1872"/>
            <w:shd w:fill="F9EBEA"/>
            <w:tcMar>
              <w:top w:w="100" w:type="dxa"/>
              <w:bottom w:w="100" w:type="dxa"/>
              <w:left w:w="120" w:type="dxa"/>
              <w:right w:w="120" w:type="dxa"/>
            </w:tcMar>
          </w:tcPr>
          <w:p>
            <w:r>
              <w:rPr>
                <w:sz w:val="18"/>
              </w:rPr>
              <w:t>90 Days</w:t>
              <w:br/>
              <w:t>(Phase 1: RBAC Access Matrix Audit &amp; Revocation)</w:t>
            </w:r>
          </w:p>
        </w:tc>
      </w:tr>
      <w:tr>
        <w:tc>
          <w:tcPr>
            <w:tcW w:type="dxa" w:w="2160"/>
            <w:shd w:fill="FFFFFF"/>
            <w:tcMar>
              <w:top w:w="100" w:type="dxa"/>
              <w:bottom w:w="100" w:type="dxa"/>
              <w:left w:w="120" w:type="dxa"/>
              <w:right w:w="120" w:type="dxa"/>
            </w:tcMar>
          </w:tcPr>
          <w:p>
            <w:r>
              <w:rPr>
                <w:sz w:val="18"/>
              </w:rPr>
              <w:t>Finding 5: Worker Misclassification Exposures</w:t>
              <w:br/>
              <w:t>(Priority 1)</w:t>
            </w:r>
          </w:p>
        </w:tc>
        <w:tc>
          <w:tcPr>
            <w:tcW w:type="dxa" w:w="3168"/>
            <w:shd w:fill="FFFFFF"/>
            <w:tcMar>
              <w:top w:w="100" w:type="dxa"/>
              <w:bottom w:w="100" w:type="dxa"/>
              <w:left w:w="120" w:type="dxa"/>
              <w:right w:w="120" w:type="dxa"/>
            </w:tcMar>
          </w:tcPr>
          <w:p>
            <w:r>
              <w:rPr>
                <w:sz w:val="18"/>
              </w:rPr>
              <w:t>Implement a mandatory pre-engagement Worker Classification Checklist aligning with IRS and state ABC rules. Require HR/Legal sign-off for all Form 1099-NEC contractor agreements (≥$600).</w:t>
            </w:r>
          </w:p>
        </w:tc>
        <w:tc>
          <w:tcPr>
            <w:tcW w:type="dxa" w:w="2160"/>
            <w:shd w:fill="FFFFFF"/>
            <w:tcMar>
              <w:top w:w="100" w:type="dxa"/>
              <w:bottom w:w="100" w:type="dxa"/>
              <w:left w:w="120" w:type="dxa"/>
              <w:right w:w="120" w:type="dxa"/>
            </w:tcMar>
          </w:tcPr>
          <w:p>
            <w:r>
              <w:rPr>
                <w:sz w:val="18"/>
              </w:rPr>
              <w:t>Legal Counsel &amp; HR Compliance Manager</w:t>
            </w:r>
          </w:p>
        </w:tc>
        <w:tc>
          <w:tcPr>
            <w:tcW w:type="dxa" w:w="1872"/>
            <w:shd w:fill="FFFFFF"/>
            <w:tcMar>
              <w:top w:w="100" w:type="dxa"/>
              <w:bottom w:w="100" w:type="dxa"/>
              <w:left w:w="120" w:type="dxa"/>
              <w:right w:w="120" w:type="dxa"/>
            </w:tcMar>
          </w:tcPr>
          <w:p>
            <w:r>
              <w:rPr>
                <w:sz w:val="18"/>
              </w:rPr>
              <w:t>90 Days</w:t>
              <w:br/>
              <w:t>(Phase 1: Form Rollout &amp; Departmental Training)</w:t>
            </w:r>
          </w:p>
        </w:tc>
      </w:tr>
      <w:tr>
        <w:tc>
          <w:tcPr>
            <w:tcW w:type="dxa" w:w="2160"/>
            <w:shd w:fill="F9EBEA"/>
            <w:tcMar>
              <w:top w:w="100" w:type="dxa"/>
              <w:bottom w:w="100" w:type="dxa"/>
              <w:left w:w="120" w:type="dxa"/>
              <w:right w:w="120" w:type="dxa"/>
            </w:tcMar>
          </w:tcPr>
          <w:p>
            <w:r>
              <w:rPr>
                <w:sz w:val="18"/>
              </w:rPr>
              <w:t>Finding 6: Delayed Removal of Terminated Employees</w:t>
              <w:br/>
              <w:t>(Priority 2)</w:t>
            </w:r>
          </w:p>
        </w:tc>
        <w:tc>
          <w:tcPr>
            <w:tcW w:type="dxa" w:w="3168"/>
            <w:shd w:fill="F9EBEA"/>
            <w:tcMar>
              <w:top w:w="100" w:type="dxa"/>
              <w:bottom w:w="100" w:type="dxa"/>
              <w:left w:w="120" w:type="dxa"/>
              <w:right w:w="120" w:type="dxa"/>
            </w:tcMar>
          </w:tcPr>
          <w:p>
            <w:r>
              <w:rPr>
                <w:sz w:val="18"/>
              </w:rPr>
              <w:t>Deploy an automated HR-to-Payroll termination integration within Banner to trigger immediate payroll deactivation upon HR separation entry.</w:t>
            </w:r>
          </w:p>
        </w:tc>
        <w:tc>
          <w:tcPr>
            <w:tcW w:type="dxa" w:w="2160"/>
            <w:shd w:fill="F9EBEA"/>
            <w:tcMar>
              <w:top w:w="100" w:type="dxa"/>
              <w:bottom w:w="100" w:type="dxa"/>
              <w:left w:w="120" w:type="dxa"/>
              <w:right w:w="120" w:type="dxa"/>
            </w:tcMar>
          </w:tcPr>
          <w:p>
            <w:r>
              <w:rPr>
                <w:sz w:val="18"/>
              </w:rPr>
              <w:t>Human Resources &amp; IT Systems Team</w:t>
            </w:r>
          </w:p>
        </w:tc>
        <w:tc>
          <w:tcPr>
            <w:tcW w:type="dxa" w:w="1872"/>
            <w:shd w:fill="F9EBEA"/>
            <w:tcMar>
              <w:top w:w="100" w:type="dxa"/>
              <w:bottom w:w="100" w:type="dxa"/>
              <w:left w:w="120" w:type="dxa"/>
              <w:right w:w="120" w:type="dxa"/>
            </w:tcMar>
          </w:tcPr>
          <w:p>
            <w:r>
              <w:rPr>
                <w:sz w:val="18"/>
              </w:rPr>
              <w:t>120 Days</w:t>
              <w:br/>
              <w:t>(Phase 2: System Integration &amp; Workflow Testing)</w:t>
            </w:r>
          </w:p>
        </w:tc>
      </w:tr>
      <w:tr>
        <w:tc>
          <w:tcPr>
            <w:tcW w:type="dxa" w:w="2160"/>
            <w:shd w:fill="FFFFFF"/>
            <w:tcMar>
              <w:top w:w="100" w:type="dxa"/>
              <w:bottom w:w="100" w:type="dxa"/>
              <w:left w:w="120" w:type="dxa"/>
              <w:right w:w="120" w:type="dxa"/>
            </w:tcMar>
          </w:tcPr>
          <w:p>
            <w:r>
              <w:rPr>
                <w:sz w:val="18"/>
              </w:rPr>
              <w:t>Finding 7: Inadequate Timekeeping &amp; Leave Oversight</w:t>
              <w:br/>
              <w:t>(Priority 2)</w:t>
            </w:r>
          </w:p>
        </w:tc>
        <w:tc>
          <w:tcPr>
            <w:tcW w:type="dxa" w:w="3168"/>
            <w:shd w:fill="FFFFFF"/>
            <w:tcMar>
              <w:top w:w="100" w:type="dxa"/>
              <w:bottom w:w="100" w:type="dxa"/>
              <w:left w:w="120" w:type="dxa"/>
              <w:right w:w="120" w:type="dxa"/>
            </w:tcMar>
          </w:tcPr>
          <w:p>
            <w:r>
              <w:rPr>
                <w:sz w:val="18"/>
              </w:rPr>
              <w:t>Implement enhanced automated time, attendance, and scheduling software featuring automated leave anomaly tracking and overtime alert thresholds.</w:t>
            </w:r>
          </w:p>
        </w:tc>
        <w:tc>
          <w:tcPr>
            <w:tcW w:type="dxa" w:w="2160"/>
            <w:shd w:fill="FFFFFF"/>
            <w:tcMar>
              <w:top w:w="100" w:type="dxa"/>
              <w:bottom w:w="100" w:type="dxa"/>
              <w:left w:w="120" w:type="dxa"/>
              <w:right w:w="120" w:type="dxa"/>
            </w:tcMar>
          </w:tcPr>
          <w:p>
            <w:r>
              <w:rPr>
                <w:sz w:val="18"/>
              </w:rPr>
              <w:t>HR Operations &amp; Payroll Office</w:t>
            </w:r>
          </w:p>
        </w:tc>
        <w:tc>
          <w:tcPr>
            <w:tcW w:type="dxa" w:w="1872"/>
            <w:shd w:fill="FFFFFF"/>
            <w:tcMar>
              <w:top w:w="100" w:type="dxa"/>
              <w:bottom w:w="100" w:type="dxa"/>
              <w:left w:w="120" w:type="dxa"/>
              <w:right w:w="120" w:type="dxa"/>
            </w:tcMar>
          </w:tcPr>
          <w:p>
            <w:r>
              <w:rPr>
                <w:sz w:val="18"/>
              </w:rPr>
              <w:t>120 Days</w:t>
              <w:br/>
              <w:t>(Phase 2: Software Deployment &amp; Supervisor Training)</w:t>
            </w:r>
          </w:p>
        </w:tc>
      </w:tr>
      <w:tr>
        <w:tc>
          <w:tcPr>
            <w:tcW w:type="dxa" w:w="2160"/>
            <w:shd w:fill="F9EBEA"/>
            <w:tcMar>
              <w:top w:w="100" w:type="dxa"/>
              <w:bottom w:w="100" w:type="dxa"/>
              <w:left w:w="120" w:type="dxa"/>
              <w:right w:w="120" w:type="dxa"/>
            </w:tcMar>
          </w:tcPr>
          <w:p>
            <w:r>
              <w:rPr>
                <w:sz w:val="18"/>
              </w:rPr>
              <w:t>Finding 8: Routine Policy Refresh &amp; File Archiving</w:t>
              <w:br/>
              <w:t>(Priority 3)</w:t>
            </w:r>
          </w:p>
        </w:tc>
        <w:tc>
          <w:tcPr>
            <w:tcW w:type="dxa" w:w="3168"/>
            <w:shd w:fill="F9EBEA"/>
            <w:tcMar>
              <w:top w:w="100" w:type="dxa"/>
              <w:bottom w:w="100" w:type="dxa"/>
              <w:left w:w="120" w:type="dxa"/>
              <w:right w:w="120" w:type="dxa"/>
            </w:tcMar>
          </w:tcPr>
          <w:p>
            <w:r>
              <w:rPr>
                <w:sz w:val="18"/>
              </w:rPr>
              <w:t>Establish an annual policy refresh schedule and standard operating procedure for personnel file archiving and retention compliance.</w:t>
            </w:r>
          </w:p>
        </w:tc>
        <w:tc>
          <w:tcPr>
            <w:tcW w:type="dxa" w:w="2160"/>
            <w:shd w:fill="F9EBEA"/>
            <w:tcMar>
              <w:top w:w="100" w:type="dxa"/>
              <w:bottom w:w="100" w:type="dxa"/>
              <w:left w:w="120" w:type="dxa"/>
              <w:right w:w="120" w:type="dxa"/>
            </w:tcMar>
          </w:tcPr>
          <w:p>
            <w:r>
              <w:rPr>
                <w:sz w:val="18"/>
              </w:rPr>
              <w:t>Compliance Specialist &amp; HR Records Manager</w:t>
            </w:r>
          </w:p>
        </w:tc>
        <w:tc>
          <w:tcPr>
            <w:tcW w:type="dxa" w:w="1872"/>
            <w:shd w:fill="F9EBEA"/>
            <w:tcMar>
              <w:top w:w="100" w:type="dxa"/>
              <w:bottom w:w="100" w:type="dxa"/>
              <w:left w:w="120" w:type="dxa"/>
              <w:right w:w="120" w:type="dxa"/>
            </w:tcMar>
          </w:tcPr>
          <w:p>
            <w:r>
              <w:rPr>
                <w:sz w:val="18"/>
              </w:rPr>
              <w:t>180 Days</w:t>
              <w:br/>
              <w:t>(Phase 3: Annual Governance Review &amp; Archival Audit)</w:t>
            </w:r>
          </w:p>
        </w:tc>
      </w:tr>
    </w:tbl>
    <w:p>
      <w:pPr>
        <w:keepNext/>
        <w:spacing w:before="280" w:after="80"/>
      </w:pPr>
      <w:r>
        <w:rPr>
          <w:rFonts w:ascii="Calibri" w:hAnsi="Calibri"/>
          <w:b/>
          <w:color w:val="9E2A4B"/>
          <w:sz w:val="26"/>
        </w:rPr>
        <w:t>Distribution List &amp; Final Audit Opinion</w:t>
      </w:r>
    </w:p>
    <w:p>
      <w:pPr>
        <w:keepNext/>
        <w:spacing w:before="200" w:after="40"/>
      </w:pPr>
      <w:r>
        <w:rPr>
          <w:rFonts w:ascii="Calibri" w:hAnsi="Calibri"/>
          <w:b/>
          <w:color w:val="1B4D3E"/>
          <w:sz w:val="22"/>
        </w:rPr>
        <w:t>Report Distribution List</w:t>
      </w:r>
    </w:p>
    <w:p>
      <w:pPr>
        <w:spacing w:before="0" w:after="120" w:line="276" w:lineRule="auto"/>
      </w:pPr>
      <w:r>
        <w:t>In accordance with Chief Audit Executive (CAE) distribution protocols and IIA professional standards, this final audit report is formally distributed to:</w:t>
      </w:r>
    </w:p>
    <w:p>
      <w:pPr>
        <w:pStyle w:val="ListBullet"/>
        <w:spacing w:before="0" w:after="80" w:line="276" w:lineRule="auto"/>
      </w:pPr>
      <w:r>
        <w:rPr>
          <w:b/>
          <w:color w:val="9E2A4B"/>
        </w:rPr>
        <w:t xml:space="preserve">Chief Executive Officer / Chancellor: </w:t>
      </w:r>
      <w:r>
        <w:t>Executive Leadership &amp; Governance</w:t>
      </w:r>
    </w:p>
    <w:p>
      <w:pPr>
        <w:pStyle w:val="ListBullet"/>
        <w:spacing w:before="0" w:after="80" w:line="276" w:lineRule="auto"/>
      </w:pPr>
      <w:r>
        <w:rPr>
          <w:b/>
          <w:color w:val="9E2A4B"/>
        </w:rPr>
        <w:t xml:space="preserve">Chief Financial Officer &amp; Vice Chancellor for Admin &amp; Finance: </w:t>
      </w:r>
      <w:r>
        <w:t>Financial Operations Executive Ownership</w:t>
      </w:r>
    </w:p>
    <w:p>
      <w:pPr>
        <w:pStyle w:val="ListBullet"/>
        <w:spacing w:before="0" w:after="80" w:line="276" w:lineRule="auto"/>
      </w:pPr>
      <w:r>
        <w:t>Chair, Audit Committee of the Board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