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WEEK 3: CRITICAL ANALYSIS AND SYNTHESIS OF MEDICAL LITERATURE</w:t>
      </w:r>
    </w:p>
    <w:p>
      <w:pPr>
        <w:jc w:val="center"/>
      </w:pPr>
      <w:r>
        <w:rPr>
          <w:rFonts w:ascii="Times New Roman" w:hAnsi="Times New Roman"/>
          <w:b/>
          <w:sz w:val="28"/>
        </w:rPr>
        <w:t>ANTIBIOTIC RESISTANCE: EVIDENCE, DRIVERS, AND PRIORITIES FOR ACTION</w:t>
      </w:r>
    </w:p>
    <w:p>
      <w:pPr>
        <w:jc w:val="center"/>
      </w:pPr>
      <w:r>
        <w:rPr>
          <w:i/>
        </w:rPr>
        <w:t>Vancouver citation style | Literature review and critical synthesis</w:t>
      </w:r>
    </w:p>
    <w:p>
      <w:pPr>
        <w:pStyle w:val="Heading1"/>
      </w:pPr>
      <w:r>
        <w:t>Abstract</w:t>
      </w:r>
    </w:p>
    <w:p>
      <w:r>
        <w:t>Antibiotic resistance occurs when bacteria acquire or develop mechanisms that reduce the effectiveness of medicines used to treat bacterial infections. It threatens routine clinical care, increases treatment complexity and cost, and disproportionately harms settings where diagnostic and infection-prevention capacity is limited. This critical review synthesises open-access peer-reviewed literature on the burden, biological mechanisms, drivers, measurement challenges, and interventions relevant to antibiotic resistance. A transparent, focused search was undertaken using PubMed Central, PubMed-indexed records, journal websites, and the World Health Organization (WHO) as a source of surveillance context. Priority was given to free full-text systematic analyses, reviews, surveillance studies, and intervention evaluations. The Global Research on Antimicrobial Resistance (GRAM) analysis estimated 1.27 million deaths attributable to bacterial antimicrobial resistance (AMR) and 4.95 million deaths associated with it in 2019, while emphasising uncertainty and substantial regional data gaps [1]. These two estimates answer different counterfactual questions and should not be treated as interchangeable. Literature on antibiotic consumption, prescribing, infection prevention, agriculture, and the antibiotic development pipeline indicates that resistance is a systems problem rather than the result of individual misuse alone [2-7]. Evidence supports stewardship, vaccination, sanitation, rapid diagnostics, surveillance, and equitable access to effective treatment as complementary measures. However, intervention effects vary by setting, and restrictions that reduce inappropriate use can cause harm if they also delay necessary treatment. Major gaps include weak microbiology coverage in many low- and middle-income countries, inconsistent consumption data, limited evaluation of community-level interventions, and inadequate incentives for antibiotic innovation. The review concludes that effective policy must combine conservation of existing antibiotics with prevention of infection, reliable diagnosis, and access to appropriate treatment.</w:t>
      </w:r>
    </w:p>
    <w:p>
      <w:pPr>
        <w:pStyle w:val="Heading1"/>
      </w:pPr>
      <w:r>
        <w:t>1. Introduction</w:t>
      </w:r>
    </w:p>
    <w:p>
      <w:r>
        <w:t>Antibiotics transformed medicine by making many previously lethal bacterial infections treatable and enabling procedures such as major surgery, organ transplantation, cancer chemotherapy, and neonatal intensive care. Their effectiveness, however, is biologically vulnerable. Bacterial populations reproduce rapidly, vary genetically, and can exchange resistance genes. When antibiotic exposure gives resistant organisms a survival advantage, susceptible bacteria are suppressed while resistant variants persist and spread. Antibiotic resistance is therefore an evolutionary process accelerated by avoidable exposure, but it is also shaped by infection transmission, sanitation, diagnostic access, healthcare quality, animal production, pharmaceutical markets, and public policy [2,3].</w:t>
      </w:r>
    </w:p>
    <w:p>
      <w:r>
        <w:t>The terms antibiotic resistance and antimicrobial resistance are related but not identical. Antibiotic resistance refers specifically to bacteria resisting antibacterial drugs. Antimicrobial resistance (AMR) is broader and includes resistance in bacteria, viruses, fungi, and parasites. This review focuses on bacterial antibiotic resistance, while using AMR where a cited study reports the broader concept. Precision matters because estimates and interventions that include tuberculosis, fungi, or non-bacterial pathogens cannot automatically be interpreted as estimates of common bacterial infections.</w:t>
      </w:r>
    </w:p>
    <w:p>
      <w:r>
        <w:t>The topic is especially important because resistance can undermine both individual treatment and health-system resilience. A resistant urinary tract infection may require more toxic or expensive therapy; resistant bloodstream infection can progress rapidly to sepsis; and resistant organisms can circulate in hospitals and communities. The problem is not simply that all antibiotics are becoming ineffective everywhere. Resistance differs by organism, drug, syndrome, country, and time. The appropriate response consequently requires reliable local surveillance and targeted interventions rather than a single global prescription.</w:t>
      </w:r>
    </w:p>
    <w:p>
      <w:pPr>
        <w:pStyle w:val="Heading1"/>
      </w:pPr>
      <w:r>
        <w:t>2. Aim and review questions</w:t>
      </w:r>
    </w:p>
    <w:p>
      <w:r>
        <w:t>The aim of this assignment is to critically evaluate and synthesise accessible medical literature on antibiotic resistance. The review addresses five questions: (1) What is the estimated health burden and how certain are those estimates? (2) Which biological and social processes drive resistance? (3) What are the strengths and limitations of major evidence sources? (4) Which interventions are supported, and where do findings or implementation priorities differ? (5) What research and policy gaps should guide future work?</w:t>
      </w:r>
    </w:p>
    <w:p>
      <w:pPr>
        <w:pStyle w:val="Heading1"/>
      </w:pPr>
      <w:r>
        <w:t>3. Search methodology</w:t>
      </w:r>
    </w:p>
    <w:p>
      <w:pPr>
        <w:pStyle w:val="Heading2"/>
      </w:pPr>
      <w:r>
        <w:t>3.1 Sources and search strategy</w:t>
      </w:r>
    </w:p>
    <w:p>
      <w:r>
        <w:t>A focused literature search was designed to be transparent and reproducible. Sources consulted included PubMed/Medline records, PubMed Central (PMC) for free full-text versions, publisher pages for article metadata and abstracts, and WHO publications for current surveillance context. Search concepts were combined using Boolean operators. Example search strings were: ("antibiotic resistance" OR "antimicrobial resistance") AND ("global burden" OR mortality OR DALYs); (antibiotic* AND resistance AND (stewardship OR prescribing OR consumption)); (antimicrobial resistance AND (infection prevention OR sanitation OR vaccination)); and (antibiotic resistance AND (surveillance OR low-income countries OR India)). Reference lists of high-value reviews and major analyses were checked to identify foundational papers.</w:t>
      </w:r>
    </w:p>
    <w:p>
      <w:pPr>
        <w:pStyle w:val="Heading2"/>
      </w:pPr>
      <w:r>
        <w:t>3.2 Eligibility criteria</w:t>
      </w:r>
    </w:p>
    <w:p>
      <w:r>
        <w:t>Priority was given to peer-reviewed original research, systematic analyses, systematic reviews, and influential clinical or public-health reviews with a clearly described evidence base. Articles were prioritised if a free full-text version was available through PMC or an open-access journal. Studies were eligible if they addressed bacterial resistance burden, antibiotic consumption, prescribing, mechanisms, stewardship, infection prevention, surveillance, or antibiotic development. WHO surveillance reports were used only to contextualise current monitoring and were not counted as peer-reviewed journal articles. Opinion pieces without a clear evidentiary basis, duplicate records, and papers focused solely on non-bacterial pathogens were not used as core evidence.</w:t>
      </w:r>
    </w:p>
    <w:p>
      <w:pPr>
        <w:pStyle w:val="Heading2"/>
      </w:pPr>
      <w:r>
        <w:t>3.3 Screening and appraisal</w:t>
      </w:r>
    </w:p>
    <w:p>
      <w:r>
        <w:t>Titles and abstracts were screened for relevance to the review questions, followed by examination of full-text methods, results, limitations, and conclusions where available. Evidence was appraised narratively rather than pooled statistically because the selected papers used different populations, outcomes, time periods, and designs. For modelling studies, appraisal considered data coverage, counterfactual definitions, uncertainty intervals, and dependence on assumptions. For observational studies, attention was paid to confounding, representativeness, and whether associations could support causal conclusions. For reviews, the focus was on search transparency, breadth, and the distinction between evidence and policy recommendations. This was a focused educational review, not a registered systematic review; no formal PRISMA flow diagram, duplicate independent screening, or quantitative risk-of-bias tool was used. That limitation should be considered when interpreting completeness.</w:t>
      </w:r>
    </w:p>
    <w:p>
      <w:pPr>
        <w:pStyle w:val="Heading1"/>
      </w:pPr>
      <w:r>
        <w:t>4. Overview of the evidence base</w:t>
      </w:r>
    </w:p>
    <w:p>
      <w:r>
        <w:t>The selected evidence includes a global burden modelling analysis, reviews of resistance mechanisms and drivers, work on antibiotic consumption, and literature on stewardship and prevention [1-7]. The papers answer different questions. Global models estimate population-level burden but depend on the quality and completeness of their inputs. Consumption studies describe exposure patterns but do not alone prove that a specific prescription caused resistance. Reviews integrate broad evidence but may be vulnerable to differences in inclusion criteria and the maturity of evidence for particular interventions. A sound synthesis must therefore distinguish descriptive findings, modelled estimates, causal evidence, and expert interpretation.</w:t>
      </w:r>
    </w:p>
    <w:p>
      <w:pPr>
        <w:pStyle w:val="Heading1"/>
      </w:pPr>
      <w:r>
        <w:t>5. Critical analysis of key findings</w:t>
      </w:r>
    </w:p>
    <w:p>
      <w:pPr>
        <w:pStyle w:val="Heading2"/>
      </w:pPr>
      <w:r>
        <w:t>5.1 Burden of resistant bacterial infections</w:t>
      </w:r>
    </w:p>
    <w:p>
      <w:r>
        <w:t>The GRAM Collaborators' systematic analysis in The Lancet estimated the burden of bacterial AMR in 204 countries and territories in 2019, covering 23 pathogens and 88 pathogen–drug combinations [1]. It combined data from published studies, hospital and surveillance systems, and other sources, representing approximately 471 million records or isolates and 7,585 study-location-years. The investigators used statistical models to estimate burden where direct observations were sparse and reported 95% uncertainty intervals. They estimated 4.95 million deaths associated with bacterial AMR (95% uncertainty interval [UI] 3.62–6.57 million), including 1.27 million deaths attributable to resistance (95% UI 0.911–1.71 million) [1].</w:t>
      </w:r>
    </w:p>
    <w:p>
      <w:r>
        <w:t>A key strength is the distinction between deaths 'associated with' and 'attributable to' resistance. The associated estimate compares resistant infection with a counterfactual of no infection, while the attributable estimate compares resistant infection with a susceptible infection. The first describes the overall burden of resistant infections; the second more directly estimates the additional burden linked to resistance rather than infection itself. Reporting only the larger associated number can overstate the deaths that would be prevented by eliminating resistance alone. Conversely, reporting only the attributable estimate may understate the broader clinical and system burden of infections that are difficult to treat. Both are informative if their counterfactuals are explained.</w:t>
      </w:r>
    </w:p>
    <w:p>
      <w:r>
        <w:t>The analysis identified Escherichia coli, Staphylococcus aureus, Klebsiella pneumoniae, Streptococcus pneumoniae, Acinetobacter baumannii, and Pseudomonas aeruginosa among the leading contributors to mortality [1]. This is policy-relevant because it indicates that the burden is concentrated in a set of familiar pathogens and drug combinations, not evenly distributed across every bacterium. Lower respiratory infections accounted for a particularly large share of deaths associated with resistance. The findings support strengthening infection prevention, access to appropriate second-line treatment, vaccination where available, and targeted antibiotic development.</w:t>
      </w:r>
    </w:p>
    <w:p>
      <w:r>
        <w:t>Nevertheless, the model cannot be read as a direct count of every death caused by resistance. The authors had to estimate outcomes in locations with little microbiology or mortality data. Modelled estimates inherit uncertainty from the underlying prevalence of resistance, infection incidence, and excess mortality assumptions. Clinical cultures are more likely to be taken from severely ill patients or people who have already received antibiotics, which can bias resistance proportions. In addition, the availability and quality of laboratory data differ markedly by country. Statistical adjustment and uncertainty intervals improve transparency but cannot fully compensate for systematic absence of data. The estimates are best treated as the most comprehensive available global assessment, not as equally precise measurements in every country.</w:t>
      </w:r>
    </w:p>
    <w:p>
      <w:r>
        <w:t>WHO's 2025 Global Antibiotic Resistance Surveillance Report provides a complementary surveillance perspective. It analysed more than 23 million bacteriologically confirmed cases reported by 104 countries for 2023 and tracked trends in 110 countries over 2016–2023 [8]. Surveillance is valuable because it can show which pathogen–drug combinations are worsening and inform empiric treatment guidelines. However, countries with stronger laboratory networks may contribute more complete data, while countries with the highest burden may be underrepresented. The number of records is large, but the representativeness of records remains crucial. Global models and routine surveillance should therefore be viewed as complementary: models estimate burden beyond observed sites, while surveillance tracks measured resistance and helps guide local action.</w:t>
      </w:r>
    </w:p>
    <w:p>
      <w:pPr>
        <w:pStyle w:val="Heading2"/>
      </w:pPr>
      <w:r>
        <w:t>5.2 Antibiotic consumption and selection pressure</w:t>
      </w:r>
    </w:p>
    <w:p>
      <w:r>
        <w:t>Antibiotics create selection pressure: susceptible bacteria are inhibited or killed, while resistant variants are more likely to survive and reproduce. The relationship between use and resistance is not simply linear. Risk depends on the antibiotic class, dose, duration, infection site, adherence, local transmission, and the ecological effects on commensal bacteria. Unnecessary prescriptions for viral respiratory illnesses, broad-spectrum treatment when a narrower agent is suitable, and unnecessarily prolonged courses increase exposure without guaranteed clinical benefit. Yet underuse, delayed access, poor-quality medicines, or failure to treat a genuine bacterial infection can also cause preventable harm. The goal is not the lowest possible antibiotic use; it is appropriate use.</w:t>
      </w:r>
    </w:p>
    <w:p>
      <w:r>
        <w:t>Klein and colleagues analysed global antibiotic consumption from 2000 to 2015 and reported an increase in antibiotic consumption, with substantial differences between countries and drug classes [4]. The study's broad geographical coverage is a strength because it places national consumption patterns in a global context. It also illustrates that increased use is not confined to high-income health systems. However, sales and consumption datasets are imperfect proxies for actual exposure: they may not identify indication, adherence, dose, or whether a medicine was used by a human or animal. Defined daily doses can also be difficult to compare across populations with different age structures and prescribing patterns. These limitations mean consumption data should be linked to clinical indication and resistance surveillance rather than interpreted in isolation.</w:t>
      </w:r>
    </w:p>
    <w:p>
      <w:r>
        <w:t>Reviews of resistance drivers emphasise that inappropriate antibiotic use occurs in both healthcare and community settings, and that weak regulation, over-the-counter access, self-medication, diagnostic uncertainty, and limited access to qualified care can reinforce one another [2,3,6]. It would be simplistic to frame resistance solely as a problem of patient behaviour. A clinician may prescribe empirically because culture results are unavailable or too slow; a patient may purchase antibiotics without consultation because formal care is costly or distant; and a hospital may rely on broad-spectrum agents because infection-control facilities are inadequate. Effective interventions must change these surrounding conditions as well as individual decisions.</w:t>
      </w:r>
    </w:p>
    <w:p>
      <w:pPr>
        <w:pStyle w:val="Heading2"/>
      </w:pPr>
      <w:r>
        <w:t>5.3 Biological mechanisms and transmission</w:t>
      </w:r>
    </w:p>
    <w:p>
      <w:r>
        <w:t>Resistance can arise through chromosomal mutation or acquisition of resistance genes. Mechanisms include enzymatic drug inactivation, alteration of the antibiotic's target, reduced permeability, active efflux, and metabolic bypass. For example, beta-lactamases can inactivate beta-lactam antibiotics; target modification can reduce the binding of drugs such as macrolides or fluoroquinolones; and porin loss or efflux can lower intracellular antibiotic concentration. Bacteria may acquire genes on plasmids, transposons, and other mobile genetic elements, allowing resistance traits to spread between organisms. Multidrug resistance is especially concerning when several mechanisms accumulate in the same strain.</w:t>
      </w:r>
    </w:p>
    <w:p>
      <w:r>
        <w:t>Holmes and colleagues describe antimicrobial resistance as a complex phenomenon involving human health, animal health, agriculture, and the environment [3]. Transmission can occur through direct contact, contaminated equipment, food systems, water, and healthcare environments. A hospital may select for resistant bacteria through antibiotic exposure, but transmission between patients can then sustain an outbreak even if prescribing improves. Conversely, an individual may carry resistant bacteria without symptoms and later develop infection or transmit the organism to others. This distinction between selection and spread is important: stewardship reduces selection pressure, while hand hygiene, environmental cleaning, isolation when appropriate, vaccination, and safe water reduce transmission.</w:t>
      </w:r>
    </w:p>
    <w:p>
      <w:r>
        <w:t>The mechanistic evidence is biologically coherent and supported by laboratory research, but mechanistic plausibility alone does not quantify the contribution of each pathway to population-level resistance. The relative importance of antibiotic use, sanitation, travel, hospital crowding, and animal production varies by pathogen and setting. Claims that one sector is the sole cause are therefore not justified. One Health approaches are valuable precisely because resistance genes and resistant organisms can move across human, animal, food, and environmental boundaries.</w:t>
      </w:r>
    </w:p>
    <w:p>
      <w:pPr>
        <w:pStyle w:val="Heading2"/>
      </w:pPr>
      <w:r>
        <w:t>5.4 Antibiotic stewardship: benefits and tensions</w:t>
      </w:r>
    </w:p>
    <w:p>
      <w:r>
        <w:t>Antibiotic stewardship refers to coordinated action to improve antibiotic selection, dose, route, and duration while preserving timely effective treatment. Common strategies include local prescribing guidelines, audit and feedback, formulary review, pre-authorisation for selected agents, de-escalation after culture results, switching from intravenous to oral therapy when appropriate, and decision support. Stewardship is not equivalent to blanket restriction. Its clinical objective is to maximise the likelihood of effective treatment and minimise avoidable exposure, adverse effects, costs, and selection pressure.</w:t>
      </w:r>
    </w:p>
    <w:p>
      <w:r>
        <w:t>Davey and colleagues' Cochrane review of interventions to improve hospital antibiotic prescribing found that stewardship interventions can improve prescribing and that reduced antibiotic use can be achieved without evidence of increased mortality in the evaluated settings [5]. The review's strength is its systematic approach and focus on intervention evidence rather than simply describing the problem. Randomised and controlled designs, where available, strengthen causal interpretation. However, interventions varied widely in content, intensity, context, and outcome measurement. Many studies measured prescribing appropriateness or consumption over relatively short periods, while resistance can take longer to change and is influenced by transmission and external antibiotic use. Findings from hospitals with specialist teams may not translate directly to small facilities or community care.</w:t>
      </w:r>
    </w:p>
    <w:p>
      <w:r>
        <w:t>An important tension is between reducing unnecessary prescribing and avoiding delayed treatment in severe infection. For suspected sepsis, immediate effective empirical treatment may be lifesaving; waiting for culture results before starting treatment can be dangerous. Stewardship should therefore support timely empirical therapy based on severity and local resistance patterns, followed by review and narrowing when results become available. In mild self-limiting illness, the balance is different: antibiotics may provide little benefit and create avoidable risk. A policy that counts prescriptions without assessing indication can reward undertreatment as easily as better practice.</w:t>
      </w:r>
    </w:p>
    <w:p>
      <w:r>
        <w:t>Evidence also suggests that the success of stewardship depends on implementation conditions. Clinicians need trustworthy guidelines, rapid access to microbiology, feedback that is respectful rather than punitive, and leadership support. Patients need clear explanations about why antibiotics may not help a viral illness and what symptoms should prompt reassessment. In resource-limited settings, stewardship cannot substitute for diagnostic infrastructure or adequate staffing. Restricting access without improving alternatives risks shifting antibiotic use into informal markets or delaying care for people who genuinely need treatment.</w:t>
      </w:r>
    </w:p>
    <w:p>
      <w:pPr>
        <w:pStyle w:val="Heading2"/>
      </w:pPr>
      <w:r>
        <w:t>5.5 Infection prevention, vaccination, sanitation, and access</w:t>
      </w:r>
    </w:p>
    <w:p>
      <w:r>
        <w:t>Preventing infections reduces the need for antibiotics and the opportunities for resistant organisms to spread. Core measures include hand hygiene, safe injection practices, sterilisation, environmental cleaning, surveillance for healthcare-associated infections, appropriate isolation, and adequate water, sanitation, and hygiene (WASH). Vaccination can reduce infections directly and may also reduce antibiotic demand by preventing illnesses that are frequently treated empirically. These approaches are complementary to stewardship: they reduce the number of infections requiring treatment, while stewardship improves the quality of treatment when it is needed.</w:t>
      </w:r>
    </w:p>
    <w:p>
      <w:r>
        <w:t>The strength of infection prevention evidence is that many measures have direct, plausible mechanisms and can produce benefits beyond resistance reduction, including fewer infections and improved patient safety. Yet the impact of a specific programme may be difficult to isolate because interventions are often introduced as bundles. Compliance is also sensitive to staffing, infrastructure, supplies, workload, and organisational culture. A hand-hygiene policy cannot work reliably if sinks, clean water, or alcohol-based hand rub are unavailable. Implementation should therefore be assessed alongside fidelity and resources rather than treating publication of a policy as proof of practice.</w:t>
      </w:r>
    </w:p>
    <w:p>
      <w:r>
        <w:t>Equity is a central issue. Some communities experience both high resistance and poor access to effective antibiotics, diagnostics, sanitation, and healthcare. A narrow conservation agenda can unintentionally protect antibiotic effectiveness for populations that already have access while leaving others without lifesaving treatment. The public-health objective must be equitable access to appropriate antibiotics, not simply reduced volume. The WHO's surveillance findings that resistance is high in several regions and that national reporting completeness varies underline the need to invest in laboratories and health-system capacity, not just in prescribing restrictions [8].</w:t>
      </w:r>
    </w:p>
    <w:p>
      <w:pPr>
        <w:pStyle w:val="Heading2"/>
      </w:pPr>
      <w:r>
        <w:t>5.6 New antibiotics and the market problem</w:t>
      </w:r>
    </w:p>
    <w:p>
      <w:r>
        <w:t>Antibiotic innovation faces a difficult economic structure. Effective stewardship appropriately limits unnecessary use, which is good for public health but can reduce sales volume. Development is scientifically risky, clinical trials are expensive, and new drugs may be reserved for resistant infections to preserve their effectiveness. As a result, conventional volume-based revenue may not reward antibiotic research in the same way as medicines intended for chronic use. Reviews have highlighted the need for sustained research investment, improved diagnostics, and policy mechanisms that support innovation while discouraging inappropriate consumption [2,6].</w:t>
      </w:r>
    </w:p>
    <w:p>
      <w:r>
        <w:t>New antibiotics are necessary for infections that no longer respond to available drugs, but innovation alone cannot solve resistance. Bacteria can develop resistance to new agents, and a new medicine may be inaccessible or unaffordable in high-burden settings. A pipeline strategy should therefore support genuinely novel mechanisms and clinically meaningful agents, while also funding vaccines, diagnostics, infection prevention, and surveillance. Any financial incentive for manufacturers should be paired with stewardship, access commitments, transparency, and post-market monitoring so that public investment produces public-health value.</w:t>
      </w:r>
    </w:p>
    <w:p>
      <w:pPr>
        <w:pStyle w:val="Heading1"/>
      </w:pPr>
      <w:r>
        <w:t>6. Synthesis of apparently conflicting findings</w:t>
      </w:r>
    </w:p>
    <w:p>
      <w:r>
        <w:t>At first glance, the literature can appear contradictory: some sources emphasise overuse, while others stress lack of access; some advocate strict restrictions, while others warn about delayed treatment; and global models report very large burdens even though surveillance data are incomplete. These positions are not necessarily incompatible. They often describe different populations, outcomes, and counterfactuals.</w:t>
      </w:r>
    </w:p>
    <w:p>
      <w:r>
        <w:t>First, overuse and under-access coexist. In one setting, antibiotics may be prescribed for viral illness or sold without appropriate assessment; in another, a patient with bacterial sepsis may not receive a timely effective drug. Both can occur within the same country or health system. The correct policy is to reduce low-value exposure while improving reliable access for serious bacterial infections. Second, a stewardship intervention can reduce prescriptions without increasing mortality in studied hospitals, but that does not prove that every restriction is safe in every context. Effects depend on clinical safeguards, case mix, baseline prescribing, and access to diagnostics [5].</w:t>
      </w:r>
    </w:p>
    <w:p>
      <w:r>
        <w:t>Third, estimates of deaths associated with resistance are larger than estimates attributable to resistance because they use different counterfactuals [1]. The difference is conceptual, not a disagreement between researchers. Fourth, a rise in national antibiotic consumption may coincide with improved access to treatment, so consumption growth alone cannot determine whether prescribing is inappropriate. Its interpretation requires data on indication, treatment outcomes, resistance, and unmet need [4]. Finally, high counts of laboratory-confirmed cases do not automatically make surveillance representative. Modelled burden estimates extend the evidence base but rely on assumptions; surveillance provides direct measurements but may exclude people who never reach a laboratory. The strongest inference comes from triangulating these sources rather than treating one as definitive.</w:t>
      </w:r>
    </w:p>
    <w:p>
      <w:r>
        <w:t>Overall, the evidence converges on a systems-level conclusion: antibiotic resistance is shaped by antibiotic exposure and by the conditions that determine infection incidence, transmission, diagnosis, and treatment. Differences across studies often reflect variation in geography, healthcare setting, pathogen, antibiotic class, and outcome definition. Future studies should report these factors clearly and avoid treating all resistance or all antibiotic use as equivalent.</w:t>
      </w:r>
    </w:p>
    <w:p>
      <w:pPr>
        <w:pStyle w:val="Heading1"/>
      </w:pPr>
      <w:r>
        <w:t>7. Strengths and limitations of the reviewed literature</w:t>
      </w:r>
    </w:p>
    <w:p>
      <w:pPr>
        <w:pStyle w:val="Heading2"/>
      </w:pPr>
      <w:r>
        <w:t>7.1 Strengths</w:t>
      </w:r>
    </w:p>
    <w:p>
      <w:r>
        <w:t>The literature has several important strengths. Large-scale modelling integrates diverse data and makes the global burden visible, including in places with sparse direct observations [1]. Surveillance programmes provide repeated, standardised measures that can inform clinical guidelines and track changes over time [8]. Reviews of stewardship synthesise intervention studies and assess patient-safety outcomes rather than relying on theory alone [5]. Mechanistic and One Health reviews connect molecular processes with clinical practice and environmental transmission [3]. The convergence of evidence from epidemiology, microbiology, clinical trials, and public health increases confidence in the broad conclusion that resistance requires coordinated prevention and treatment strategies.</w:t>
      </w:r>
    </w:p>
    <w:p>
      <w:pPr>
        <w:pStyle w:val="Heading2"/>
      </w:pPr>
      <w:r>
        <w:t>7.2 Limitations</w:t>
      </w:r>
    </w:p>
    <w:p>
      <w:r>
        <w:t>Important limitations remain. First, laboratory-confirmed datasets are vulnerable to selection bias because not every infection is cultured and culture practices differ between facilities. Second, global models extrapolate to data-poor regions and may be less precise there despite sophisticated statistical methods. Third, studies use heterogeneous definitions of resistance, antibiotic exposure, treatment failure, and inappropriate prescribing, complicating comparison. Fourth, many stewardship studies are conducted in hospitals with infrastructure not available everywhere, and resistance outcomes may require longer follow-up than studies provide. Fifth, the focused search for this assignment was not a fully registered systematic review and may have missed relevant studies, particularly non-English publications and recent local research. No formal meta-analysis was performed because study designs and outcomes were not sufficiently homogeneous.</w:t>
      </w:r>
    </w:p>
    <w:p>
      <w:r>
        <w:t>These limitations do not negate the evidence; they define how confidently it can be applied. The existence of a large global burden is well supported, while the exact local magnitude and the effect size of particular interventions may remain uncertain. Decisions should combine the best available evidence with local microbiology, clinical judgement, and monitoring of unintended consequences.</w:t>
      </w:r>
    </w:p>
    <w:p>
      <w:pPr>
        <w:pStyle w:val="Heading1"/>
      </w:pPr>
      <w:r>
        <w:t>8. Research gaps</w:t>
      </w:r>
    </w:p>
    <w:p>
      <w:r>
        <w:t>Several research gaps are especially important. The first is surveillance equity: many locations lack representative community and hospital microbiology, reliable denominator data, and consistent reporting of antibiotic consumption. More data alone are not sufficient; studies need standardised methods, quality assurance, and linkage between laboratory results, clinical outcomes, prescribing, and mortality. The second gap is the limited evidence on resistance outside tertiary hospitals, including primary care, long-term care, informal healthcare, and rural communities. Third, research often describes resistance prevalence without evaluating which interventions are feasible, acceptable, and cost-effective in the local system.</w:t>
      </w:r>
    </w:p>
    <w:p>
      <w:r>
        <w:t>Fourth, more work is needed on the effects of antibiotic use in food-producing animals and the environment, including wastewater and pharmaceutical manufacturing. One Health surveillance should link human, animal, food, and environmental isolates while protecting privacy and avoiding simplistic attribution. Fifth, intervention studies need longer follow-up and outcomes that matter to patients: mortality, treatment failure, adverse effects, readmission, equity, and total cost, alongside prescribing and resistance rates. Sixth, implementation research should examine how stewardship can be delivered where diagnostic capacity and specialist staffing are limited. Finally, antibiotic-development research must address not only whether a new drug works but whether it can be accessed, used appropriately, and sustained economically.</w:t>
      </w:r>
    </w:p>
    <w:p>
      <w:pPr>
        <w:pStyle w:val="Heading1"/>
      </w:pPr>
      <w:r>
        <w:t>9. Future directions and recommendations</w:t>
      </w:r>
    </w:p>
    <w:p>
      <w:r>
        <w:t>Future action should be organised as a coordinated package rather than isolated campaigns. At the clinical level, facilities should implement locally adapted treatment guidelines, review empirical antibiotics when microbiology results become available, document indication and duration, and use audit-and-feedback systems. Rapid diagnostics can support earlier targeted therapy, but their value depends on turnaround time, accuracy, cost, and whether results change clinical decisions. Decision-support tools should be evaluated for both safety and equity.</w:t>
      </w:r>
    </w:p>
    <w:p>
      <w:r>
        <w:t>At the prevention level, health systems should strengthen hand hygiene, environmental cleaning, safe water and sanitation, vaccination, and healthcare-associated infection surveillance. These measures can reduce infection incidence and therefore reduce antibiotic demand. At the community level, public communication should explain that antibiotics do not treat viral infections, that leftover antibiotics should not be shared, and that treatment should follow qualified clinical advice. Communication should avoid blaming patients and should recognise barriers such as cost, distance, and limited appointment availability.</w:t>
      </w:r>
    </w:p>
    <w:p>
      <w:r>
        <w:t>At the policy level, governments should invest in laboratory networks, standardised reporting, quality-assured medicines, and accessible primary care. Surveillance should publish methods, denominators, uncertainty, and data-completeness measures. Data systems should connect resistance trends with antibiotic consumption and clinical outcomes while maintaining appropriate confidentiality. In settings where non-prescription access is common, regulation should be paired with affordable clinical assessment and reliable medicine supply; enforcement without access alternatives may worsen inequity.</w:t>
      </w:r>
    </w:p>
    <w:p>
      <w:r>
        <w:t>At the research level, funders should support antibiotic discovery, vaccines, diagnostics, and non-traditional approaches such as bacteriophage-based treatments where evidence and regulation support their use. Economic incentives for antibiotic development should reward availability and public-health value rather than high sales volume alone. Trials should compare new interventions with current standards, recruit diverse populations, and report outcomes relevant to patients. Research teams should also include health economists, implementation scientists, microbiologists, clinicians, veterinarians, environmental scientists, and community representatives.</w:t>
      </w:r>
    </w:p>
    <w:p>
      <w:r>
        <w:t>Finally, global and national targets should be interpreted carefully. A target for reducing inappropriate use is useful only if accompanied by indicators of access to appropriate therapy, infection outcomes, and equity. Similarly, a national resistance average can hide local outbreaks or high-risk hospital units. Policies should be responsive to pathogen-specific and place-specific evidence, with periodic reassessment as resistance patterns change.</w:t>
      </w:r>
    </w:p>
    <w:p>
      <w:pPr>
        <w:pStyle w:val="Heading1"/>
      </w:pPr>
      <w:r>
        <w:t>10. Conclusion</w:t>
      </w:r>
    </w:p>
    <w:p>
      <w:r>
        <w:t>Antibiotic resistance is a major and evolving threat because it weakens the effectiveness of treatments on which modern healthcare depends. The reviewed evidence shows a substantial global burden, but also highlights uncertainty caused by uneven surveillance and the assumptions required for modelling. Resistance emerges through biological mechanisms and is accelerated by avoidable antibiotic exposure, while its spread is influenced by infection prevention, sanitation, healthcare quality, animal and environmental pathways, and access to diagnosis and treatment. The strongest evidence supports combining stewardship with prevention, vaccination, surveillance, and equitable access to effective antibiotics. Apparent conflicts in the literature are often explained by different definitions, counterfactuals, populations, and local conditions. A balanced response must neither promote indiscriminate antibiotic use nor impose restrictions that prevent necessary treatment. Future progress depends on better representative data, stronger implementation research, patient-centred outcomes, and sustainable investment in diagnostics and antibiotic innovation. Antibiotics should be treated as essential medicines whose effectiveness is protected through collective responsibility, evidence-based policy, and fair access.</w:t>
      </w:r>
    </w:p>
    <w:p>
      <w:pPr>
        <w:pStyle w:val="Heading1"/>
      </w:pPr>
      <w:r>
        <w:t>References (Vancouver style)</w:t>
      </w:r>
    </w:p>
    <w:p>
      <w:pPr/>
      <w:r>
        <w:t>1. Antimicrobial Resistance Collaborators. Global burden of bacterial antimicrobial resistance in 2019: a systematic analysis. Lancet. 2022;399(10325):629-655. doi:10.1016/S0140-6736(21)02724-0. Free full text: https://pmc.ncbi.nlm.nih.gov/articles/PMC8841637/</w:t>
      </w:r>
    </w:p>
    <w:p>
      <w:pPr/>
      <w:r>
        <w:t>2. Laxminarayan R, Duse A, Wattal C, Zaidi AKM, Wertheim HFL, Sumpradit N, et al. Antibiotic resistance—the need for global solutions. Lancet Infect Dis. 2013;13(12):1057-1098. doi:10.1016/S1473-3099(13)70318-9. Open access: https://doi.org/10.1016/S1473-3099(13)70318-9</w:t>
      </w:r>
    </w:p>
    <w:p>
      <w:pPr/>
      <w:r>
        <w:t>3. Holmes AH, Moore LSP, Sundsfjord A, Steinbakk M, Regmi S, Karkey A, et al. Understanding the mechanisms and drivers of antimicrobial resistance. Lancet. 2016;387(10014):176-187. doi:10.1016/S0140-6736(15)00473-0. Free full text: https://pmc.ncbi.nlm.nih.gov/articles/PMC4770698/</w:t>
      </w:r>
    </w:p>
    <w:p>
      <w:pPr/>
      <w:r>
        <w:t>4. Klein EY, Van Boeckel TP, Martinez EM, Pant S, Gandra S, Levin SA, et al. Global increase and geographic convergence in antibiotic consumption between 2000 and 2015. Proc Natl Acad Sci U S A. 2018;115(15):E3463-E3470. doi:10.1073/pnas.1717295115. Free full text: https://pmc.ncbi.nlm.nih.gov/articles/PMC5899444/</w:t>
      </w:r>
    </w:p>
    <w:p>
      <w:pPr/>
      <w:r>
        <w:t>5. Davey P, Marwick CA, Scott CL, Charani E, McNeil K, Brown E, et al. Interventions to improve antibiotic prescribing practices for hospital inpatients. Cochrane Database Syst Rev. 2017;2(2):CD003543. doi:10.1002/14651858.CD003543.pub4. Free full text: https://pmc.ncbi.nlm.nih.gov/articles/PMC6464541/</w:t>
      </w:r>
    </w:p>
    <w:p>
      <w:pPr/>
      <w:r>
        <w:t>6. Ventola CL. The antibiotic resistance crisis: part 1: causes and threats. P T. 2015;40(4):277-283. Free full text: https://pmc.ncbi.nlm.nih.gov/articles/PMC4378521/</w:t>
      </w:r>
    </w:p>
    <w:p>
      <w:pPr/>
      <w:r>
        <w:t>7. Dadgostar P. Antimicrobial resistance: implications and costs. Infect Drug Resist. 2019;12:3903-3910. doi:10.2147/IDR.S234610. Free full text: https://pmc.ncbi.nlm.nih.gov/articles/PMC6929930/</w:t>
      </w:r>
    </w:p>
    <w:p>
      <w:pPr/>
      <w:r>
        <w:t>8. World Health Organization. Global antibiotic resistance surveillance report 2025. Geneva: WHO; 2025. Available from: https://www.who.int/publications/i/item/9789240116337. (Institutional surveillance report; used for context, not counted as a peer-reviewed journal article.)</w:t>
      </w:r>
    </w:p>
    <w:p>
      <w:pPr>
        <w:pStyle w:val="Heading1"/>
      </w:pPr>
      <w:r>
        <w:t>Appendix: Summary of evidence appraisal</w:t>
      </w:r>
    </w:p>
    <w:tbl>
      <w:tblPr>
        <w:tblStyle w:val="TableGrid"/>
        <w:tblW w:type="auto" w:w="0"/>
        <w:tblLook w:firstColumn="1" w:firstRow="1" w:lastColumn="0" w:lastRow="0" w:noHBand="0" w:noVBand="1" w:val="04A0"/>
      </w:tblPr>
      <w:tblGrid>
        <w:gridCol w:w="3216"/>
        <w:gridCol w:w="3216"/>
        <w:gridCol w:w="3216"/>
      </w:tblGrid>
      <w:tr>
        <w:tc>
          <w:tcPr>
            <w:tcW w:type="dxa" w:w="3216"/>
          </w:tcPr>
          <w:p>
            <w:r>
              <w:t>Source</w:t>
            </w:r>
          </w:p>
        </w:tc>
        <w:tc>
          <w:tcPr>
            <w:tcW w:type="dxa" w:w="3216"/>
          </w:tcPr>
          <w:p>
            <w:r>
              <w:t>Main contribution</w:t>
            </w:r>
          </w:p>
        </w:tc>
        <w:tc>
          <w:tcPr>
            <w:tcW w:type="dxa" w:w="3216"/>
          </w:tcPr>
          <w:p>
            <w:r>
              <w:t>Key limitation</w:t>
            </w:r>
          </w:p>
        </w:tc>
      </w:tr>
      <w:tr>
        <w:tc>
          <w:tcPr>
            <w:tcW w:type="dxa" w:w="3216"/>
          </w:tcPr>
          <w:p>
            <w:r>
              <w:t>GRAM global burden analysis [1]</w:t>
            </w:r>
          </w:p>
        </w:tc>
        <w:tc>
          <w:tcPr>
            <w:tcW w:type="dxa" w:w="3216"/>
          </w:tcPr>
          <w:p>
            <w:r>
              <w:t>Modelled global deaths and regional patterns; separated associated from attributable burden.</w:t>
            </w:r>
          </w:p>
        </w:tc>
        <w:tc>
          <w:tcPr>
            <w:tcW w:type="dxa" w:w="3216"/>
          </w:tcPr>
          <w:p>
            <w:r>
              <w:t>Extrapolation where data are sparse; estimates depend on counterfactuals and input quality.</w:t>
            </w:r>
          </w:p>
        </w:tc>
      </w:tr>
      <w:tr>
        <w:tc>
          <w:tcPr>
            <w:tcW w:type="dxa" w:w="3216"/>
          </w:tcPr>
          <w:p>
            <w:r>
              <w:t>Laxminarayan et al. [2]</w:t>
            </w:r>
          </w:p>
        </w:tc>
        <w:tc>
          <w:tcPr>
            <w:tcW w:type="dxa" w:w="3216"/>
          </w:tcPr>
          <w:p>
            <w:r>
              <w:t>Global policy framing; links antibiotic use, access, and stewardship.</w:t>
            </w:r>
          </w:p>
        </w:tc>
        <w:tc>
          <w:tcPr>
            <w:tcW w:type="dxa" w:w="3216"/>
          </w:tcPr>
          <w:p>
            <w:r>
              <w:t>Broad review; recommendations span diverse contexts with unequal evidence.</w:t>
            </w:r>
          </w:p>
        </w:tc>
      </w:tr>
      <w:tr>
        <w:tc>
          <w:tcPr>
            <w:tcW w:type="dxa" w:w="3216"/>
          </w:tcPr>
          <w:p>
            <w:r>
              <w:t>Holmes et al. [3]</w:t>
            </w:r>
          </w:p>
        </w:tc>
        <w:tc>
          <w:tcPr>
            <w:tcW w:type="dxa" w:w="3216"/>
          </w:tcPr>
          <w:p>
            <w:r>
              <w:t>Integrates biological mechanisms and One Health drivers.</w:t>
            </w:r>
          </w:p>
        </w:tc>
        <w:tc>
          <w:tcPr>
            <w:tcW w:type="dxa" w:w="3216"/>
          </w:tcPr>
          <w:p>
            <w:r>
              <w:t>Narrative synthesis does not quantify the contribution of each driver in every setting.</w:t>
            </w:r>
          </w:p>
        </w:tc>
      </w:tr>
      <w:tr>
        <w:tc>
          <w:tcPr>
            <w:tcW w:type="dxa" w:w="3216"/>
          </w:tcPr>
          <w:p>
            <w:r>
              <w:t>Klein et al. [4]</w:t>
            </w:r>
          </w:p>
        </w:tc>
        <w:tc>
          <w:tcPr>
            <w:tcW w:type="dxa" w:w="3216"/>
          </w:tcPr>
          <w:p>
            <w:r>
              <w:t>Cross-national trends in antibiotic consumption.</w:t>
            </w:r>
          </w:p>
        </w:tc>
        <w:tc>
          <w:tcPr>
            <w:tcW w:type="dxa" w:w="3216"/>
          </w:tcPr>
          <w:p>
            <w:r>
              <w:t>Consumption measures do not fully capture indication, adherence, or appropriateness.</w:t>
            </w:r>
          </w:p>
        </w:tc>
      </w:tr>
      <w:tr>
        <w:tc>
          <w:tcPr>
            <w:tcW w:type="dxa" w:w="3216"/>
          </w:tcPr>
          <w:p>
            <w:r>
              <w:t>Davey et al. [5]</w:t>
            </w:r>
          </w:p>
        </w:tc>
        <w:tc>
          <w:tcPr>
            <w:tcW w:type="dxa" w:w="3216"/>
          </w:tcPr>
          <w:p>
            <w:r>
              <w:t>Systematic review of hospital stewardship interventions.</w:t>
            </w:r>
          </w:p>
        </w:tc>
        <w:tc>
          <w:tcPr>
            <w:tcW w:type="dxa" w:w="3216"/>
          </w:tcPr>
          <w:p>
            <w:r>
              <w:t>Heterogeneity in interventions and settings; long-term resistance outcomes less certain.</w:t>
            </w:r>
          </w:p>
        </w:tc>
      </w:tr>
      <w:tr>
        <w:tc>
          <w:tcPr>
            <w:tcW w:type="dxa" w:w="3216"/>
          </w:tcPr>
          <w:p>
            <w:r>
              <w:t>Ventola [6] and Dadgostar [7]</w:t>
            </w:r>
          </w:p>
        </w:tc>
        <w:tc>
          <w:tcPr>
            <w:tcW w:type="dxa" w:w="3216"/>
          </w:tcPr>
          <w:p>
            <w:r>
              <w:t>Accessible overviews of causes, consequences, and economic costs.</w:t>
            </w:r>
          </w:p>
        </w:tc>
        <w:tc>
          <w:tcPr>
            <w:tcW w:type="dxa" w:w="3216"/>
          </w:tcPr>
          <w:p>
            <w:r>
              <w:t>Narrative reviews; not primary causal estimates.</w:t>
            </w:r>
          </w:p>
        </w:tc>
      </w:tr>
      <w:tr>
        <w:tc>
          <w:tcPr>
            <w:tcW w:type="dxa" w:w="3216"/>
          </w:tcPr>
          <w:p>
            <w:r>
              <w:t>WHO GLASS report [8]</w:t>
            </w:r>
          </w:p>
        </w:tc>
        <w:tc>
          <w:tcPr>
            <w:tcW w:type="dxa" w:w="3216"/>
          </w:tcPr>
          <w:p>
            <w:r>
              <w:t>Current surveillance trends and data-completeness context.</w:t>
            </w:r>
          </w:p>
        </w:tc>
        <w:tc>
          <w:tcPr>
            <w:tcW w:type="dxa" w:w="3216"/>
          </w:tcPr>
          <w:p>
            <w:r>
              <w:t>Reported laboratory cases may not represent all infections or all countries equally.</w:t>
            </w:r>
          </w:p>
        </w:tc>
      </w:tr>
    </w:tbl>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3 | Antibiotic Resistance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Antibiotic Resistance: Critical Analysis and Synthesis of Medical Literature</dc:title>
  <dc:subject>Week 3 medical literature assignment; Vancouver style</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