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48"/>
        </w:rPr>
        <w:t>DESIGNING A PERFORMANCE</w:t>
        <w:br/>
        <w:t>EVALUATION SYSTEM</w:t>
      </w:r>
    </w:p>
    <w:p>
      <w:pPr>
        <w:jc w:val="center"/>
      </w:pPr>
      <w:r>
        <w:rPr>
          <w:b/>
          <w:sz w:val="28"/>
        </w:rPr>
        <w:t>Automotive Professionals | SAP SuccessFactors Performance &amp; Goals</w:t>
      </w:r>
    </w:p>
    <w:p>
      <w:pPr>
        <w:jc w:val="center"/>
      </w:pPr>
      <w:r>
        <w:rPr>
          <w:i/>
        </w:rPr>
        <w:br/>
        <w:t>Updated implementation-focused report</w:t>
        <w:br/>
      </w:r>
      <w:r>
        <w:t>Prepared as a practical design proposal; sample targets and employee data are illustrative, not company results.</w:t>
      </w:r>
    </w:p>
    <w:p>
      <w:r>
        <w:br w:type="page"/>
      </w:r>
    </w:p>
    <w:p>
      <w:pPr>
        <w:pStyle w:val="Heading1"/>
      </w:pPr>
      <w:r>
        <w:t>Executive Summary</w:t>
      </w:r>
    </w:p>
    <w:p>
      <w:r>
        <w:t>This report proposes a practical, evidence-informed performance evaluation system for an automotive manufacturer with three workforce groups: plant operations and quality, vehicle/software engineering, and corporate or people managers. The design replaces a once-a-year-only conversation with a controlled cycle of goal setting, short feedback conversations, evidence-based review, calibration, and development planning. SAP SuccessFactors Performance &amp; Goals is the system of record for goals, formal performance forms, Continuous Performance Management (CPM), 360-degree reviews, calibration, and reporting where licensed and configured. The design does not assume that every feature is automatically available: licensing, release, configuration, permissions, data protection, and integration testing must be confirmed in the customer tenant.</w:t>
      </w:r>
    </w:p>
    <w:p>
      <w:r>
        <w:t>The key improvement over a generic appraisal model is traceability. Every proposed rating is linked to a defined goal, a role-specific measure, an evidence source, a review period, and a named owner. For example, a manufacturing quality engineer is assessed on verified corrective-action closure and recurrence—not simply on the number of defects reported. A software engineer is assessed on accepted sprint outcomes, escaped defects, test coverage, and safety/security practices—not raw lines of code. This avoids rewarding behaviour that may undermine automotive safety or quality.</w:t>
      </w:r>
    </w:p>
    <w:p>
      <w:pPr>
        <w:pStyle w:val="Heading1"/>
      </w:pPr>
      <w:r>
        <w:t>1. Purpose, Scope and Design Principles</w:t>
      </w:r>
    </w:p>
    <w:p>
      <w:r>
        <w:t>The system is designed for a hypothetical mid-sized automotive OEM or Tier-1 supplier operating a manufacturing plant, product engineering teams, and a hybrid corporate workforce. It is suitable for a virtual setting because goal updates, check-ins, feedback requests, review forms, and dashboards can be accessed through a browser-based HCM environment. The system is a proposal, not a claim that a particular company has implemented these controls.</w:t>
      </w:r>
    </w:p>
    <w:p>
      <w:pPr>
        <w:pStyle w:val="ListBullet"/>
      </w:pPr>
      <w:r>
        <w:t>Business alignment: individual goals connect to vehicle-program, plant, customer-quality, cost, delivery, and capability priorities.</w:t>
      </w:r>
    </w:p>
    <w:p>
      <w:pPr>
        <w:pStyle w:val="ListBullet"/>
      </w:pPr>
      <w:r>
        <w:t>Role relevance: a common company-wide process uses different scorecards for engineering, manufacturing, quality, and corporate roles.</w:t>
      </w:r>
    </w:p>
    <w:p>
      <w:pPr>
        <w:pStyle w:val="ListBullet"/>
      </w:pPr>
      <w:r>
        <w:t>Evidence before judgement: ratings require examples, validated measures, and context; activity volume alone is not proof of impact.</w:t>
      </w:r>
    </w:p>
    <w:p>
      <w:pPr>
        <w:pStyle w:val="ListBullet"/>
      </w:pPr>
      <w:r>
        <w:t>Continuous coaching: short check-ins help unblock work before a milestone or quality issue becomes a year-end surprise.</w:t>
      </w:r>
    </w:p>
    <w:p>
      <w:pPr>
        <w:pStyle w:val="ListBullet"/>
      </w:pPr>
      <w:r>
        <w:t>Fairness and safety: no forced rating distribution; safety escalation, responsible reporting, and teamwork are not penalised.</w:t>
      </w:r>
    </w:p>
    <w:p>
      <w:pPr>
        <w:pStyle w:val="ListBullet"/>
      </w:pPr>
      <w:r>
        <w:t>Governance by design: role-based permissions, documented review steps, auditability, and restricted access to sensitive feedback.</w:t>
      </w:r>
    </w:p>
    <w:p>
      <w:pPr>
        <w:pStyle w:val="Heading1"/>
      </w:pPr>
      <w:r>
        <w:t>2. Operating Model and Annual Cycle</w:t>
      </w:r>
    </w:p>
    <w:p>
      <w:r>
        <w:t>The proposed cycle runs for a 12-month performance year, with quarterly checkpoints and a formal mid-year and year-end review. A new vehicle-program launch or a major role change triggers goal revision rather than waiting for the next annual cycle.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B4C7E7"/>
          </w:tcPr>
          <w:p>
            <w:r/>
            <w:r>
              <w:rPr>
                <w:b/>
                <w:sz w:val="17"/>
              </w:rPr>
              <w:t>Stage</w:t>
            </w:r>
          </w:p>
        </w:tc>
        <w:tc>
          <w:tcPr>
            <w:tcW w:type="dxa" w:w="2520"/>
            <w:vAlign w:val="center"/>
            <w:shd w:fill="B4C7E7"/>
          </w:tcPr>
          <w:p>
            <w:r/>
            <w:r>
              <w:rPr>
                <w:b/>
                <w:sz w:val="17"/>
              </w:rPr>
              <w:t>Timing / trigger</w:t>
            </w:r>
          </w:p>
        </w:tc>
        <w:tc>
          <w:tcPr>
            <w:tcW w:type="dxa" w:w="2520"/>
            <w:vAlign w:val="center"/>
            <w:shd w:fill="B4C7E7"/>
          </w:tcPr>
          <w:p>
            <w:r/>
            <w:r>
              <w:rPr>
                <w:b/>
                <w:sz w:val="17"/>
              </w:rPr>
              <w:t>Owner</w:t>
            </w:r>
          </w:p>
        </w:tc>
        <w:tc>
          <w:tcPr>
            <w:tcW w:type="dxa" w:w="2520"/>
            <w:vAlign w:val="center"/>
            <w:shd w:fill="B4C7E7"/>
          </w:tcPr>
          <w:p>
            <w:r/>
            <w:r>
              <w:rPr>
                <w:b/>
                <w:sz w:val="17"/>
              </w:rPr>
              <w:t>Required output</w:t>
            </w:r>
          </w:p>
        </w:tc>
      </w:tr>
      <w:tr>
        <w:tc>
          <w:tcPr>
            <w:tcW w:type="dxa" w:w="2520"/>
            <w:vAlign w:val="center"/>
          </w:tcPr>
          <w:p>
            <w:r/>
            <w:r>
              <w:rPr>
                <w:b w:val="0"/>
                <w:sz w:val="17"/>
              </w:rPr>
              <w:t>1. Strategy and role scorecards</w:t>
            </w:r>
          </w:p>
        </w:tc>
        <w:tc>
          <w:tcPr>
            <w:tcW w:type="dxa" w:w="2520"/>
            <w:vAlign w:val="center"/>
          </w:tcPr>
          <w:p>
            <w:r/>
            <w:r>
              <w:rPr>
                <w:b w:val="0"/>
                <w:sz w:val="17"/>
              </w:rPr>
              <w:t>Before performance year; refreshed after major program change</w:t>
            </w:r>
          </w:p>
        </w:tc>
        <w:tc>
          <w:tcPr>
            <w:tcW w:type="dxa" w:w="2520"/>
            <w:vAlign w:val="center"/>
          </w:tcPr>
          <w:p>
            <w:r/>
            <w:r>
              <w:rPr>
                <w:b w:val="0"/>
                <w:sz w:val="17"/>
              </w:rPr>
              <w:t>Business leader + HR + functional leads</w:t>
            </w:r>
          </w:p>
        </w:tc>
        <w:tc>
          <w:tcPr>
            <w:tcW w:type="dxa" w:w="2520"/>
            <w:vAlign w:val="center"/>
          </w:tcPr>
          <w:p>
            <w:r/>
            <w:r>
              <w:rPr>
                <w:b w:val="0"/>
                <w:sz w:val="17"/>
              </w:rPr>
              <w:t>Approved role templates, measures, weightings, rating anchors</w:t>
            </w:r>
          </w:p>
        </w:tc>
      </w:tr>
      <w:tr>
        <w:tc>
          <w:tcPr>
            <w:tcW w:type="dxa" w:w="2520"/>
            <w:vAlign w:val="center"/>
          </w:tcPr>
          <w:p>
            <w:r/>
            <w:r>
              <w:rPr>
                <w:b w:val="0"/>
                <w:sz w:val="17"/>
              </w:rPr>
              <w:t>2. Goal agreement</w:t>
            </w:r>
          </w:p>
        </w:tc>
        <w:tc>
          <w:tcPr>
            <w:tcW w:type="dxa" w:w="2520"/>
            <w:vAlign w:val="center"/>
          </w:tcPr>
          <w:p>
            <w:r/>
            <w:r>
              <w:rPr>
                <w:b w:val="0"/>
                <w:sz w:val="17"/>
              </w:rPr>
              <w:t>First 30 days; then when role or program scope changes</w:t>
            </w:r>
          </w:p>
        </w:tc>
        <w:tc>
          <w:tcPr>
            <w:tcW w:type="dxa" w:w="2520"/>
            <w:vAlign w:val="center"/>
          </w:tcPr>
          <w:p>
            <w:r/>
            <w:r>
              <w:rPr>
                <w:b w:val="0"/>
                <w:sz w:val="17"/>
              </w:rPr>
              <w:t>Employee + line manager</w:t>
            </w:r>
          </w:p>
        </w:tc>
        <w:tc>
          <w:tcPr>
            <w:tcW w:type="dxa" w:w="2520"/>
            <w:vAlign w:val="center"/>
          </w:tcPr>
          <w:p>
            <w:r/>
            <w:r>
              <w:rPr>
                <w:b w:val="0"/>
                <w:sz w:val="17"/>
              </w:rPr>
              <w:t>3–6 SMART goals with evidence source and due dates</w:t>
            </w:r>
          </w:p>
        </w:tc>
      </w:tr>
      <w:tr>
        <w:tc>
          <w:tcPr>
            <w:tcW w:type="dxa" w:w="2520"/>
            <w:vAlign w:val="center"/>
          </w:tcPr>
          <w:p>
            <w:r/>
            <w:r>
              <w:rPr>
                <w:b w:val="0"/>
                <w:sz w:val="17"/>
              </w:rPr>
              <w:t>3. CPM check-ins</w:t>
            </w:r>
          </w:p>
        </w:tc>
        <w:tc>
          <w:tcPr>
            <w:tcW w:type="dxa" w:w="2520"/>
            <w:vAlign w:val="center"/>
          </w:tcPr>
          <w:p>
            <w:r/>
            <w:r>
              <w:rPr>
                <w:b w:val="0"/>
                <w:sz w:val="17"/>
              </w:rPr>
              <w:t>Monthly; fortnightly for sprint/launch-critical teams</w:t>
            </w:r>
          </w:p>
        </w:tc>
        <w:tc>
          <w:tcPr>
            <w:tcW w:type="dxa" w:w="2520"/>
            <w:vAlign w:val="center"/>
          </w:tcPr>
          <w:p>
            <w:r/>
            <w:r>
              <w:rPr>
                <w:b w:val="0"/>
                <w:sz w:val="17"/>
              </w:rPr>
              <w:t>Employee + manager; matrix lead when needed</w:t>
            </w:r>
          </w:p>
        </w:tc>
        <w:tc>
          <w:tcPr>
            <w:tcW w:type="dxa" w:w="2520"/>
            <w:vAlign w:val="center"/>
          </w:tcPr>
          <w:p>
            <w:r/>
            <w:r>
              <w:rPr>
                <w:b w:val="0"/>
                <w:sz w:val="17"/>
              </w:rPr>
              <w:t>Progress, blockers, feedback, achievement log</w:t>
            </w:r>
          </w:p>
        </w:tc>
      </w:tr>
      <w:tr>
        <w:tc>
          <w:tcPr>
            <w:tcW w:type="dxa" w:w="2520"/>
            <w:vAlign w:val="center"/>
          </w:tcPr>
          <w:p>
            <w:r/>
            <w:r>
              <w:rPr>
                <w:b w:val="0"/>
                <w:sz w:val="17"/>
              </w:rPr>
              <w:t>4. Mid-year review</w:t>
            </w:r>
          </w:p>
        </w:tc>
        <w:tc>
          <w:tcPr>
            <w:tcW w:type="dxa" w:w="2520"/>
            <w:vAlign w:val="center"/>
          </w:tcPr>
          <w:p>
            <w:r/>
            <w:r>
              <w:rPr>
                <w:b w:val="0"/>
                <w:sz w:val="17"/>
              </w:rPr>
              <w:t>Month 6</w:t>
            </w:r>
          </w:p>
        </w:tc>
        <w:tc>
          <w:tcPr>
            <w:tcW w:type="dxa" w:w="2520"/>
            <w:vAlign w:val="center"/>
          </w:tcPr>
          <w:p>
            <w:r/>
            <w:r>
              <w:rPr>
                <w:b w:val="0"/>
                <w:sz w:val="17"/>
              </w:rPr>
              <w:t>Employee + manager</w:t>
            </w:r>
          </w:p>
        </w:tc>
        <w:tc>
          <w:tcPr>
            <w:tcW w:type="dxa" w:w="2520"/>
            <w:vAlign w:val="center"/>
          </w:tcPr>
          <w:p>
            <w:r/>
            <w:r>
              <w:rPr>
                <w:b w:val="0"/>
                <w:sz w:val="17"/>
              </w:rPr>
              <w:t>Goal progress, revised targets, documented coaching actions</w:t>
            </w:r>
          </w:p>
        </w:tc>
      </w:tr>
      <w:tr>
        <w:tc>
          <w:tcPr>
            <w:tcW w:type="dxa" w:w="2520"/>
            <w:vAlign w:val="center"/>
          </w:tcPr>
          <w:p>
            <w:r/>
            <w:r>
              <w:rPr>
                <w:b w:val="0"/>
                <w:sz w:val="17"/>
              </w:rPr>
              <w:t>5. Year-end self and manager review</w:t>
            </w:r>
          </w:p>
        </w:tc>
        <w:tc>
          <w:tcPr>
            <w:tcW w:type="dxa" w:w="2520"/>
            <w:vAlign w:val="center"/>
          </w:tcPr>
          <w:p>
            <w:r/>
            <w:r>
              <w:rPr>
                <w:b w:val="0"/>
                <w:sz w:val="17"/>
              </w:rPr>
              <w:t>Month 11–12</w:t>
            </w:r>
          </w:p>
        </w:tc>
        <w:tc>
          <w:tcPr>
            <w:tcW w:type="dxa" w:w="2520"/>
            <w:vAlign w:val="center"/>
          </w:tcPr>
          <w:p>
            <w:r/>
            <w:r>
              <w:rPr>
                <w:b w:val="0"/>
                <w:sz w:val="17"/>
              </w:rPr>
              <w:t>Employee + manager</w:t>
            </w:r>
          </w:p>
        </w:tc>
        <w:tc>
          <w:tcPr>
            <w:tcW w:type="dxa" w:w="2520"/>
            <w:vAlign w:val="center"/>
          </w:tcPr>
          <w:p>
            <w:r/>
            <w:r>
              <w:rPr>
                <w:b w:val="0"/>
                <w:sz w:val="17"/>
              </w:rPr>
              <w:t>Evidence-backed proposed ratings and narrative</w:t>
            </w:r>
          </w:p>
        </w:tc>
      </w:tr>
      <w:tr>
        <w:tc>
          <w:tcPr>
            <w:tcW w:type="dxa" w:w="2520"/>
            <w:vAlign w:val="center"/>
          </w:tcPr>
          <w:p>
            <w:r/>
            <w:r>
              <w:rPr>
                <w:b w:val="0"/>
                <w:sz w:val="17"/>
              </w:rPr>
              <w:t>6. Calibration and moderation</w:t>
            </w:r>
          </w:p>
        </w:tc>
        <w:tc>
          <w:tcPr>
            <w:tcW w:type="dxa" w:w="2520"/>
            <w:vAlign w:val="center"/>
          </w:tcPr>
          <w:p>
            <w:r/>
            <w:r>
              <w:rPr>
                <w:b w:val="0"/>
                <w:sz w:val="17"/>
              </w:rPr>
              <w:t>After manager reviews, before final release</w:t>
            </w:r>
          </w:p>
        </w:tc>
        <w:tc>
          <w:tcPr>
            <w:tcW w:type="dxa" w:w="2520"/>
            <w:vAlign w:val="center"/>
          </w:tcPr>
          <w:p>
            <w:r/>
            <w:r>
              <w:rPr>
                <w:b w:val="0"/>
                <w:sz w:val="17"/>
              </w:rPr>
              <w:t>Cross-functional managers + HR facilitator</w:t>
            </w:r>
          </w:p>
        </w:tc>
        <w:tc>
          <w:tcPr>
            <w:tcW w:type="dxa" w:w="2520"/>
            <w:vAlign w:val="center"/>
          </w:tcPr>
          <w:p>
            <w:r/>
            <w:r>
              <w:rPr>
                <w:b w:val="0"/>
                <w:sz w:val="17"/>
              </w:rPr>
              <w:t>Consistency checks, documented rating changes</w:t>
            </w:r>
          </w:p>
        </w:tc>
      </w:tr>
      <w:tr>
        <w:tc>
          <w:tcPr>
            <w:tcW w:type="dxa" w:w="2520"/>
            <w:vAlign w:val="center"/>
          </w:tcPr>
          <w:p>
            <w:r/>
            <w:r>
              <w:rPr>
                <w:b w:val="0"/>
                <w:sz w:val="17"/>
              </w:rPr>
              <w:t>7. Feedback and development plan</w:t>
            </w:r>
          </w:p>
        </w:tc>
        <w:tc>
          <w:tcPr>
            <w:tcW w:type="dxa" w:w="2520"/>
            <w:vAlign w:val="center"/>
          </w:tcPr>
          <w:p>
            <w:r/>
            <w:r>
              <w:rPr>
                <w:b w:val="0"/>
                <w:sz w:val="17"/>
              </w:rPr>
              <w:t>Within 10 working days of final review</w:t>
            </w:r>
          </w:p>
        </w:tc>
        <w:tc>
          <w:tcPr>
            <w:tcW w:type="dxa" w:w="2520"/>
            <w:vAlign w:val="center"/>
          </w:tcPr>
          <w:p>
            <w:r/>
            <w:r>
              <w:rPr>
                <w:b w:val="0"/>
                <w:sz w:val="17"/>
              </w:rPr>
              <w:t>Manager + employee; HRBP support</w:t>
            </w:r>
          </w:p>
        </w:tc>
        <w:tc>
          <w:tcPr>
            <w:tcW w:type="dxa" w:w="2520"/>
            <w:vAlign w:val="center"/>
          </w:tcPr>
          <w:p>
            <w:r/>
            <w:r>
              <w:rPr>
                <w:b w:val="0"/>
                <w:sz w:val="17"/>
              </w:rPr>
              <w:t>Agreed development goals, resources, milestones</w:t>
            </w:r>
          </w:p>
        </w:tc>
      </w:tr>
      <w:tr>
        <w:tc>
          <w:tcPr>
            <w:tcW w:type="dxa" w:w="2520"/>
            <w:vAlign w:val="center"/>
          </w:tcPr>
          <w:p>
            <w:r/>
            <w:r>
              <w:rPr>
                <w:b w:val="0"/>
                <w:sz w:val="17"/>
              </w:rPr>
              <w:t>8. System and process evaluation</w:t>
            </w:r>
          </w:p>
        </w:tc>
        <w:tc>
          <w:tcPr>
            <w:tcW w:type="dxa" w:w="2520"/>
            <w:vAlign w:val="center"/>
          </w:tcPr>
          <w:p>
            <w:r/>
            <w:r>
              <w:rPr>
                <w:b w:val="0"/>
                <w:sz w:val="17"/>
              </w:rPr>
              <w:t>Quarterly dashboard; annual policy review</w:t>
            </w:r>
          </w:p>
        </w:tc>
        <w:tc>
          <w:tcPr>
            <w:tcW w:type="dxa" w:w="2520"/>
            <w:vAlign w:val="center"/>
          </w:tcPr>
          <w:p>
            <w:r/>
            <w:r>
              <w:rPr>
                <w:b w:val="0"/>
                <w:sz w:val="17"/>
              </w:rPr>
              <w:t>HR analytics + process owner</w:t>
            </w:r>
          </w:p>
        </w:tc>
        <w:tc>
          <w:tcPr>
            <w:tcW w:type="dxa" w:w="2520"/>
            <w:vAlign w:val="center"/>
          </w:tcPr>
          <w:p>
            <w:r/>
            <w:r>
              <w:rPr>
                <w:b w:val="0"/>
                <w:sz w:val="17"/>
              </w:rPr>
              <w:t>KPI review, exception log, improvements</w:t>
            </w:r>
          </w:p>
        </w:tc>
      </w:tr>
    </w:tbl>
    <w:p/>
    <w:p>
      <w:r>
        <w:t>Workflow (proposed): Corporate strategy → role scorecard → employee/manager goal agreement → monthly CPM evidence and coaching → mid-year checkpoint → year-end self-assessment and manager assessment → calibration → final discussion and sign-off → development plan → dashboard review and next-cycle goal reset.</w:t>
      </w:r>
    </w:p>
    <w:p>
      <w:pPr>
        <w:pStyle w:val="Heading1"/>
      </w:pPr>
      <w:r>
        <w:t>3. Role-Specific Evaluation Framework and Example Metrics</w:t>
      </w:r>
    </w:p>
    <w:p>
      <w:r>
        <w:t>Use a five-point behaviourally anchored scale, but do not rely on a numeric score without evidence. Suggested anchors: 1 = materially below agreed requirements with documented examples; 2 = partially meets requirements and needs frequent support; 3 = consistently meets agreed expectations; 4 = exceeds key expectations with repeatable evidence; 5 = exceptional, sustained impact beyond role scope while maintaining quality, safety, and collaboration. A rating of 5 is not a reward for long hours, and a rating of 1 must not be based on one unverified incident.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B4C7E7"/>
          </w:tcPr>
          <w:p>
            <w:r/>
            <w:r>
              <w:rPr>
                <w:b/>
                <w:sz w:val="17"/>
              </w:rPr>
              <w:t>Role group</w:t>
            </w:r>
          </w:p>
        </w:tc>
        <w:tc>
          <w:tcPr>
            <w:tcW w:type="dxa" w:w="2520"/>
            <w:vAlign w:val="center"/>
            <w:shd w:fill="B4C7E7"/>
          </w:tcPr>
          <w:p>
            <w:r/>
            <w:r>
              <w:rPr>
                <w:b/>
                <w:sz w:val="17"/>
              </w:rPr>
              <w:t>Illustrative goal / KPI</w:t>
            </w:r>
          </w:p>
        </w:tc>
        <w:tc>
          <w:tcPr>
            <w:tcW w:type="dxa" w:w="2520"/>
            <w:vAlign w:val="center"/>
            <w:shd w:fill="B4C7E7"/>
          </w:tcPr>
          <w:p>
            <w:r/>
            <w:r>
              <w:rPr>
                <w:b/>
                <w:sz w:val="17"/>
              </w:rPr>
              <w:t>Example target and evidence</w:t>
            </w:r>
          </w:p>
        </w:tc>
        <w:tc>
          <w:tcPr>
            <w:tcW w:type="dxa" w:w="2520"/>
            <w:vAlign w:val="center"/>
            <w:shd w:fill="B4C7E7"/>
          </w:tcPr>
          <w:p>
            <w:r/>
            <w:r>
              <w:rPr>
                <w:b/>
                <w:sz w:val="17"/>
              </w:rPr>
              <w:t>Weight</w:t>
            </w:r>
          </w:p>
        </w:tc>
      </w:tr>
      <w:tr>
        <w:tc>
          <w:tcPr>
            <w:tcW w:type="dxa" w:w="2520"/>
            <w:vAlign w:val="center"/>
          </w:tcPr>
          <w:p>
            <w:r/>
            <w:r>
              <w:rPr>
                <w:b w:val="0"/>
                <w:sz w:val="17"/>
              </w:rPr>
              <w:t>Plant production supervisor</w:t>
            </w:r>
          </w:p>
        </w:tc>
        <w:tc>
          <w:tcPr>
            <w:tcW w:type="dxa" w:w="2520"/>
            <w:vAlign w:val="center"/>
          </w:tcPr>
          <w:p>
            <w:r/>
            <w:r>
              <w:rPr>
                <w:b w:val="0"/>
                <w:sz w:val="17"/>
              </w:rPr>
              <w:t>First-pass yield (FPY) and standard-work adherence</w:t>
            </w:r>
          </w:p>
        </w:tc>
        <w:tc>
          <w:tcPr>
            <w:tcW w:type="dxa" w:w="2520"/>
            <w:vAlign w:val="center"/>
          </w:tcPr>
          <w:p>
            <w:r/>
            <w:r>
              <w:rPr>
                <w:b w:val="0"/>
                <w:sz w:val="17"/>
              </w:rPr>
              <w:t>Improve FPY from a validated baseline of 96.0% to 97.0% by Q4; evidence from approved MES/quality reports and audit samples</w:t>
            </w:r>
          </w:p>
        </w:tc>
        <w:tc>
          <w:tcPr>
            <w:tcW w:type="dxa" w:w="2520"/>
            <w:vAlign w:val="center"/>
          </w:tcPr>
          <w:p>
            <w:r/>
            <w:r>
              <w:rPr>
                <w:b w:val="0"/>
                <w:sz w:val="17"/>
              </w:rPr>
              <w:t>30%</w:t>
            </w:r>
          </w:p>
        </w:tc>
      </w:tr>
      <w:tr>
        <w:tc>
          <w:tcPr>
            <w:tcW w:type="dxa" w:w="2520"/>
            <w:vAlign w:val="center"/>
          </w:tcPr>
          <w:p>
            <w:r/>
            <w:r>
              <w:rPr>
                <w:b w:val="0"/>
                <w:sz w:val="17"/>
              </w:rPr>
              <w:t>Plant production supervisor</w:t>
            </w:r>
          </w:p>
        </w:tc>
        <w:tc>
          <w:tcPr>
            <w:tcW w:type="dxa" w:w="2520"/>
            <w:vAlign w:val="center"/>
          </w:tcPr>
          <w:p>
            <w:r/>
            <w:r>
              <w:rPr>
                <w:b w:val="0"/>
                <w:sz w:val="17"/>
              </w:rPr>
              <w:t>Safety and corrective action</w:t>
            </w:r>
          </w:p>
        </w:tc>
        <w:tc>
          <w:tcPr>
            <w:tcW w:type="dxa" w:w="2520"/>
            <w:vAlign w:val="center"/>
          </w:tcPr>
          <w:p>
            <w:r/>
            <w:r>
              <w:rPr>
                <w:b w:val="0"/>
                <w:sz w:val="17"/>
              </w:rPr>
              <w:t>Complete 100% of assigned safety actions by due date; verify closure quality; evidence from EHS/CAPA records. Near-miss reporting itself is not penalised</w:t>
            </w:r>
          </w:p>
        </w:tc>
        <w:tc>
          <w:tcPr>
            <w:tcW w:type="dxa" w:w="2520"/>
            <w:vAlign w:val="center"/>
          </w:tcPr>
          <w:p>
            <w:r/>
            <w:r>
              <w:rPr>
                <w:b w:val="0"/>
                <w:sz w:val="17"/>
              </w:rPr>
              <w:t>25%</w:t>
            </w:r>
          </w:p>
        </w:tc>
      </w:tr>
      <w:tr>
        <w:tc>
          <w:tcPr>
            <w:tcW w:type="dxa" w:w="2520"/>
            <w:vAlign w:val="center"/>
          </w:tcPr>
          <w:p>
            <w:r/>
            <w:r>
              <w:rPr>
                <w:b w:val="0"/>
                <w:sz w:val="17"/>
              </w:rPr>
              <w:t>Supplier / quality engineer</w:t>
            </w:r>
          </w:p>
        </w:tc>
        <w:tc>
          <w:tcPr>
            <w:tcW w:type="dxa" w:w="2520"/>
            <w:vAlign w:val="center"/>
          </w:tcPr>
          <w:p>
            <w:r/>
            <w:r>
              <w:rPr>
                <w:b w:val="0"/>
                <w:sz w:val="17"/>
              </w:rPr>
              <w:t>Corrective-action effectiveness</w:t>
            </w:r>
          </w:p>
        </w:tc>
        <w:tc>
          <w:tcPr>
            <w:tcW w:type="dxa" w:w="2520"/>
            <w:vAlign w:val="center"/>
          </w:tcPr>
          <w:p>
            <w:r/>
            <w:r>
              <w:rPr>
                <w:b w:val="0"/>
                <w:sz w:val="17"/>
              </w:rPr>
              <w:t>At least 90% of assigned supplier corrective actions closed by due date and recurrence checked at 60/90 days; evidence from supplier quality system</w:t>
            </w:r>
          </w:p>
        </w:tc>
        <w:tc>
          <w:tcPr>
            <w:tcW w:type="dxa" w:w="2520"/>
            <w:vAlign w:val="center"/>
          </w:tcPr>
          <w:p>
            <w:r/>
            <w:r>
              <w:rPr>
                <w:b w:val="0"/>
                <w:sz w:val="17"/>
              </w:rPr>
              <w:t>30%</w:t>
            </w:r>
          </w:p>
        </w:tc>
      </w:tr>
      <w:tr>
        <w:tc>
          <w:tcPr>
            <w:tcW w:type="dxa" w:w="2520"/>
            <w:vAlign w:val="center"/>
          </w:tcPr>
          <w:p>
            <w:r/>
            <w:r>
              <w:rPr>
                <w:b w:val="0"/>
                <w:sz w:val="17"/>
              </w:rPr>
              <w:t>Vehicle software engineer</w:t>
            </w:r>
          </w:p>
        </w:tc>
        <w:tc>
          <w:tcPr>
            <w:tcW w:type="dxa" w:w="2520"/>
            <w:vAlign w:val="center"/>
          </w:tcPr>
          <w:p>
            <w:r/>
            <w:r>
              <w:rPr>
                <w:b w:val="0"/>
                <w:sz w:val="17"/>
              </w:rPr>
              <w:t>Sprint commitments and defect prevention</w:t>
            </w:r>
          </w:p>
        </w:tc>
        <w:tc>
          <w:tcPr>
            <w:tcW w:type="dxa" w:w="2520"/>
            <w:vAlign w:val="center"/>
          </w:tcPr>
          <w:p>
            <w:r/>
            <w:r>
              <w:rPr>
                <w:b w:val="0"/>
                <w:sz w:val="17"/>
              </w:rPr>
              <w:t>Deliver at least 85% of sprint commitments accepted by product owner, with severity-weighted escaped defects within team threshold; evidence from approved ALM/issue tracker</w:t>
            </w:r>
          </w:p>
        </w:tc>
        <w:tc>
          <w:tcPr>
            <w:tcW w:type="dxa" w:w="2520"/>
            <w:vAlign w:val="center"/>
          </w:tcPr>
          <w:p>
            <w:r/>
            <w:r>
              <w:rPr>
                <w:b w:val="0"/>
                <w:sz w:val="17"/>
              </w:rPr>
              <w:t>30%</w:t>
            </w:r>
          </w:p>
        </w:tc>
      </w:tr>
      <w:tr>
        <w:tc>
          <w:tcPr>
            <w:tcW w:type="dxa" w:w="2520"/>
            <w:vAlign w:val="center"/>
          </w:tcPr>
          <w:p>
            <w:r/>
            <w:r>
              <w:rPr>
                <w:b w:val="0"/>
                <w:sz w:val="17"/>
              </w:rPr>
              <w:t>Systems engineer</w:t>
            </w:r>
          </w:p>
        </w:tc>
        <w:tc>
          <w:tcPr>
            <w:tcW w:type="dxa" w:w="2520"/>
            <w:vAlign w:val="center"/>
          </w:tcPr>
          <w:p>
            <w:r/>
            <w:r>
              <w:rPr>
                <w:b w:val="0"/>
                <w:sz w:val="17"/>
              </w:rPr>
              <w:t>Requirements traceability and verification</w:t>
            </w:r>
          </w:p>
        </w:tc>
        <w:tc>
          <w:tcPr>
            <w:tcW w:type="dxa" w:w="2520"/>
            <w:vAlign w:val="center"/>
          </w:tcPr>
          <w:p>
            <w:r/>
            <w:r>
              <w:rPr>
                <w:b w:val="0"/>
                <w:sz w:val="17"/>
              </w:rPr>
              <w:t>100% of safety-critical requirements have approved trace links and verification status at release gate; evidence from requirements/test system</w:t>
            </w:r>
          </w:p>
        </w:tc>
        <w:tc>
          <w:tcPr>
            <w:tcW w:type="dxa" w:w="2520"/>
            <w:vAlign w:val="center"/>
          </w:tcPr>
          <w:p>
            <w:r/>
            <w:r>
              <w:rPr>
                <w:b w:val="0"/>
                <w:sz w:val="17"/>
              </w:rPr>
              <w:t>30%</w:t>
            </w:r>
          </w:p>
        </w:tc>
      </w:tr>
      <w:tr>
        <w:tc>
          <w:tcPr>
            <w:tcW w:type="dxa" w:w="2520"/>
            <w:vAlign w:val="center"/>
          </w:tcPr>
          <w:p>
            <w:r/>
            <w:r>
              <w:rPr>
                <w:b w:val="0"/>
                <w:sz w:val="17"/>
              </w:rPr>
              <w:t>Engineering manager</w:t>
            </w:r>
          </w:p>
        </w:tc>
        <w:tc>
          <w:tcPr>
            <w:tcW w:type="dxa" w:w="2520"/>
            <w:vAlign w:val="center"/>
          </w:tcPr>
          <w:p>
            <w:r/>
            <w:r>
              <w:rPr>
                <w:b w:val="0"/>
                <w:sz w:val="17"/>
              </w:rPr>
              <w:t>Cross-functional delivery and coaching</w:t>
            </w:r>
          </w:p>
        </w:tc>
        <w:tc>
          <w:tcPr>
            <w:tcW w:type="dxa" w:w="2520"/>
            <w:vAlign w:val="center"/>
          </w:tcPr>
          <w:p>
            <w:r/>
            <w:r>
              <w:rPr>
                <w:b w:val="0"/>
                <w:sz w:val="17"/>
              </w:rPr>
              <w:t>At least 90% of agreed program milestones met or risk-escalated on time; quarterly documented development conversations with each direct report</w:t>
            </w:r>
          </w:p>
        </w:tc>
        <w:tc>
          <w:tcPr>
            <w:tcW w:type="dxa" w:w="2520"/>
            <w:vAlign w:val="center"/>
          </w:tcPr>
          <w:p>
            <w:r/>
            <w:r>
              <w:rPr>
                <w:b w:val="0"/>
                <w:sz w:val="17"/>
              </w:rPr>
              <w:t>30%</w:t>
            </w:r>
          </w:p>
        </w:tc>
      </w:tr>
      <w:tr>
        <w:tc>
          <w:tcPr>
            <w:tcW w:type="dxa" w:w="2520"/>
            <w:vAlign w:val="center"/>
          </w:tcPr>
          <w:p>
            <w:r/>
            <w:r>
              <w:rPr>
                <w:b w:val="0"/>
                <w:sz w:val="17"/>
              </w:rPr>
              <w:t>Corporate / HR analyst</w:t>
            </w:r>
          </w:p>
        </w:tc>
        <w:tc>
          <w:tcPr>
            <w:tcW w:type="dxa" w:w="2520"/>
            <w:vAlign w:val="center"/>
          </w:tcPr>
          <w:p>
            <w:r/>
            <w:r>
              <w:rPr>
                <w:b w:val="0"/>
                <w:sz w:val="17"/>
              </w:rPr>
              <w:t>Service quality and process improvement</w:t>
            </w:r>
          </w:p>
        </w:tc>
        <w:tc>
          <w:tcPr>
            <w:tcW w:type="dxa" w:w="2520"/>
            <w:vAlign w:val="center"/>
          </w:tcPr>
          <w:p>
            <w:r/>
            <w:r>
              <w:rPr>
                <w:b w:val="0"/>
                <w:sz w:val="17"/>
              </w:rPr>
              <w:t>Reduce median approved-case cycle time by 15% against a 3-month baseline without increasing rework; evidence from case-management timestamps and QA sampling</w:t>
            </w:r>
          </w:p>
        </w:tc>
        <w:tc>
          <w:tcPr>
            <w:tcW w:type="dxa" w:w="2520"/>
            <w:vAlign w:val="center"/>
          </w:tcPr>
          <w:p>
            <w:r/>
            <w:r>
              <w:rPr>
                <w:b w:val="0"/>
                <w:sz w:val="17"/>
              </w:rPr>
              <w:t>30%</w:t>
            </w:r>
          </w:p>
        </w:tc>
      </w:tr>
    </w:tbl>
    <w:p/>
    <w:p>
      <w:r>
        <w:t>These are examples for a pilot and must be set against real baselines, customer-specific requirements, role authority, and measurement reliability. Targets should not be copied unchanged across plants or vehicle programs. The automotive quality context matters: IATF 16949 is a sector quality-management standard used alongside ISO 9001 and customer-specific requirements; therefore performance measures should support defect prevention, process control, and customer quality rather than encourage employees to hide defects [1].</w:t>
      </w:r>
    </w:p>
    <w:p>
      <w:pPr>
        <w:pStyle w:val="Heading1"/>
      </w:pPr>
      <w:r>
        <w:t>4. Scoring Method and Evidence Rules</w:t>
      </w:r>
    </w:p>
    <w:p>
      <w:r>
        <w:t>Each employee has 3–6 goals. A sample overall score uses weighted goal achievement (60%), role competencies and behaviours (25%), and contribution to development/continuous improvement (15%). The percentages are a proposed policy choice, not a SAP default. Safety-critical roles may assign a larger quality/compliance share. Each goal rating is multiplied by its weight, then summed. Example: a software engineer scores 4/5 on delivery (30%), 3/5 on defect prevention (30%), 4/5 on collaboration (20%), and 3/5 on learning and knowledge-sharing (20%). Weighted score = 1.2 + 0.9 + 0.8 + 0.6 = 3.5/5. The manager must still explain material context, including dependency delays or approved scope changes.</w:t>
      </w:r>
    </w:p>
    <w:p>
      <w:r>
        <w:t>Evidence rules: (1) define the source system and reporting period before the cycle; (2) use denominator and exclusion rules consistently; (3) distinguish individual contribution from team outcome; (4) record examples, not confidential customer or vehicle data in free-text notes; (5) allow employees to add context or correct factual errors; (6) never use keystrokes, screen time, code-line counts, or raw activity volume as a stand-alone productivity measure; and (7) document target changes with date, reason, and approver.</w:t>
      </w:r>
    </w:p>
    <w:p>
      <w:pPr>
        <w:pStyle w:val="Heading1"/>
      </w:pPr>
      <w:r>
        <w:t>5. SAP SuccessFactors Integration Design</w:t>
      </w:r>
    </w:p>
    <w:p>
      <w:pPr>
        <w:pStyle w:val="Heading2"/>
      </w:pPr>
      <w:r>
        <w:t>5.1 Goal Management and Performance Forms</w:t>
      </w:r>
    </w:p>
    <w:p>
      <w:r>
        <w:t>Configure goal plans for the performance year and map goal categories to corporate, program, functional, and development priorities. SAP documents Goal Management as supporting the creation, alignment, monitoring, and measurement of organizational and individual goals [2]. In the proposed configuration, a corporate objective such as “reduce customer-reported launch defects” cascades to a plant quality goal, a supplier quality goal, and a systems verification goal. Employees and managers agree the measure, baseline, target, due date, weight, and evidence source.</w:t>
      </w:r>
    </w:p>
    <w:p>
      <w:r>
        <w:t>Performance form template: include goal results, role competencies, values/safety behaviours, employee comments, manager comments, evidence links or references, and a final development section. Configure rating scales and permissions consistently. Use the current supported form experience in the tenant and validate any legacy-template dependencies before rollout; SAP’s current learning documentation notes that performance form experiences and release behaviour evolve, so the tenant’s release and configuration must be checked rather than assumed [3].</w:t>
      </w:r>
    </w:p>
    <w:p>
      <w:pPr>
        <w:pStyle w:val="Heading2"/>
      </w:pPr>
      <w:r>
        <w:t>5.2 Continuous Performance Management (CPM)</w:t>
      </w:r>
    </w:p>
    <w:p>
      <w:r>
        <w:t>Enable CPM only after confirming the Performance &amp; Goals licence, platform prerequisites, role-based permissions, and access to required employee fields. SAP’s configuration guidance identifies CPM as a way for employees and managers to hold structured discussions and capture activities and achievements; activities can be linked to performance or development goals [4][5]. Configure permissions separately for employees, managers, HR administrators, and any approved matrix roles. Test employee search, feedback recipient search, mobile/browser access, and notifications with test accounts before pilot.</w:t>
      </w:r>
    </w:p>
    <w:p>
      <w:r>
        <w:t>Practical example: after a vehicle software sprint, an engineer records the activity “complete battery-management diagnostic state-machine tests,” links it to the goal “increase verified test coverage,” and records the achievement only after the test report is accepted. During the monthly check-in, the manager records the blocker (for example, unavailable hardware-in-the-loop bench time), assigns an owner, and agrees a new date if justified. The final appraisal uses this evidence trail; the activity log itself is not treated as an automatic rating.</w:t>
      </w:r>
    </w:p>
    <w:p>
      <w:pPr>
        <w:pStyle w:val="Heading2"/>
      </w:pPr>
      <w:r>
        <w:t>5.3 Calibration and 360-Degree Reviews</w:t>
      </w:r>
    </w:p>
    <w:p>
      <w:r>
        <w:t>Configure calibration sessions after manager reviews and before employees receive final ratings. SAP describes calibration as a process for comparing and potentially adjusting ratings so performance levels are interpreted consistently across teams [6]. Use a calibration template with list and matrix views where appropriate, set facilitator and participant permissions, and require a written rationale for every rating change. Do not set a forced bell curve: the purpose is consistency and evidence review, not manufacturing a predetermined distribution. Review group-level patterns for unusually severe or generous ratings, but treat patterns as prompts for investigation rather than proof of bias.</w:t>
      </w:r>
    </w:p>
    <w:p>
      <w:r>
        <w:t>Use 360 reviews selectively for people managers, technical leads, and roles with significant cross-functional influence. Define eligible rater categories and a minimum response threshold in line with privacy policy; explain that comments may be summarised and protect respondent confidentiality. Avoid using a 360 score as the sole determinant of compensation or performance rating. SAP documentation describes specific constraints for 360 calibration mode, including the need for compatible competency-section and rating-scale configuration; test the chosen template and route map in a non-production environment [7].</w:t>
      </w:r>
    </w:p>
    <w:p>
      <w:pPr>
        <w:pStyle w:val="Heading2"/>
      </w:pPr>
      <w:r>
        <w:t>5.4 People Analytics and Dashboards</w:t>
      </w:r>
    </w:p>
    <w:p>
      <w:r>
        <w:t>Build separate Story Reports for executives, HRBPs, and line managers rather than one oversized dashboard. SAP Help describes Story Reports as using SAP Analytics Cloud integration for visual reports and cross-suite reporting; access depends on permissions and data schemas [8][9]. The dashboard should show review completion, goal status, check-in coverage, rating distributions, IDP milestones, and selected business outcomes by role/site/program. A business KPI such as FPY or escaped defects may originate in MES, QMS, or engineering tools rather than SuccessFactors; where it is not natively available, integrate an approved aggregate through a governed data pipeline or show a validated link/reference. Do not imply that every operational system is automatically connected.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4C7E7"/>
          </w:tcPr>
          <w:p>
            <w:r/>
            <w:r>
              <w:rPr>
                <w:b/>
                <w:sz w:val="17"/>
              </w:rPr>
              <w:t>Data / feature</w:t>
            </w:r>
          </w:p>
        </w:tc>
        <w:tc>
          <w:tcPr>
            <w:tcW w:type="dxa" w:w="3360"/>
            <w:vAlign w:val="center"/>
            <w:shd w:fill="B4C7E7"/>
          </w:tcPr>
          <w:p>
            <w:r/>
            <w:r>
              <w:rPr>
                <w:b/>
                <w:sz w:val="17"/>
              </w:rPr>
              <w:t>Proposed integration pattern</w:t>
            </w:r>
          </w:p>
        </w:tc>
        <w:tc>
          <w:tcPr>
            <w:tcW w:type="dxa" w:w="3360"/>
            <w:vAlign w:val="center"/>
            <w:shd w:fill="B4C7E7"/>
          </w:tcPr>
          <w:p>
            <w:r/>
            <w:r>
              <w:rPr>
                <w:b/>
                <w:sz w:val="17"/>
              </w:rPr>
              <w:t>Control / validation</w:t>
            </w:r>
          </w:p>
        </w:tc>
      </w:tr>
      <w:tr>
        <w:tc>
          <w:tcPr>
            <w:tcW w:type="dxa" w:w="3360"/>
            <w:vAlign w:val="center"/>
          </w:tcPr>
          <w:p>
            <w:r/>
            <w:r>
              <w:rPr>
                <w:b w:val="0"/>
                <w:sz w:val="17"/>
              </w:rPr>
              <w:t>Employee, manager, job, org</w:t>
            </w:r>
          </w:p>
        </w:tc>
        <w:tc>
          <w:tcPr>
            <w:tcW w:type="dxa" w:w="3360"/>
            <w:vAlign w:val="center"/>
          </w:tcPr>
          <w:p>
            <w:r/>
            <w:r>
              <w:rPr>
                <w:b w:val="0"/>
                <w:sz w:val="17"/>
              </w:rPr>
              <w:t>Employee Central or approved HR master-data feed, where licensed</w:t>
            </w:r>
          </w:p>
        </w:tc>
        <w:tc>
          <w:tcPr>
            <w:tcW w:type="dxa" w:w="3360"/>
            <w:vAlign w:val="center"/>
          </w:tcPr>
          <w:p>
            <w:r/>
            <w:r>
              <w:rPr>
                <w:b w:val="0"/>
                <w:sz w:val="17"/>
              </w:rPr>
              <w:t>Reconcile employee IDs, manager relationships, transfers, and inactive users</w:t>
            </w:r>
          </w:p>
        </w:tc>
      </w:tr>
      <w:tr>
        <w:tc>
          <w:tcPr>
            <w:tcW w:type="dxa" w:w="3360"/>
            <w:vAlign w:val="center"/>
          </w:tcPr>
          <w:p>
            <w:r/>
            <w:r>
              <w:rPr>
                <w:b w:val="0"/>
                <w:sz w:val="17"/>
              </w:rPr>
              <w:t>Goals and formal ratings</w:t>
            </w:r>
          </w:p>
        </w:tc>
        <w:tc>
          <w:tcPr>
            <w:tcW w:type="dxa" w:w="3360"/>
            <w:vAlign w:val="center"/>
          </w:tcPr>
          <w:p>
            <w:r/>
            <w:r>
              <w:rPr>
                <w:b w:val="0"/>
                <w:sz w:val="17"/>
              </w:rPr>
              <w:t>Native Goal Management and Performance Management configuration</w:t>
            </w:r>
          </w:p>
        </w:tc>
        <w:tc>
          <w:tcPr>
            <w:tcW w:type="dxa" w:w="3360"/>
            <w:vAlign w:val="center"/>
          </w:tcPr>
          <w:p>
            <w:r/>
            <w:r>
              <w:rPr>
                <w:b w:val="0"/>
                <w:sz w:val="17"/>
              </w:rPr>
              <w:t>Test rating scales, weights, route map, permissions, and form completion</w:t>
            </w:r>
          </w:p>
        </w:tc>
      </w:tr>
      <w:tr>
        <w:tc>
          <w:tcPr>
            <w:tcW w:type="dxa" w:w="3360"/>
            <w:vAlign w:val="center"/>
          </w:tcPr>
          <w:p>
            <w:r/>
            <w:r>
              <w:rPr>
                <w:b w:val="0"/>
                <w:sz w:val="17"/>
              </w:rPr>
              <w:t>CPM activities and feedback</w:t>
            </w:r>
          </w:p>
        </w:tc>
        <w:tc>
          <w:tcPr>
            <w:tcW w:type="dxa" w:w="3360"/>
            <w:vAlign w:val="center"/>
          </w:tcPr>
          <w:p>
            <w:r/>
            <w:r>
              <w:rPr>
                <w:b w:val="0"/>
                <w:sz w:val="17"/>
              </w:rPr>
              <w:t>Native CPM; supported APIs only where a genuine extension is needed</w:t>
            </w:r>
          </w:p>
        </w:tc>
        <w:tc>
          <w:tcPr>
            <w:tcW w:type="dxa" w:w="3360"/>
            <w:vAlign w:val="center"/>
          </w:tcPr>
          <w:p>
            <w:r/>
            <w:r>
              <w:rPr>
                <w:b w:val="0"/>
                <w:sz w:val="17"/>
              </w:rPr>
              <w:t>Use approved authentication, least privilege, audit logs, and API error monitoring</w:t>
            </w:r>
          </w:p>
        </w:tc>
      </w:tr>
      <w:tr>
        <w:tc>
          <w:tcPr>
            <w:tcW w:type="dxa" w:w="3360"/>
            <w:vAlign w:val="center"/>
          </w:tcPr>
          <w:p>
            <w:r/>
            <w:r>
              <w:rPr>
                <w:b w:val="0"/>
                <w:sz w:val="17"/>
              </w:rPr>
              <w:t>Plant quality / MES / QMS</w:t>
            </w:r>
          </w:p>
        </w:tc>
        <w:tc>
          <w:tcPr>
            <w:tcW w:type="dxa" w:w="3360"/>
            <w:vAlign w:val="center"/>
          </w:tcPr>
          <w:p>
            <w:r/>
            <w:r>
              <w:rPr>
                <w:b w:val="0"/>
                <w:sz w:val="17"/>
              </w:rPr>
              <w:t>Aggregated KPI feed or governed report link; do not write raw production/customer records into appraisal text</w:t>
            </w:r>
          </w:p>
        </w:tc>
        <w:tc>
          <w:tcPr>
            <w:tcW w:type="dxa" w:w="3360"/>
            <w:vAlign w:val="center"/>
          </w:tcPr>
          <w:p>
            <w:r/>
            <w:r>
              <w:rPr>
                <w:b w:val="0"/>
                <w:sz w:val="17"/>
              </w:rPr>
              <w:t>Define source owner, refresh schedule, denominator, exclusions, and reconciliation</w:t>
            </w:r>
          </w:p>
        </w:tc>
      </w:tr>
      <w:tr>
        <w:tc>
          <w:tcPr>
            <w:tcW w:type="dxa" w:w="3360"/>
            <w:vAlign w:val="center"/>
          </w:tcPr>
          <w:p>
            <w:r/>
            <w:r>
              <w:rPr>
                <w:b w:val="0"/>
                <w:sz w:val="17"/>
              </w:rPr>
              <w:t>Engineering ALM / test results</w:t>
            </w:r>
          </w:p>
        </w:tc>
        <w:tc>
          <w:tcPr>
            <w:tcW w:type="dxa" w:w="3360"/>
            <w:vAlign w:val="center"/>
          </w:tcPr>
          <w:p>
            <w:r/>
            <w:r>
              <w:rPr>
                <w:b w:val="0"/>
                <w:sz w:val="17"/>
              </w:rPr>
              <w:t>Approved summary metrics and links to evidence repository</w:t>
            </w:r>
          </w:p>
        </w:tc>
        <w:tc>
          <w:tcPr>
            <w:tcW w:type="dxa" w:w="3360"/>
            <w:vAlign w:val="center"/>
          </w:tcPr>
          <w:p>
            <w:r/>
            <w:r>
              <w:rPr>
                <w:b w:val="0"/>
                <w:sz w:val="17"/>
              </w:rPr>
              <w:t>Avoid exposing source code, security-sensitive defects, or restricted customer data</w:t>
            </w:r>
          </w:p>
        </w:tc>
      </w:tr>
      <w:tr>
        <w:tc>
          <w:tcPr>
            <w:tcW w:type="dxa" w:w="3360"/>
            <w:vAlign w:val="center"/>
          </w:tcPr>
          <w:p>
            <w:r/>
            <w:r>
              <w:rPr>
                <w:b w:val="0"/>
                <w:sz w:val="17"/>
              </w:rPr>
              <w:t>Dashboards</w:t>
            </w:r>
          </w:p>
        </w:tc>
        <w:tc>
          <w:tcPr>
            <w:tcW w:type="dxa" w:w="3360"/>
            <w:vAlign w:val="center"/>
          </w:tcPr>
          <w:p>
            <w:r/>
            <w:r>
              <w:rPr>
                <w:b w:val="0"/>
                <w:sz w:val="17"/>
              </w:rPr>
              <w:t>People Analytics Story Reports for authorized audiences</w:t>
            </w:r>
          </w:p>
        </w:tc>
        <w:tc>
          <w:tcPr>
            <w:tcW w:type="dxa" w:w="3360"/>
            <w:vAlign w:val="center"/>
          </w:tcPr>
          <w:p>
            <w:r/>
            <w:r>
              <w:rPr>
                <w:b w:val="0"/>
                <w:sz w:val="17"/>
              </w:rPr>
              <w:t>Validate schema permissions, row-level access, filters, freshness, and totals</w:t>
            </w:r>
          </w:p>
        </w:tc>
      </w:tr>
    </w:tbl>
    <w:p/>
    <w:p>
      <w:pPr>
        <w:pStyle w:val="Heading1"/>
      </w:pPr>
      <w:r>
        <w:t>6. Detailed Process Workflow and Operating Controls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B4C7E7"/>
          </w:tcPr>
          <w:p>
            <w:r/>
            <w:r>
              <w:rPr>
                <w:b/>
                <w:sz w:val="17"/>
              </w:rPr>
              <w:t>Step</w:t>
            </w:r>
          </w:p>
        </w:tc>
        <w:tc>
          <w:tcPr>
            <w:tcW w:type="dxa" w:w="2520"/>
            <w:vAlign w:val="center"/>
            <w:shd w:fill="B4C7E7"/>
          </w:tcPr>
          <w:p>
            <w:r/>
            <w:r>
              <w:rPr>
                <w:b/>
                <w:sz w:val="17"/>
              </w:rPr>
              <w:t>Employee action</w:t>
            </w:r>
          </w:p>
        </w:tc>
        <w:tc>
          <w:tcPr>
            <w:tcW w:type="dxa" w:w="2520"/>
            <w:vAlign w:val="center"/>
            <w:shd w:fill="B4C7E7"/>
          </w:tcPr>
          <w:p>
            <w:r/>
            <w:r>
              <w:rPr>
                <w:b/>
                <w:sz w:val="17"/>
              </w:rPr>
              <w:t>Manager / HR / system control</w:t>
            </w:r>
          </w:p>
        </w:tc>
        <w:tc>
          <w:tcPr>
            <w:tcW w:type="dxa" w:w="2520"/>
            <w:vAlign w:val="center"/>
            <w:shd w:fill="B4C7E7"/>
          </w:tcPr>
          <w:p>
            <w:r/>
            <w:r>
              <w:rPr>
                <w:b/>
                <w:sz w:val="17"/>
              </w:rPr>
              <w:t>Exit criterion</w:t>
            </w:r>
          </w:p>
        </w:tc>
      </w:tr>
      <w:tr>
        <w:tc>
          <w:tcPr>
            <w:tcW w:type="dxa" w:w="2520"/>
            <w:vAlign w:val="center"/>
          </w:tcPr>
          <w:p>
            <w:r/>
            <w:r>
              <w:rPr>
                <w:b w:val="0"/>
                <w:sz w:val="17"/>
              </w:rPr>
              <w:t>A. Set goals</w:t>
            </w:r>
          </w:p>
        </w:tc>
        <w:tc>
          <w:tcPr>
            <w:tcW w:type="dxa" w:w="2520"/>
            <w:vAlign w:val="center"/>
          </w:tcPr>
          <w:p>
            <w:r/>
            <w:r>
              <w:rPr>
                <w:b w:val="0"/>
                <w:sz w:val="17"/>
              </w:rPr>
              <w:t>Propose goals and confirm evidence sources</w:t>
            </w:r>
          </w:p>
        </w:tc>
        <w:tc>
          <w:tcPr>
            <w:tcW w:type="dxa" w:w="2520"/>
            <w:vAlign w:val="center"/>
          </w:tcPr>
          <w:p>
            <w:r/>
            <w:r>
              <w:rPr>
                <w:b w:val="0"/>
                <w:sz w:val="17"/>
              </w:rPr>
              <w:t>Manager checks alignment, achievability, controllability, weight totals = 100%; HR audits sample</w:t>
            </w:r>
          </w:p>
        </w:tc>
        <w:tc>
          <w:tcPr>
            <w:tcW w:type="dxa" w:w="2520"/>
            <w:vAlign w:val="center"/>
          </w:tcPr>
          <w:p>
            <w:r/>
            <w:r>
              <w:rPr>
                <w:b w:val="0"/>
                <w:sz w:val="17"/>
              </w:rPr>
              <w:t>All goals approved within 30 days</w:t>
            </w:r>
          </w:p>
        </w:tc>
      </w:tr>
      <w:tr>
        <w:tc>
          <w:tcPr>
            <w:tcW w:type="dxa" w:w="2520"/>
            <w:vAlign w:val="center"/>
          </w:tcPr>
          <w:p>
            <w:r/>
            <w:r>
              <w:rPr>
                <w:b w:val="0"/>
                <w:sz w:val="17"/>
              </w:rPr>
              <w:t>B. Monthly check-in</w:t>
            </w:r>
          </w:p>
        </w:tc>
        <w:tc>
          <w:tcPr>
            <w:tcW w:type="dxa" w:w="2520"/>
            <w:vAlign w:val="center"/>
          </w:tcPr>
          <w:p>
            <w:r/>
            <w:r>
              <w:rPr>
                <w:b w:val="0"/>
                <w:sz w:val="17"/>
              </w:rPr>
              <w:t>Update progress, achievement and blockers</w:t>
            </w:r>
          </w:p>
        </w:tc>
        <w:tc>
          <w:tcPr>
            <w:tcW w:type="dxa" w:w="2520"/>
            <w:vAlign w:val="center"/>
          </w:tcPr>
          <w:p>
            <w:r/>
            <w:r>
              <w:rPr>
                <w:b w:val="0"/>
                <w:sz w:val="17"/>
              </w:rPr>
              <w:t>Manager discusses risks and coaching; CPM activity linked to goal where appropriate</w:t>
            </w:r>
          </w:p>
        </w:tc>
        <w:tc>
          <w:tcPr>
            <w:tcW w:type="dxa" w:w="2520"/>
            <w:vAlign w:val="center"/>
          </w:tcPr>
          <w:p>
            <w:r/>
            <w:r>
              <w:rPr>
                <w:b w:val="0"/>
                <w:sz w:val="17"/>
              </w:rPr>
              <w:t>Check-in date and actions recorded</w:t>
            </w:r>
          </w:p>
        </w:tc>
      </w:tr>
      <w:tr>
        <w:tc>
          <w:tcPr>
            <w:tcW w:type="dxa" w:w="2520"/>
            <w:vAlign w:val="center"/>
          </w:tcPr>
          <w:p>
            <w:r/>
            <w:r>
              <w:rPr>
                <w:b w:val="0"/>
                <w:sz w:val="17"/>
              </w:rPr>
              <w:t>C. Mid-year review</w:t>
            </w:r>
          </w:p>
        </w:tc>
        <w:tc>
          <w:tcPr>
            <w:tcW w:type="dxa" w:w="2520"/>
            <w:vAlign w:val="center"/>
          </w:tcPr>
          <w:p>
            <w:r/>
            <w:r>
              <w:rPr>
                <w:b w:val="0"/>
                <w:sz w:val="17"/>
              </w:rPr>
              <w:t>Summarise outcomes and ask for support</w:t>
            </w:r>
          </w:p>
        </w:tc>
        <w:tc>
          <w:tcPr>
            <w:tcW w:type="dxa" w:w="2520"/>
            <w:vAlign w:val="center"/>
          </w:tcPr>
          <w:p>
            <w:r/>
            <w:r>
              <w:rPr>
                <w:b w:val="0"/>
                <w:sz w:val="17"/>
              </w:rPr>
              <w:t>Manager confirms target changes and context; HR monitors overdue reviews</w:t>
            </w:r>
          </w:p>
        </w:tc>
        <w:tc>
          <w:tcPr>
            <w:tcW w:type="dxa" w:w="2520"/>
            <w:vAlign w:val="center"/>
          </w:tcPr>
          <w:p>
            <w:r/>
            <w:r>
              <w:rPr>
                <w:b w:val="0"/>
                <w:sz w:val="17"/>
              </w:rPr>
              <w:t>Employee receives written priorities</w:t>
            </w:r>
          </w:p>
        </w:tc>
      </w:tr>
      <w:tr>
        <w:tc>
          <w:tcPr>
            <w:tcW w:type="dxa" w:w="2520"/>
            <w:vAlign w:val="center"/>
          </w:tcPr>
          <w:p>
            <w:r/>
            <w:r>
              <w:rPr>
                <w:b w:val="0"/>
                <w:sz w:val="17"/>
              </w:rPr>
              <w:t>D. Year-end review</w:t>
            </w:r>
          </w:p>
        </w:tc>
        <w:tc>
          <w:tcPr>
            <w:tcW w:type="dxa" w:w="2520"/>
            <w:vAlign w:val="center"/>
          </w:tcPr>
          <w:p>
            <w:r/>
            <w:r>
              <w:rPr>
                <w:b w:val="0"/>
                <w:sz w:val="17"/>
              </w:rPr>
              <w:t>Provide self-assessment and evidence</w:t>
            </w:r>
          </w:p>
        </w:tc>
        <w:tc>
          <w:tcPr>
            <w:tcW w:type="dxa" w:w="2520"/>
            <w:vAlign w:val="center"/>
          </w:tcPr>
          <w:p>
            <w:r/>
            <w:r>
              <w:rPr>
                <w:b w:val="0"/>
                <w:sz w:val="17"/>
              </w:rPr>
              <w:t>Manager rates against anchors and reviews whole-year evidence, not recency alone</w:t>
            </w:r>
          </w:p>
        </w:tc>
        <w:tc>
          <w:tcPr>
            <w:tcW w:type="dxa" w:w="2520"/>
            <w:vAlign w:val="center"/>
          </w:tcPr>
          <w:p>
            <w:r/>
            <w:r>
              <w:rPr>
                <w:b w:val="0"/>
                <w:sz w:val="17"/>
              </w:rPr>
              <w:t>Evidence-backed draft rating</w:t>
            </w:r>
          </w:p>
        </w:tc>
      </w:tr>
      <w:tr>
        <w:tc>
          <w:tcPr>
            <w:tcW w:type="dxa" w:w="2520"/>
            <w:vAlign w:val="center"/>
          </w:tcPr>
          <w:p>
            <w:r/>
            <w:r>
              <w:rPr>
                <w:b w:val="0"/>
                <w:sz w:val="17"/>
              </w:rPr>
              <w:t>E. Calibration</w:t>
            </w:r>
          </w:p>
        </w:tc>
        <w:tc>
          <w:tcPr>
            <w:tcW w:type="dxa" w:w="2520"/>
            <w:vAlign w:val="center"/>
          </w:tcPr>
          <w:p>
            <w:r/>
            <w:r>
              <w:rPr>
                <w:b w:val="0"/>
                <w:sz w:val="17"/>
              </w:rPr>
              <w:t>Explain context if requested</w:t>
            </w:r>
          </w:p>
        </w:tc>
        <w:tc>
          <w:tcPr>
            <w:tcW w:type="dxa" w:w="2520"/>
            <w:vAlign w:val="center"/>
          </w:tcPr>
          <w:p>
            <w:r/>
            <w:r>
              <w:rPr>
                <w:b w:val="0"/>
                <w:sz w:val="17"/>
              </w:rPr>
              <w:t>Facilitator checks cross-team consistency; every override has reason and audit trail</w:t>
            </w:r>
          </w:p>
        </w:tc>
        <w:tc>
          <w:tcPr>
            <w:tcW w:type="dxa" w:w="2520"/>
            <w:vAlign w:val="center"/>
          </w:tcPr>
          <w:p>
            <w:r/>
            <w:r>
              <w:rPr>
                <w:b w:val="0"/>
                <w:sz w:val="17"/>
              </w:rPr>
              <w:t>Final rating approved</w:t>
            </w:r>
          </w:p>
        </w:tc>
      </w:tr>
      <w:tr>
        <w:tc>
          <w:tcPr>
            <w:tcW w:type="dxa" w:w="2520"/>
            <w:vAlign w:val="center"/>
          </w:tcPr>
          <w:p>
            <w:r/>
            <w:r>
              <w:rPr>
                <w:b w:val="0"/>
                <w:sz w:val="17"/>
              </w:rPr>
              <w:t>F. Feedback meeting</w:t>
            </w:r>
          </w:p>
        </w:tc>
        <w:tc>
          <w:tcPr>
            <w:tcW w:type="dxa" w:w="2520"/>
            <w:vAlign w:val="center"/>
          </w:tcPr>
          <w:p>
            <w:r/>
            <w:r>
              <w:rPr>
                <w:b w:val="0"/>
                <w:sz w:val="17"/>
              </w:rPr>
              <w:t>Discuss outcome, strengths and concerns</w:t>
            </w:r>
          </w:p>
        </w:tc>
        <w:tc>
          <w:tcPr>
            <w:tcW w:type="dxa" w:w="2520"/>
            <w:vAlign w:val="center"/>
          </w:tcPr>
          <w:p>
            <w:r/>
            <w:r>
              <w:rPr>
                <w:b w:val="0"/>
                <w:sz w:val="17"/>
              </w:rPr>
              <w:t>Manager allows response and agrees next steps; employee can flag factual error</w:t>
            </w:r>
          </w:p>
        </w:tc>
        <w:tc>
          <w:tcPr>
            <w:tcW w:type="dxa" w:w="2520"/>
            <w:vAlign w:val="center"/>
          </w:tcPr>
          <w:p>
            <w:r/>
            <w:r>
              <w:rPr>
                <w:b w:val="0"/>
                <w:sz w:val="17"/>
              </w:rPr>
              <w:t>Meeting completed and actions owned</w:t>
            </w:r>
          </w:p>
        </w:tc>
      </w:tr>
      <w:tr>
        <w:tc>
          <w:tcPr>
            <w:tcW w:type="dxa" w:w="2520"/>
            <w:vAlign w:val="center"/>
          </w:tcPr>
          <w:p>
            <w:r/>
            <w:r>
              <w:rPr>
                <w:b w:val="0"/>
                <w:sz w:val="17"/>
              </w:rPr>
              <w:t>G. Development plan</w:t>
            </w:r>
          </w:p>
        </w:tc>
        <w:tc>
          <w:tcPr>
            <w:tcW w:type="dxa" w:w="2520"/>
            <w:vAlign w:val="center"/>
          </w:tcPr>
          <w:p>
            <w:r/>
            <w:r>
              <w:rPr>
                <w:b w:val="0"/>
                <w:sz w:val="17"/>
              </w:rPr>
              <w:t>Choose one or two priority skills</w:t>
            </w:r>
          </w:p>
        </w:tc>
        <w:tc>
          <w:tcPr>
            <w:tcW w:type="dxa" w:w="2520"/>
            <w:vAlign w:val="center"/>
          </w:tcPr>
          <w:p>
            <w:r/>
            <w:r>
              <w:rPr>
                <w:b w:val="0"/>
                <w:sz w:val="17"/>
              </w:rPr>
              <w:t>Manager assigns mentor, learning resources, time and milestones; HR checks follow-through</w:t>
            </w:r>
          </w:p>
        </w:tc>
        <w:tc>
          <w:tcPr>
            <w:tcW w:type="dxa" w:w="2520"/>
            <w:vAlign w:val="center"/>
          </w:tcPr>
          <w:p>
            <w:r/>
            <w:r>
              <w:rPr>
                <w:b w:val="0"/>
                <w:sz w:val="17"/>
              </w:rPr>
              <w:t>IDP with dates and success evidence</w:t>
            </w:r>
          </w:p>
        </w:tc>
      </w:tr>
    </w:tbl>
    <w:p/>
    <w:p>
      <w:r>
        <w:t>Route-map design: a standard appraisal route may include an employee self-evaluation step, manager evaluation step, calibration/moderation step, final discussion/sign-off where policy requires it, and completion. A separate 360 route should use a dedicated rater evaluation step and should not be forced into the same route map as the standard appraisal. Step identifiers and field permissions must be treated as controlled configuration. Validate route maps and templates using SAP’s available administrative checks and a test cycle before production launch.</w:t>
      </w:r>
    </w:p>
    <w:p>
      <w:pPr>
        <w:pStyle w:val="Heading1"/>
      </w:pPr>
      <w:r>
        <w:t>7. Sample Employee Case: Supplier Quality Engineer</w:t>
      </w:r>
    </w:p>
    <w:p>
      <w:r>
        <w:t>Context (illustrative): an engineer supports 18 suppliers for a new electric-vehicle platform. At the start of the year, the baseline is 72% of corrective actions closed on time, with repeat issues occurring at three suppliers. The agreed goal is to reach 90% on-time closure by Q4 and verify effectiveness 60 days after closure. A second goal is to complete risk-based process audits for all high-risk suppliers in the assigned portfolio.</w:t>
      </w:r>
    </w:p>
    <w:p>
      <w:r>
        <w:t>Quarter 1: CPM check-ins identify that two supplier actions are waiting for customer-approved validation evidence. The manager does not rate these as simple individual failure; the employee records dependencies, escalates the decision, and proposes a revised milestone. Quarter 2: the engineer introduces a standard evidence checklist and weekly supplier action review. The dashboard shows on-time closure at 82%, while recurrence is still above target. Mid-year review therefore recognises process improvement but keeps recurrence reduction as a development priority. Quarter 3: cross-functional validation support is assigned and recurrence falls in the validated QMS data. At year-end, the manager cites the approved QMS report, audit completion records, and CPM discussion history. During calibration, peers compare the rating with engineers managing similar supplier risk and workload; any adjustment requires a written rationale.</w:t>
      </w:r>
    </w:p>
    <w:p>
      <w:r>
        <w:t>Development plan: complete advanced problem-solving / 8D training by the end of Q2 next year; co-lead one cross-functional supplier recovery; have a mentor review two 8D reports; demonstrate success by improved closure timeliness and no recurrence in the agreed verification window. This example shows how the system connects goals, operational evidence, coaching, calibration, and learning without claiming that the hypothetical results are real.</w:t>
      </w:r>
    </w:p>
    <w:p>
      <w:pPr>
        <w:pStyle w:val="Heading1"/>
      </w:pPr>
      <w:r>
        <w:t>8. Risks, Challenges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4C7E7"/>
          </w:tcPr>
          <w:p>
            <w:r/>
            <w:r>
              <w:rPr>
                <w:b/>
                <w:sz w:val="17"/>
              </w:rPr>
              <w:t>Risk / failure mode</w:t>
            </w:r>
          </w:p>
        </w:tc>
        <w:tc>
          <w:tcPr>
            <w:tcW w:type="dxa" w:w="3360"/>
            <w:vAlign w:val="center"/>
            <w:shd w:fill="B4C7E7"/>
          </w:tcPr>
          <w:p>
            <w:r/>
            <w:r>
              <w:rPr>
                <w:b/>
                <w:sz w:val="17"/>
              </w:rPr>
              <w:t>How it appears</w:t>
            </w:r>
          </w:p>
        </w:tc>
        <w:tc>
          <w:tcPr>
            <w:tcW w:type="dxa" w:w="3360"/>
            <w:vAlign w:val="center"/>
            <w:shd w:fill="B4C7E7"/>
          </w:tcPr>
          <w:p>
            <w:r/>
            <w:r>
              <w:rPr>
                <w:b/>
                <w:sz w:val="17"/>
              </w:rPr>
              <w:t>Practical mitigation and owner</w:t>
            </w:r>
          </w:p>
        </w:tc>
      </w:tr>
      <w:tr>
        <w:tc>
          <w:tcPr>
            <w:tcW w:type="dxa" w:w="3360"/>
            <w:vAlign w:val="center"/>
          </w:tcPr>
          <w:p>
            <w:r/>
            <w:r>
              <w:rPr>
                <w:b w:val="0"/>
                <w:sz w:val="17"/>
              </w:rPr>
              <w:t>Generic or poorly measurable goals</w:t>
            </w:r>
          </w:p>
        </w:tc>
        <w:tc>
          <w:tcPr>
            <w:tcW w:type="dxa" w:w="3360"/>
            <w:vAlign w:val="center"/>
          </w:tcPr>
          <w:p>
            <w:r/>
            <w:r>
              <w:rPr>
                <w:b w:val="0"/>
                <w:sz w:val="17"/>
              </w:rPr>
              <w:t>“Improve quality” with no baseline, owner or due date</w:t>
            </w:r>
          </w:p>
        </w:tc>
        <w:tc>
          <w:tcPr>
            <w:tcW w:type="dxa" w:w="3360"/>
            <w:vAlign w:val="center"/>
          </w:tcPr>
          <w:p>
            <w:r/>
            <w:r>
              <w:rPr>
                <w:b w:val="0"/>
                <w:sz w:val="17"/>
              </w:rPr>
              <w:t>HR provides role-based goal library; manager validates baseline, formula, source and controllability before approval</w:t>
            </w:r>
          </w:p>
        </w:tc>
      </w:tr>
      <w:tr>
        <w:tc>
          <w:tcPr>
            <w:tcW w:type="dxa" w:w="3360"/>
            <w:vAlign w:val="center"/>
          </w:tcPr>
          <w:p>
            <w:r/>
            <w:r>
              <w:rPr>
                <w:b w:val="0"/>
                <w:sz w:val="17"/>
              </w:rPr>
              <w:t>Metric gaming / unintended behaviour</w:t>
            </w:r>
          </w:p>
        </w:tc>
        <w:tc>
          <w:tcPr>
            <w:tcW w:type="dxa" w:w="3360"/>
            <w:vAlign w:val="center"/>
          </w:tcPr>
          <w:p>
            <w:r/>
            <w:r>
              <w:rPr>
                <w:b w:val="0"/>
                <w:sz w:val="17"/>
              </w:rPr>
              <w:t>Employees avoid logging defects or select easy tasks to improve scores</w:t>
            </w:r>
          </w:p>
        </w:tc>
        <w:tc>
          <w:tcPr>
            <w:tcW w:type="dxa" w:w="3360"/>
            <w:vAlign w:val="center"/>
          </w:tcPr>
          <w:p>
            <w:r/>
            <w:r>
              <w:rPr>
                <w:b w:val="0"/>
                <w:sz w:val="17"/>
              </w:rPr>
              <w:t>Pair output metrics with quality/safety measures; reward early risk reporting and verified corrective action; audit unusual shifts (Quality + manager)</w:t>
            </w:r>
          </w:p>
        </w:tc>
      </w:tr>
      <w:tr>
        <w:tc>
          <w:tcPr>
            <w:tcW w:type="dxa" w:w="3360"/>
            <w:vAlign w:val="center"/>
          </w:tcPr>
          <w:p>
            <w:r/>
            <w:r>
              <w:rPr>
                <w:b w:val="0"/>
                <w:sz w:val="17"/>
              </w:rPr>
              <w:t>Inconsistent manager ratings</w:t>
            </w:r>
          </w:p>
        </w:tc>
        <w:tc>
          <w:tcPr>
            <w:tcW w:type="dxa" w:w="3360"/>
            <w:vAlign w:val="center"/>
          </w:tcPr>
          <w:p>
            <w:r/>
            <w:r>
              <w:rPr>
                <w:b w:val="0"/>
                <w:sz w:val="17"/>
              </w:rPr>
              <w:t>One team uses “meets” as average while another reserves it for exceptional work</w:t>
            </w:r>
          </w:p>
        </w:tc>
        <w:tc>
          <w:tcPr>
            <w:tcW w:type="dxa" w:w="3360"/>
            <w:vAlign w:val="center"/>
          </w:tcPr>
          <w:p>
            <w:r/>
            <w:r>
              <w:rPr>
                <w:b w:val="0"/>
                <w:sz w:val="17"/>
              </w:rPr>
              <w:t>Publish behavioural anchors; train managers with anonymised sample cases; calibrate with evidence and rationale (HRBP)</w:t>
            </w:r>
          </w:p>
        </w:tc>
      </w:tr>
      <w:tr>
        <w:tc>
          <w:tcPr>
            <w:tcW w:type="dxa" w:w="3360"/>
            <w:vAlign w:val="center"/>
          </w:tcPr>
          <w:p>
            <w:r/>
            <w:r>
              <w:rPr>
                <w:b w:val="0"/>
                <w:sz w:val="17"/>
              </w:rPr>
              <w:t>Recency and proximity bias</w:t>
            </w:r>
          </w:p>
        </w:tc>
        <w:tc>
          <w:tcPr>
            <w:tcW w:type="dxa" w:w="3360"/>
            <w:vAlign w:val="center"/>
          </w:tcPr>
          <w:p>
            <w:r/>
            <w:r>
              <w:rPr>
                <w:b w:val="0"/>
                <w:sz w:val="17"/>
              </w:rPr>
              <w:t>Last month dominates the annual review; remote workers are less visible</w:t>
            </w:r>
          </w:p>
        </w:tc>
        <w:tc>
          <w:tcPr>
            <w:tcW w:type="dxa" w:w="3360"/>
            <w:vAlign w:val="center"/>
          </w:tcPr>
          <w:p>
            <w:r/>
            <w:r>
              <w:rPr>
                <w:b w:val="0"/>
                <w:sz w:val="17"/>
              </w:rPr>
              <w:t>Use quarterly evidence snapshots and goal outcomes; require examples from more than one period; audit rating patterns by site/work mode</w:t>
            </w:r>
          </w:p>
        </w:tc>
      </w:tr>
      <w:tr>
        <w:tc>
          <w:tcPr>
            <w:tcW w:type="dxa" w:w="3360"/>
            <w:vAlign w:val="center"/>
          </w:tcPr>
          <w:p>
            <w:r/>
            <w:r>
              <w:rPr>
                <w:b w:val="0"/>
                <w:sz w:val="17"/>
              </w:rPr>
              <w:t>Data integration mismatch</w:t>
            </w:r>
          </w:p>
        </w:tc>
        <w:tc>
          <w:tcPr>
            <w:tcW w:type="dxa" w:w="3360"/>
            <w:vAlign w:val="center"/>
          </w:tcPr>
          <w:p>
            <w:r/>
            <w:r>
              <w:rPr>
                <w:b w:val="0"/>
                <w:sz w:val="17"/>
              </w:rPr>
              <w:t>HR dashboard disagrees with QMS/MES due to different definitions or refresh times</w:t>
            </w:r>
          </w:p>
        </w:tc>
        <w:tc>
          <w:tcPr>
            <w:tcW w:type="dxa" w:w="3360"/>
            <w:vAlign w:val="center"/>
          </w:tcPr>
          <w:p>
            <w:r/>
            <w:r>
              <w:rPr>
                <w:b w:val="0"/>
                <w:sz w:val="17"/>
              </w:rPr>
              <w:t>Name a data owner, define one KPI dictionary, display as-of date, reconcile totals monthly, and retain source-of-truth rules (Data owner)</w:t>
            </w:r>
          </w:p>
        </w:tc>
      </w:tr>
      <w:tr>
        <w:tc>
          <w:tcPr>
            <w:tcW w:type="dxa" w:w="3360"/>
            <w:vAlign w:val="center"/>
          </w:tcPr>
          <w:p>
            <w:r/>
            <w:r>
              <w:rPr>
                <w:b w:val="0"/>
                <w:sz w:val="17"/>
              </w:rPr>
              <w:t>Privacy and overexposure</w:t>
            </w:r>
          </w:p>
        </w:tc>
        <w:tc>
          <w:tcPr>
            <w:tcW w:type="dxa" w:w="3360"/>
            <w:vAlign w:val="center"/>
          </w:tcPr>
          <w:p>
            <w:r/>
            <w:r>
              <w:rPr>
                <w:b w:val="0"/>
                <w:sz w:val="17"/>
              </w:rPr>
              <w:t>Sensitive feedback or individual ratings visible too widely</w:t>
            </w:r>
          </w:p>
        </w:tc>
        <w:tc>
          <w:tcPr>
            <w:tcW w:type="dxa" w:w="3360"/>
            <w:vAlign w:val="center"/>
          </w:tcPr>
          <w:p>
            <w:r/>
            <w:r>
              <w:rPr>
                <w:b w:val="0"/>
                <w:sz w:val="17"/>
              </w:rPr>
              <w:t>Apply role-based permissions, least privilege, minimum group sizes for aggregate reporting, retention policy, and access testing (HRIS + privacy lead)</w:t>
            </w:r>
          </w:p>
        </w:tc>
      </w:tr>
      <w:tr>
        <w:tc>
          <w:tcPr>
            <w:tcW w:type="dxa" w:w="3360"/>
            <w:vAlign w:val="center"/>
          </w:tcPr>
          <w:p>
            <w:r/>
            <w:r>
              <w:rPr>
                <w:b w:val="0"/>
                <w:sz w:val="17"/>
              </w:rPr>
              <w:t>Low manager adoption</w:t>
            </w:r>
          </w:p>
        </w:tc>
        <w:tc>
          <w:tcPr>
            <w:tcW w:type="dxa" w:w="3360"/>
            <w:vAlign w:val="center"/>
          </w:tcPr>
          <w:p>
            <w:r/>
            <w:r>
              <w:rPr>
                <w:b w:val="0"/>
                <w:sz w:val="17"/>
              </w:rPr>
              <w:t>Check-ins are skipped or forms completed at deadline</w:t>
            </w:r>
          </w:p>
        </w:tc>
        <w:tc>
          <w:tcPr>
            <w:tcW w:type="dxa" w:w="3360"/>
            <w:vAlign w:val="center"/>
          </w:tcPr>
          <w:p>
            <w:r/>
            <w:r>
              <w:rPr>
                <w:b w:val="0"/>
                <w:sz w:val="17"/>
              </w:rPr>
              <w:t>Short manager training, calendar cadence, automated reminders where supported, and completion dashboard; escalate repeated missed reviews</w:t>
            </w:r>
          </w:p>
        </w:tc>
      </w:tr>
      <w:tr>
        <w:tc>
          <w:tcPr>
            <w:tcW w:type="dxa" w:w="3360"/>
            <w:vAlign w:val="center"/>
          </w:tcPr>
          <w:p>
            <w:r/>
            <w:r>
              <w:rPr>
                <w:b w:val="0"/>
                <w:sz w:val="17"/>
              </w:rPr>
              <w:t>Configuration or release change</w:t>
            </w:r>
          </w:p>
        </w:tc>
        <w:tc>
          <w:tcPr>
            <w:tcW w:type="dxa" w:w="3360"/>
            <w:vAlign w:val="center"/>
          </w:tcPr>
          <w:p>
            <w:r/>
            <w:r>
              <w:rPr>
                <w:b w:val="0"/>
                <w:sz w:val="17"/>
              </w:rPr>
              <w:t>Route map, form field, API or reporting behaviour changes after an update</w:t>
            </w:r>
          </w:p>
        </w:tc>
        <w:tc>
          <w:tcPr>
            <w:tcW w:type="dxa" w:w="3360"/>
            <w:vAlign w:val="center"/>
          </w:tcPr>
          <w:p>
            <w:r/>
            <w:r>
              <w:rPr>
                <w:b w:val="0"/>
                <w:sz w:val="17"/>
              </w:rPr>
              <w:t>Maintain configuration inventory; test in preview/test tenant; regression-test permissions, forms, APIs and reports before release</w:t>
            </w:r>
          </w:p>
        </w:tc>
      </w:tr>
      <w:tr>
        <w:tc>
          <w:tcPr>
            <w:tcW w:type="dxa" w:w="3360"/>
            <w:vAlign w:val="center"/>
          </w:tcPr>
          <w:p>
            <w:r/>
            <w:r>
              <w:rPr>
                <w:b w:val="0"/>
                <w:sz w:val="17"/>
              </w:rPr>
              <w:t>Development plans without resources</w:t>
            </w:r>
          </w:p>
        </w:tc>
        <w:tc>
          <w:tcPr>
            <w:tcW w:type="dxa" w:w="3360"/>
            <w:vAlign w:val="center"/>
          </w:tcPr>
          <w:p>
            <w:r/>
            <w:r>
              <w:rPr>
                <w:b w:val="0"/>
                <w:sz w:val="17"/>
              </w:rPr>
              <w:t>Training goals are approved but no time, mentor or budget is allocated</w:t>
            </w:r>
          </w:p>
        </w:tc>
        <w:tc>
          <w:tcPr>
            <w:tcW w:type="dxa" w:w="3360"/>
            <w:vAlign w:val="center"/>
          </w:tcPr>
          <w:p>
            <w:r/>
            <w:r>
              <w:rPr>
                <w:b w:val="0"/>
                <w:sz w:val="17"/>
              </w:rPr>
              <w:t>Require named owner, protected learning time, resource approval, milestone dates and quarterly review (manager + HRBP)</w:t>
            </w:r>
          </w:p>
        </w:tc>
      </w:tr>
      <w:tr>
        <w:tc>
          <w:tcPr>
            <w:tcW w:type="dxa" w:w="3360"/>
            <w:vAlign w:val="center"/>
          </w:tcPr>
          <w:p>
            <w:r/>
            <w:r>
              <w:rPr>
                <w:b w:val="0"/>
                <w:sz w:val="17"/>
              </w:rPr>
              <w:t>Unfair comparison across roles</w:t>
            </w:r>
          </w:p>
        </w:tc>
        <w:tc>
          <w:tcPr>
            <w:tcW w:type="dxa" w:w="3360"/>
            <w:vAlign w:val="center"/>
          </w:tcPr>
          <w:p>
            <w:r/>
            <w:r>
              <w:rPr>
                <w:b w:val="0"/>
                <w:sz w:val="17"/>
              </w:rPr>
              <w:t>Plant operators, software engineers and HR analysts measured with identical output metrics</w:t>
            </w:r>
          </w:p>
        </w:tc>
        <w:tc>
          <w:tcPr>
            <w:tcW w:type="dxa" w:w="3360"/>
            <w:vAlign w:val="center"/>
          </w:tcPr>
          <w:p>
            <w:r/>
            <w:r>
              <w:rPr>
                <w:b w:val="0"/>
                <w:sz w:val="17"/>
              </w:rPr>
              <w:t>Use common values/behaviours but role-specific goals; compare only like-for-like jobs and account for dependencies and opportunity</w:t>
            </w:r>
          </w:p>
        </w:tc>
      </w:tr>
    </w:tbl>
    <w:p/>
    <w:p>
      <w:r>
        <w:t>Risk governance: the HR process owner maintains a risk register with likelihood, impact, mitigation owner, due date, and residual risk. High-impact issues—incorrect employee visibility, data leakage, invalid ratings, or unreliable safety/quality measures—block launch until resolved. Any algorithmic or AI-supported writing/insight capability should be optional, reviewed by a human, and assessed for privacy and bias; it must not silently generate final ratings.</w:t>
      </w:r>
    </w:p>
    <w:p>
      <w:pPr>
        <w:pStyle w:val="Heading1"/>
      </w:pPr>
      <w:r>
        <w:t>9. Implementation Roadmap and Acceptance Tests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4C7E7"/>
          </w:tcPr>
          <w:p>
            <w:r/>
            <w:r>
              <w:rPr>
                <w:b/>
                <w:sz w:val="17"/>
              </w:rPr>
              <w:t>Weeks</w:t>
            </w:r>
          </w:p>
        </w:tc>
        <w:tc>
          <w:tcPr>
            <w:tcW w:type="dxa" w:w="3360"/>
            <w:vAlign w:val="center"/>
            <w:shd w:fill="B4C7E7"/>
          </w:tcPr>
          <w:p>
            <w:r/>
            <w:r>
              <w:rPr>
                <w:b/>
                <w:sz w:val="17"/>
              </w:rPr>
              <w:t>Work package</w:t>
            </w:r>
          </w:p>
        </w:tc>
        <w:tc>
          <w:tcPr>
            <w:tcW w:type="dxa" w:w="3360"/>
            <w:vAlign w:val="center"/>
            <w:shd w:fill="B4C7E7"/>
          </w:tcPr>
          <w:p>
            <w:r/>
            <w:r>
              <w:rPr>
                <w:b/>
                <w:sz w:val="17"/>
              </w:rPr>
              <w:t>Deliverables / gate</w:t>
            </w:r>
          </w:p>
        </w:tc>
      </w:tr>
      <w:tr>
        <w:tc>
          <w:tcPr>
            <w:tcW w:type="dxa" w:w="3360"/>
            <w:vAlign w:val="center"/>
          </w:tcPr>
          <w:p>
            <w:r/>
            <w:r>
              <w:rPr>
                <w:b w:val="0"/>
                <w:sz w:val="17"/>
              </w:rPr>
              <w:t>1–2</w:t>
            </w:r>
          </w:p>
        </w:tc>
        <w:tc>
          <w:tcPr>
            <w:tcW w:type="dxa" w:w="3360"/>
            <w:vAlign w:val="center"/>
          </w:tcPr>
          <w:p>
            <w:r/>
            <w:r>
              <w:rPr>
                <w:b w:val="0"/>
                <w:sz w:val="17"/>
              </w:rPr>
              <w:t>Discovery and governance</w:t>
            </w:r>
          </w:p>
        </w:tc>
        <w:tc>
          <w:tcPr>
            <w:tcW w:type="dxa" w:w="3360"/>
            <w:vAlign w:val="center"/>
          </w:tcPr>
          <w:p>
            <w:r/>
            <w:r>
              <w:rPr>
                <w:b w:val="0"/>
                <w:sz w:val="17"/>
              </w:rPr>
              <w:t>Stakeholder interviews; role families; current review process; privacy/data inventory; signed KPI dictionary</w:t>
            </w:r>
          </w:p>
        </w:tc>
      </w:tr>
      <w:tr>
        <w:tc>
          <w:tcPr>
            <w:tcW w:type="dxa" w:w="3360"/>
            <w:vAlign w:val="center"/>
          </w:tcPr>
          <w:p>
            <w:r/>
            <w:r>
              <w:rPr>
                <w:b w:val="0"/>
                <w:sz w:val="17"/>
              </w:rPr>
              <w:t>3–4</w:t>
            </w:r>
          </w:p>
        </w:tc>
        <w:tc>
          <w:tcPr>
            <w:tcW w:type="dxa" w:w="3360"/>
            <w:vAlign w:val="center"/>
          </w:tcPr>
          <w:p>
            <w:r/>
            <w:r>
              <w:rPr>
                <w:b w:val="0"/>
                <w:sz w:val="17"/>
              </w:rPr>
              <w:t>Process and scorecard design</w:t>
            </w:r>
          </w:p>
        </w:tc>
        <w:tc>
          <w:tcPr>
            <w:tcW w:type="dxa" w:w="3360"/>
            <w:vAlign w:val="center"/>
          </w:tcPr>
          <w:p>
            <w:r/>
            <w:r>
              <w:rPr>
                <w:b w:val="0"/>
                <w:sz w:val="17"/>
              </w:rPr>
              <w:t>Rating anchors; sample goals; weighting policy; route-map diagrams; development-plan templates</w:t>
            </w:r>
          </w:p>
        </w:tc>
      </w:tr>
      <w:tr>
        <w:tc>
          <w:tcPr>
            <w:tcW w:type="dxa" w:w="3360"/>
            <w:vAlign w:val="center"/>
          </w:tcPr>
          <w:p>
            <w:r/>
            <w:r>
              <w:rPr>
                <w:b w:val="0"/>
                <w:sz w:val="17"/>
              </w:rPr>
              <w:t>5–7</w:t>
            </w:r>
          </w:p>
        </w:tc>
        <w:tc>
          <w:tcPr>
            <w:tcW w:type="dxa" w:w="3360"/>
            <w:vAlign w:val="center"/>
          </w:tcPr>
          <w:p>
            <w:r/>
            <w:r>
              <w:rPr>
                <w:b w:val="0"/>
                <w:sz w:val="17"/>
              </w:rPr>
              <w:t>SAP configuration in test tenant</w:t>
            </w:r>
          </w:p>
        </w:tc>
        <w:tc>
          <w:tcPr>
            <w:tcW w:type="dxa" w:w="3360"/>
            <w:vAlign w:val="center"/>
          </w:tcPr>
          <w:p>
            <w:r/>
            <w:r>
              <w:rPr>
                <w:b w:val="0"/>
                <w:sz w:val="17"/>
              </w:rPr>
              <w:t>Goal plans, form template, CPM permissions, calibration template, optional 360, Story Report prototypes</w:t>
            </w:r>
          </w:p>
        </w:tc>
      </w:tr>
      <w:tr>
        <w:tc>
          <w:tcPr>
            <w:tcW w:type="dxa" w:w="3360"/>
            <w:vAlign w:val="center"/>
          </w:tcPr>
          <w:p>
            <w:r/>
            <w:r>
              <w:rPr>
                <w:b w:val="0"/>
                <w:sz w:val="17"/>
              </w:rPr>
              <w:t>8–9</w:t>
            </w:r>
          </w:p>
        </w:tc>
        <w:tc>
          <w:tcPr>
            <w:tcW w:type="dxa" w:w="3360"/>
            <w:vAlign w:val="center"/>
          </w:tcPr>
          <w:p>
            <w:r/>
            <w:r>
              <w:rPr>
                <w:b w:val="0"/>
                <w:sz w:val="17"/>
              </w:rPr>
              <w:t>Integration and data validation</w:t>
            </w:r>
          </w:p>
        </w:tc>
        <w:tc>
          <w:tcPr>
            <w:tcW w:type="dxa" w:w="3360"/>
            <w:vAlign w:val="center"/>
          </w:tcPr>
          <w:p>
            <w:r/>
            <w:r>
              <w:rPr>
                <w:b w:val="0"/>
                <w:sz w:val="17"/>
              </w:rPr>
              <w:t>Employee/manager reconciliation; selected KPI feed test; access matrix; refresh and error-handling tests</w:t>
            </w:r>
          </w:p>
        </w:tc>
      </w:tr>
      <w:tr>
        <w:tc>
          <w:tcPr>
            <w:tcW w:type="dxa" w:w="3360"/>
            <w:vAlign w:val="center"/>
          </w:tcPr>
          <w:p>
            <w:r/>
            <w:r>
              <w:rPr>
                <w:b w:val="0"/>
                <w:sz w:val="17"/>
              </w:rPr>
              <w:t>10</w:t>
            </w:r>
          </w:p>
        </w:tc>
        <w:tc>
          <w:tcPr>
            <w:tcW w:type="dxa" w:w="3360"/>
            <w:vAlign w:val="center"/>
          </w:tcPr>
          <w:p>
            <w:r/>
            <w:r>
              <w:rPr>
                <w:b w:val="0"/>
                <w:sz w:val="17"/>
              </w:rPr>
              <w:t>Pilot training and UAT</w:t>
            </w:r>
          </w:p>
        </w:tc>
        <w:tc>
          <w:tcPr>
            <w:tcW w:type="dxa" w:w="3360"/>
            <w:vAlign w:val="center"/>
          </w:tcPr>
          <w:p>
            <w:r/>
            <w:r>
              <w:rPr>
                <w:b w:val="0"/>
                <w:sz w:val="17"/>
              </w:rPr>
              <w:t>Pilot users across one plant team and one engineering team; manager scenarios; employee feedback; defect log</w:t>
            </w:r>
          </w:p>
        </w:tc>
      </w:tr>
      <w:tr>
        <w:tc>
          <w:tcPr>
            <w:tcW w:type="dxa" w:w="3360"/>
            <w:vAlign w:val="center"/>
          </w:tcPr>
          <w:p>
            <w:r/>
            <w:r>
              <w:rPr>
                <w:b w:val="0"/>
                <w:sz w:val="17"/>
              </w:rPr>
              <w:t>11</w:t>
            </w:r>
          </w:p>
        </w:tc>
        <w:tc>
          <w:tcPr>
            <w:tcW w:type="dxa" w:w="3360"/>
            <w:vAlign w:val="center"/>
          </w:tcPr>
          <w:p>
            <w:r/>
            <w:r>
              <w:rPr>
                <w:b w:val="0"/>
                <w:sz w:val="17"/>
              </w:rPr>
              <w:t>Pilot evaluation</w:t>
            </w:r>
          </w:p>
        </w:tc>
        <w:tc>
          <w:tcPr>
            <w:tcW w:type="dxa" w:w="3360"/>
            <w:vAlign w:val="center"/>
          </w:tcPr>
          <w:p>
            <w:r/>
            <w:r>
              <w:rPr>
                <w:b w:val="0"/>
                <w:sz w:val="17"/>
              </w:rPr>
              <w:t>Review completion, usability, KPI accuracy, permission failures, and feedback quality; fix launch blockers</w:t>
            </w:r>
          </w:p>
        </w:tc>
      </w:tr>
      <w:tr>
        <w:tc>
          <w:tcPr>
            <w:tcW w:type="dxa" w:w="3360"/>
            <w:vAlign w:val="center"/>
          </w:tcPr>
          <w:p>
            <w:r/>
            <w:r>
              <w:rPr>
                <w:b w:val="0"/>
                <w:sz w:val="17"/>
              </w:rPr>
              <w:t>12</w:t>
            </w:r>
          </w:p>
        </w:tc>
        <w:tc>
          <w:tcPr>
            <w:tcW w:type="dxa" w:w="3360"/>
            <w:vAlign w:val="center"/>
          </w:tcPr>
          <w:p>
            <w:r/>
            <w:r>
              <w:rPr>
                <w:b w:val="0"/>
                <w:sz w:val="17"/>
              </w:rPr>
              <w:t>Controlled rollout</w:t>
            </w:r>
          </w:p>
        </w:tc>
        <w:tc>
          <w:tcPr>
            <w:tcW w:type="dxa" w:w="3360"/>
            <w:vAlign w:val="center"/>
          </w:tcPr>
          <w:p>
            <w:r/>
            <w:r>
              <w:rPr>
                <w:b w:val="0"/>
                <w:sz w:val="17"/>
              </w:rPr>
              <w:t>Role-based training, communications, support channel, launch dashboard, owner handover</w:t>
            </w:r>
          </w:p>
        </w:tc>
      </w:tr>
    </w:tbl>
    <w:p/>
    <w:p>
      <w:r>
        <w:t>Minimum acceptance tests before production:</w:t>
      </w:r>
    </w:p>
    <w:p>
      <w:pPr>
        <w:pStyle w:val="ListBullet"/>
      </w:pPr>
      <w:r>
        <w:t>An employee can view and update only permitted goals and feedback; a manager sees only authorised direct/matrix reports.</w:t>
      </w:r>
    </w:p>
    <w:p>
      <w:pPr>
        <w:pStyle w:val="ListBullet"/>
      </w:pPr>
      <w:r>
        <w:t>All required fields, rating scales, weight totals, due dates, and route-map transitions behave as designed.</w:t>
      </w:r>
    </w:p>
    <w:p>
      <w:pPr>
        <w:pStyle w:val="ListBullet"/>
      </w:pPr>
      <w:r>
        <w:t>CPM activities and achievements can be linked to goals, and the evidence can be used in the formal review without treating activity count as a score.</w:t>
      </w:r>
    </w:p>
    <w:p>
      <w:pPr>
        <w:pStyle w:val="ListBullet"/>
      </w:pPr>
      <w:r>
        <w:t>Calibration rating changes require the defined rationale and are visible only to authorised participants until finalisation.</w:t>
      </w:r>
    </w:p>
    <w:p>
      <w:pPr>
        <w:pStyle w:val="ListBullet"/>
      </w:pPr>
      <w:r>
        <w:t>360 comments and reports follow the approved confidentiality model and minimum-rater policy.</w:t>
      </w:r>
    </w:p>
    <w:p>
      <w:pPr>
        <w:pStyle w:val="ListBullet"/>
      </w:pPr>
      <w:r>
        <w:t>Dashboard totals reconcile to a signed-off source extract; report access is tested with employee, manager, HRBP, and administrator accounts.</w:t>
      </w:r>
    </w:p>
    <w:p>
      <w:pPr>
        <w:pStyle w:val="ListBullet"/>
      </w:pPr>
      <w:r>
        <w:t>Integration failures are logged, assigned, retried safely, and reconciled; no sensitive operational data is copied into unrestricted free-text fields.</w:t>
      </w:r>
    </w:p>
    <w:p>
      <w:pPr>
        <w:pStyle w:val="Heading1"/>
      </w:pPr>
      <w:r>
        <w:t>10. Dashboard Specification and Success Measures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B4C7E7"/>
          </w:tcPr>
          <w:p>
            <w:r/>
            <w:r>
              <w:rPr>
                <w:b/>
                <w:sz w:val="17"/>
              </w:rPr>
              <w:t>Dashboard KPI</w:t>
            </w:r>
          </w:p>
        </w:tc>
        <w:tc>
          <w:tcPr>
            <w:tcW w:type="dxa" w:w="2520"/>
            <w:vAlign w:val="center"/>
            <w:shd w:fill="B4C7E7"/>
          </w:tcPr>
          <w:p>
            <w:r/>
            <w:r>
              <w:rPr>
                <w:b/>
                <w:sz w:val="17"/>
              </w:rPr>
              <w:t>Definition</w:t>
            </w:r>
          </w:p>
        </w:tc>
        <w:tc>
          <w:tcPr>
            <w:tcW w:type="dxa" w:w="2520"/>
            <w:vAlign w:val="center"/>
            <w:shd w:fill="B4C7E7"/>
          </w:tcPr>
          <w:p>
            <w:r/>
            <w:r>
              <w:rPr>
                <w:b/>
                <w:sz w:val="17"/>
              </w:rPr>
              <w:t>Owner / cadence</w:t>
            </w:r>
          </w:p>
        </w:tc>
        <w:tc>
          <w:tcPr>
            <w:tcW w:type="dxa" w:w="2520"/>
            <w:vAlign w:val="center"/>
            <w:shd w:fill="B4C7E7"/>
          </w:tcPr>
          <w:p>
            <w:r/>
            <w:r>
              <w:rPr>
                <w:b/>
                <w:sz w:val="17"/>
              </w:rPr>
              <w:t>Illustrative threshold</w:t>
            </w:r>
          </w:p>
        </w:tc>
      </w:tr>
      <w:tr>
        <w:tc>
          <w:tcPr>
            <w:tcW w:type="dxa" w:w="2520"/>
            <w:vAlign w:val="center"/>
          </w:tcPr>
          <w:p>
            <w:r/>
            <w:r>
              <w:rPr>
                <w:b w:val="0"/>
                <w:sz w:val="17"/>
              </w:rPr>
              <w:t>Review completion</w:t>
            </w:r>
          </w:p>
        </w:tc>
        <w:tc>
          <w:tcPr>
            <w:tcW w:type="dxa" w:w="2520"/>
            <w:vAlign w:val="center"/>
          </w:tcPr>
          <w:p>
            <w:r/>
            <w:r>
              <w:rPr>
                <w:b w:val="0"/>
                <w:sz w:val="17"/>
              </w:rPr>
              <w:t>Completed required forms ÷ forms due</w:t>
            </w:r>
          </w:p>
        </w:tc>
        <w:tc>
          <w:tcPr>
            <w:tcW w:type="dxa" w:w="2520"/>
            <w:vAlign w:val="center"/>
          </w:tcPr>
          <w:p>
            <w:r/>
            <w:r>
              <w:rPr>
                <w:b w:val="0"/>
                <w:sz w:val="17"/>
              </w:rPr>
              <w:t>HR operations; weekly during cycle</w:t>
            </w:r>
          </w:p>
        </w:tc>
        <w:tc>
          <w:tcPr>
            <w:tcW w:type="dxa" w:w="2520"/>
            <w:vAlign w:val="center"/>
          </w:tcPr>
          <w:p>
            <w:r/>
            <w:r>
              <w:rPr>
                <w:b w:val="0"/>
                <w:sz w:val="17"/>
              </w:rPr>
              <w:t>≥95% by deadline</w:t>
            </w:r>
          </w:p>
        </w:tc>
      </w:tr>
      <w:tr>
        <w:tc>
          <w:tcPr>
            <w:tcW w:type="dxa" w:w="2520"/>
            <w:vAlign w:val="center"/>
          </w:tcPr>
          <w:p>
            <w:r/>
            <w:r>
              <w:rPr>
                <w:b w:val="0"/>
                <w:sz w:val="17"/>
              </w:rPr>
              <w:t>Monthly check-in coverage</w:t>
            </w:r>
          </w:p>
        </w:tc>
        <w:tc>
          <w:tcPr>
            <w:tcW w:type="dxa" w:w="2520"/>
            <w:vAlign w:val="center"/>
          </w:tcPr>
          <w:p>
            <w:r/>
            <w:r>
              <w:rPr>
                <w:b w:val="0"/>
                <w:sz w:val="17"/>
              </w:rPr>
              <w:t>Employees with a documented check-in in month ÷ eligible employees</w:t>
            </w:r>
          </w:p>
        </w:tc>
        <w:tc>
          <w:tcPr>
            <w:tcW w:type="dxa" w:w="2520"/>
            <w:vAlign w:val="center"/>
          </w:tcPr>
          <w:p>
            <w:r/>
            <w:r>
              <w:rPr>
                <w:b w:val="0"/>
                <w:sz w:val="17"/>
              </w:rPr>
              <w:t>Line managers; monthly</w:t>
            </w:r>
          </w:p>
        </w:tc>
        <w:tc>
          <w:tcPr>
            <w:tcW w:type="dxa" w:w="2520"/>
            <w:vAlign w:val="center"/>
          </w:tcPr>
          <w:p>
            <w:r/>
            <w:r>
              <w:rPr>
                <w:b w:val="0"/>
                <w:sz w:val="17"/>
              </w:rPr>
              <w:t>≥90%; investigate exclusions</w:t>
            </w:r>
          </w:p>
        </w:tc>
      </w:tr>
      <w:tr>
        <w:tc>
          <w:tcPr>
            <w:tcW w:type="dxa" w:w="2520"/>
            <w:vAlign w:val="center"/>
          </w:tcPr>
          <w:p>
            <w:r/>
            <w:r>
              <w:rPr>
                <w:b w:val="0"/>
                <w:sz w:val="17"/>
              </w:rPr>
              <w:t>Goals with measurable evidence</w:t>
            </w:r>
          </w:p>
        </w:tc>
        <w:tc>
          <w:tcPr>
            <w:tcW w:type="dxa" w:w="2520"/>
            <w:vAlign w:val="center"/>
          </w:tcPr>
          <w:p>
            <w:r/>
            <w:r>
              <w:rPr>
                <w:b w:val="0"/>
                <w:sz w:val="17"/>
              </w:rPr>
              <w:t>Approved goals with defined source, formula, baseline and due date ÷ all approved goals</w:t>
            </w:r>
          </w:p>
        </w:tc>
        <w:tc>
          <w:tcPr>
            <w:tcW w:type="dxa" w:w="2520"/>
            <w:vAlign w:val="center"/>
          </w:tcPr>
          <w:p>
            <w:r/>
            <w:r>
              <w:rPr>
                <w:b w:val="0"/>
                <w:sz w:val="17"/>
              </w:rPr>
              <w:t>HRBP; quarterly</w:t>
            </w:r>
          </w:p>
        </w:tc>
        <w:tc>
          <w:tcPr>
            <w:tcW w:type="dxa" w:w="2520"/>
            <w:vAlign w:val="center"/>
          </w:tcPr>
          <w:p>
            <w:r/>
            <w:r>
              <w:rPr>
                <w:b w:val="0"/>
                <w:sz w:val="17"/>
              </w:rPr>
              <w:t>≥95%</w:t>
            </w:r>
          </w:p>
        </w:tc>
      </w:tr>
      <w:tr>
        <w:tc>
          <w:tcPr>
            <w:tcW w:type="dxa" w:w="2520"/>
            <w:vAlign w:val="center"/>
          </w:tcPr>
          <w:p>
            <w:r/>
            <w:r>
              <w:rPr>
                <w:b w:val="0"/>
                <w:sz w:val="17"/>
              </w:rPr>
              <w:t>IDP milestone completion</w:t>
            </w:r>
          </w:p>
        </w:tc>
        <w:tc>
          <w:tcPr>
            <w:tcW w:type="dxa" w:w="2520"/>
            <w:vAlign w:val="center"/>
          </w:tcPr>
          <w:p>
            <w:r/>
            <w:r>
              <w:rPr>
                <w:b w:val="0"/>
                <w:sz w:val="17"/>
              </w:rPr>
              <w:t>Milestones completed by due date ÷ milestones due</w:t>
            </w:r>
          </w:p>
        </w:tc>
        <w:tc>
          <w:tcPr>
            <w:tcW w:type="dxa" w:w="2520"/>
            <w:vAlign w:val="center"/>
          </w:tcPr>
          <w:p>
            <w:r/>
            <w:r>
              <w:rPr>
                <w:b w:val="0"/>
                <w:sz w:val="17"/>
              </w:rPr>
              <w:t>Manager + L&amp;D; quarterly</w:t>
            </w:r>
          </w:p>
        </w:tc>
        <w:tc>
          <w:tcPr>
            <w:tcW w:type="dxa" w:w="2520"/>
            <w:vAlign w:val="center"/>
          </w:tcPr>
          <w:p>
            <w:r/>
            <w:r>
              <w:rPr>
                <w:b w:val="0"/>
                <w:sz w:val="17"/>
              </w:rPr>
              <w:t>≥85%, interpreted with quality of outcomes</w:t>
            </w:r>
          </w:p>
        </w:tc>
      </w:tr>
      <w:tr>
        <w:tc>
          <w:tcPr>
            <w:tcW w:type="dxa" w:w="2520"/>
            <w:vAlign w:val="center"/>
          </w:tcPr>
          <w:p>
            <w:r/>
            <w:r>
              <w:rPr>
                <w:b w:val="0"/>
                <w:sz w:val="17"/>
              </w:rPr>
              <w:t>Calibration adjustment rate</w:t>
            </w:r>
          </w:p>
        </w:tc>
        <w:tc>
          <w:tcPr>
            <w:tcW w:type="dxa" w:w="2520"/>
            <w:vAlign w:val="center"/>
          </w:tcPr>
          <w:p>
            <w:r/>
            <w:r>
              <w:rPr>
                <w:b w:val="0"/>
                <w:sz w:val="17"/>
              </w:rPr>
              <w:t>Ratings changed in calibration ÷ ratings reviewed, with reasons grouped</w:t>
            </w:r>
          </w:p>
        </w:tc>
        <w:tc>
          <w:tcPr>
            <w:tcW w:type="dxa" w:w="2520"/>
            <w:vAlign w:val="center"/>
          </w:tcPr>
          <w:p>
            <w:r/>
            <w:r>
              <w:rPr>
                <w:b w:val="0"/>
                <w:sz w:val="17"/>
              </w:rPr>
              <w:t>HR analytics; each cycle</w:t>
            </w:r>
          </w:p>
        </w:tc>
        <w:tc>
          <w:tcPr>
            <w:tcW w:type="dxa" w:w="2520"/>
            <w:vAlign w:val="center"/>
          </w:tcPr>
          <w:p>
            <w:r/>
            <w:r>
              <w:rPr>
                <w:b w:val="0"/>
                <w:sz w:val="17"/>
              </w:rPr>
              <w:t>Trend indicator, not a target to minimise</w:t>
            </w:r>
          </w:p>
        </w:tc>
      </w:tr>
      <w:tr>
        <w:tc>
          <w:tcPr>
            <w:tcW w:type="dxa" w:w="2520"/>
            <w:vAlign w:val="center"/>
          </w:tcPr>
          <w:p>
            <w:r/>
            <w:r>
              <w:rPr>
                <w:b w:val="0"/>
                <w:sz w:val="17"/>
              </w:rPr>
              <w:t>Quality outcome</w:t>
            </w:r>
          </w:p>
        </w:tc>
        <w:tc>
          <w:tcPr>
            <w:tcW w:type="dxa" w:w="2520"/>
            <w:vAlign w:val="center"/>
          </w:tcPr>
          <w:p>
            <w:r/>
            <w:r>
              <w:rPr>
                <w:b w:val="0"/>
                <w:sz w:val="17"/>
              </w:rPr>
              <w:t>Role-specific validated metric such as FPY or recurrence rate</w:t>
            </w:r>
          </w:p>
        </w:tc>
        <w:tc>
          <w:tcPr>
            <w:tcW w:type="dxa" w:w="2520"/>
            <w:vAlign w:val="center"/>
          </w:tcPr>
          <w:p>
            <w:r/>
            <w:r>
              <w:rPr>
                <w:b w:val="0"/>
                <w:sz w:val="17"/>
              </w:rPr>
              <w:t>Quality owner; monthly/quarterly</w:t>
            </w:r>
          </w:p>
        </w:tc>
        <w:tc>
          <w:tcPr>
            <w:tcW w:type="dxa" w:w="2520"/>
            <w:vAlign w:val="center"/>
          </w:tcPr>
          <w:p>
            <w:r/>
            <w:r>
              <w:rPr>
                <w:b w:val="0"/>
                <w:sz w:val="17"/>
              </w:rPr>
              <w:t>Set from baseline and customer/program need</w:t>
            </w:r>
          </w:p>
        </w:tc>
      </w:tr>
      <w:tr>
        <w:tc>
          <w:tcPr>
            <w:tcW w:type="dxa" w:w="2520"/>
            <w:vAlign w:val="center"/>
          </w:tcPr>
          <w:p>
            <w:r/>
            <w:r>
              <w:rPr>
                <w:b w:val="0"/>
                <w:sz w:val="17"/>
              </w:rPr>
              <w:t>Rating pattern review</w:t>
            </w:r>
          </w:p>
        </w:tc>
        <w:tc>
          <w:tcPr>
            <w:tcW w:type="dxa" w:w="2520"/>
            <w:vAlign w:val="center"/>
          </w:tcPr>
          <w:p>
            <w:r/>
            <w:r>
              <w:rPr>
                <w:b w:val="0"/>
                <w:sz w:val="17"/>
              </w:rPr>
              <w:t>Distribution by comparable job family, location and manager</w:t>
            </w:r>
          </w:p>
        </w:tc>
        <w:tc>
          <w:tcPr>
            <w:tcW w:type="dxa" w:w="2520"/>
            <w:vAlign w:val="center"/>
          </w:tcPr>
          <w:p>
            <w:r/>
            <w:r>
              <w:rPr>
                <w:b w:val="0"/>
                <w:sz w:val="17"/>
              </w:rPr>
              <w:t>HR analytics; each cycle</w:t>
            </w:r>
          </w:p>
        </w:tc>
        <w:tc>
          <w:tcPr>
            <w:tcW w:type="dxa" w:w="2520"/>
            <w:vAlign w:val="center"/>
          </w:tcPr>
          <w:p>
            <w:r/>
            <w:r>
              <w:rPr>
                <w:b w:val="0"/>
                <w:sz w:val="17"/>
              </w:rPr>
              <w:t>Investigate outliers; do not impose a forced curve</w:t>
            </w:r>
          </w:p>
        </w:tc>
      </w:tr>
      <w:tr>
        <w:tc>
          <w:tcPr>
            <w:tcW w:type="dxa" w:w="2520"/>
            <w:vAlign w:val="center"/>
          </w:tcPr>
          <w:p>
            <w:r/>
            <w:r>
              <w:rPr>
                <w:b w:val="0"/>
                <w:sz w:val="17"/>
              </w:rPr>
              <w:t>Data quality exceptions</w:t>
            </w:r>
          </w:p>
        </w:tc>
        <w:tc>
          <w:tcPr>
            <w:tcW w:type="dxa" w:w="2520"/>
            <w:vAlign w:val="center"/>
          </w:tcPr>
          <w:p>
            <w:r/>
            <w:r>
              <w:rPr>
                <w:b w:val="0"/>
                <w:sz w:val="17"/>
              </w:rPr>
              <w:t>Records failing ID, manager, date, or source reconciliation checks</w:t>
            </w:r>
          </w:p>
        </w:tc>
        <w:tc>
          <w:tcPr>
            <w:tcW w:type="dxa" w:w="2520"/>
            <w:vAlign w:val="center"/>
          </w:tcPr>
          <w:p>
            <w:r/>
            <w:r>
              <w:rPr>
                <w:b w:val="0"/>
                <w:sz w:val="17"/>
              </w:rPr>
              <w:t>HRIS/data owner; monthly</w:t>
            </w:r>
          </w:p>
        </w:tc>
        <w:tc>
          <w:tcPr>
            <w:tcW w:type="dxa" w:w="2520"/>
            <w:vAlign w:val="center"/>
          </w:tcPr>
          <w:p>
            <w:r/>
            <w:r>
              <w:rPr>
                <w:b w:val="0"/>
                <w:sz w:val="17"/>
              </w:rPr>
              <w:t>Zero critical exceptions at cycle close</w:t>
            </w:r>
          </w:p>
        </w:tc>
      </w:tr>
    </w:tbl>
    <w:p/>
    <w:p>
      <w:r>
        <w:t>Story Reports should be designed for distinct audiences and governed through report and module permissions. SAP’s reporting guidance emphasises that Story Reports depend on authorised access to relevant schemas and employee-specific data [8][9]. The dashboard is a management aid, not a replacement for an evidence-based conversation. Display definitions, refresh date, filters, and exclusions next to each metric so leaders do not compare incompatible figures.</w:t>
      </w:r>
    </w:p>
    <w:p>
      <w:pPr>
        <w:pStyle w:val="Heading1"/>
      </w:pPr>
      <w:r>
        <w:t>11. Conclusion</w:t>
      </w:r>
    </w:p>
    <w:p>
      <w:r>
        <w:t>The proposed system is feasible because it uses SAP SuccessFactors for the talent process it is designed to support, while treating manufacturing and engineering systems as governed evidence sources rather than assuming automatic connectivity. Its defining controls are role-specific measurable goals, recurring CPM conversations, formal reviews, documented calibration, selective 360 feedback, actionable development plans, and dashboards with transparent definitions. A pilot should proceed only after configuration, licensing, permissions, data quality, and privacy checks are passed. The final measure of success is not merely that forms are completed: it is that employees understand expectations, managers correct issues earlier, development actions receive resources, and performance discussions support automotive quality, safety, customer outcomes, and sustainable delivery.</w:t>
      </w:r>
    </w:p>
    <w:p>
      <w:pPr>
        <w:pStyle w:val="Heading1"/>
      </w:pPr>
      <w:r>
        <w:t>References</w:t>
      </w:r>
    </w:p>
    <w:p>
      <w:pPr>
        <w:spacing w:after="80"/>
      </w:pPr>
      <w:r>
        <w:t>[1] Automotive Industry Action Group (AIAG). “IATF 16949:2016.” https://www.aiag.org/expertise-areas/quality/iatf-16949-2016 (accessed 29 October 2026).</w:t>
      </w:r>
    </w:p>
    <w:p>
      <w:pPr>
        <w:spacing w:after="80"/>
      </w:pPr>
      <w:r>
        <w:t>[2] SAP. “Feature Scope Description for SAP SuccessFactors Performance and Goals” (published 1 November 2024). https://www.sap.com/docs/download/agreements/product-policy/css/service-specifications/feature-scope-description-for-sap-successfactors-performance-and-goals-english-v10-2024.pdf</w:t>
      </w:r>
    </w:p>
    <w:p>
      <w:pPr>
        <w:spacing w:after="80"/>
      </w:pPr>
      <w:r>
        <w:t>[3] SAP Learning. “Exploring the Performance and Goal Management Modules and Tools.” https://learning.sap.com/courses/sap-successfactors-performance-and-goals-academy/exploring-the-performance-and-goal-management-modules-and-tools_a5c09e19-2a92-4bec-ae1b-b987d550b121</w:t>
      </w:r>
    </w:p>
    <w:p>
      <w:pPr>
        <w:spacing w:after="80"/>
      </w:pPr>
      <w:r>
        <w:t>[4] SAP Learning. “Configuring Continuous Performance Management.” https://learning.sap.com/courses/sap-successfactors-performance-and-goals-academy/introducing-and-configuring-continuous-performance-management_d7fe9cb7-de19-4c37-b00c-ed75a4a98418</w:t>
      </w:r>
    </w:p>
    <w:p>
      <w:pPr>
        <w:spacing w:after="80"/>
      </w:pPr>
      <w:r>
        <w:t>[5] SAP Learning. “Setting Up SAP SuccessFactors Continuous Performance Management.” https://learning.sap.com/courses/sap-successfactors-performance-management-administration/setting-up-sap-successfactors-continuous-performance-management_afdde3a6-d29c-441c-bf1f-6e1836af68f2</w:t>
      </w:r>
    </w:p>
    <w:p>
      <w:pPr>
        <w:spacing w:after="80"/>
      </w:pPr>
      <w:r>
        <w:t>[6] SAP Help Portal. “Overview of Calibration.” https://help.sap.com/docs/successfactors-performance-and-goals/implementing-and-managing-calibration/overview-of-calibration</w:t>
      </w:r>
    </w:p>
    <w:p>
      <w:pPr>
        <w:spacing w:after="80"/>
      </w:pPr>
      <w:r>
        <w:t>[7] SAP Help Portal. “Calibration Mode” (Implementing and Managing 360 Reviews). https://help.sap.com/docs/successfactors-performance-and-goals/implementing-and-managing-360-reviews/calibration-mode</w:t>
      </w:r>
    </w:p>
    <w:p>
      <w:pPr>
        <w:spacing w:after="80"/>
      </w:pPr>
      <w:r>
        <w:t>[8] SAP Help Portal. “About Story Reports.” https://help.sap.com/docs/successfactors-platform/story-reports/story-reports</w:t>
      </w:r>
    </w:p>
    <w:p>
      <w:pPr>
        <w:spacing w:after="80"/>
      </w:pPr>
      <w:r>
        <w:t>[9] SAP Learning. “Understanding Reporting in SAP SuccessFactors.” https://learning.sap.com/courses/explore-sap-successfactors-solutions/understanding-sap-successfactors-people-analytics_b7729e22-2b27-41fa-93c7-d59421de6575</w:t>
      </w:r>
    </w:p>
    <w:p>
      <w:pPr>
        <w:spacing w:after="80"/>
      </w:pPr>
      <w:r>
        <w:t>[10] SAP. “Performance and Goals – Technical Information.” https://www.sap.com/products/hcm/performance-goals/technical-information.html</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Implementation proposal • Illustrative examples must be validated against the organisation’s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AUTOMOTIVE PERFORMANCE EVALUATION SYSTEM | SAP SUCCESSFACTORS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