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sz w:val="36"/>
          <w:szCs w:val="36"/>
        </w:rPr>
      </w:pPr>
      <w:bookmarkStart w:colFirst="0" w:colLast="0" w:name="_eu4yrmpq0ojx" w:id="0"/>
      <w:bookmarkEnd w:id="0"/>
      <w:r w:rsidDel="00000000" w:rsidR="00000000" w:rsidRPr="00000000">
        <w:rPr>
          <w:sz w:val="36"/>
          <w:szCs w:val="36"/>
          <w:rtl w:val="0"/>
        </w:rPr>
        <w:t xml:space="preserve">Future Trends and Innovation in Payroll Management: A Strategic Analysis Report</w:t>
      </w:r>
    </w:p>
    <w:p w:rsidR="00000000" w:rsidDel="00000000" w:rsidP="00000000" w:rsidRDefault="00000000" w:rsidRPr="00000000" w14:paraId="00000002">
      <w:pPr>
        <w:pStyle w:val="Heading5"/>
        <w:rPr/>
      </w:pPr>
      <w:bookmarkStart w:colFirst="0" w:colLast="0" w:name="_d1rgnox4299w" w:id="1"/>
      <w:bookmarkEnd w:id="1"/>
      <w:r w:rsidDel="00000000" w:rsidR="00000000" w:rsidRPr="00000000">
        <w:rPr>
          <w:rtl w:val="0"/>
        </w:rPr>
        <w:t xml:space="preserve">1. Executive Summary</w:t>
      </w:r>
    </w:p>
    <w:p w:rsidR="00000000" w:rsidDel="00000000" w:rsidP="00000000" w:rsidRDefault="00000000" w:rsidRPr="00000000" w14:paraId="00000003">
      <w:pPr>
        <w:pStyle w:val="Heading6"/>
        <w:rPr/>
      </w:pPr>
      <w:bookmarkStart w:colFirst="0" w:colLast="0" w:name="_plyyxgwwi8pc" w:id="2"/>
      <w:bookmarkEnd w:id="2"/>
      <w:r w:rsidDel="00000000" w:rsidR="00000000" w:rsidRPr="00000000">
        <w:rPr>
          <w:rtl w:val="0"/>
        </w:rPr>
        <w:t xml:space="preserve">Context &amp; Strategic Importance</w:t>
      </w:r>
    </w:p>
    <w:p w:rsidR="00000000" w:rsidDel="00000000" w:rsidP="00000000" w:rsidRDefault="00000000" w:rsidRPr="00000000" w14:paraId="00000004">
      <w:pPr>
        <w:rPr/>
      </w:pPr>
      <w:r w:rsidDel="00000000" w:rsidR="00000000" w:rsidRPr="00000000">
        <w:rPr>
          <w:rtl w:val="0"/>
        </w:rPr>
        <w:t xml:space="preserve">The global payroll infrastructure is undergoing a fundamental structural transformation. Driven by the convergence of deep financial technology, real-time settlement expectations, and shifting workforce demographics, payroll is rapidly evolving from a back-office administrative function into a core driver of enterprise agility, workforce retention, and treasury optimization. As corporate leadership navigates persistent macroeconomic volatility, traditional batch-based, periodic compensation models reveal critical operational bottlenecks. Modern Human Capital Management (HCM) strategy mandates continuous, transparent, and instantly executable payroll architectures that align working capital liquidity with actual work performed, establishing real-time compensation as a direct driver of corporate performance and talent retention.</w:t>
      </w:r>
    </w:p>
    <w:p w:rsidR="00000000" w:rsidDel="00000000" w:rsidP="00000000" w:rsidRDefault="00000000" w:rsidRPr="00000000" w14:paraId="00000005">
      <w:pPr>
        <w:pStyle w:val="Heading6"/>
        <w:rPr/>
      </w:pPr>
      <w:bookmarkStart w:colFirst="0" w:colLast="0" w:name="_mrkffez1zkfs" w:id="3"/>
      <w:bookmarkEnd w:id="3"/>
      <w:r w:rsidDel="00000000" w:rsidR="00000000" w:rsidRPr="00000000">
        <w:rPr>
          <w:rtl w:val="0"/>
        </w:rPr>
        <w:t xml:space="preserve">Key Trends &amp; Market Trajectory</w:t>
      </w:r>
    </w:p>
    <w:p w:rsidR="00000000" w:rsidDel="00000000" w:rsidP="00000000" w:rsidRDefault="00000000" w:rsidRPr="00000000" w14:paraId="00000006">
      <w:pPr>
        <w:rPr/>
      </w:pPr>
      <w:r w:rsidDel="00000000" w:rsidR="00000000" w:rsidRPr="00000000">
        <w:rPr>
          <w:rtl w:val="0"/>
        </w:rPr>
        <w:t xml:space="preserve">Empirical analysis of the global payments and wage distribution landscape reveals an accelerated transition toward flexible liquidity and continuous balance tracking:</w:t>
      </w:r>
    </w:p>
    <w:p w:rsidR="00000000" w:rsidDel="00000000" w:rsidP="00000000" w:rsidRDefault="00000000" w:rsidRPr="00000000" w14:paraId="00000007">
      <w:pPr>
        <w:numPr>
          <w:ilvl w:val="0"/>
          <w:numId w:val="3"/>
        </w:numPr>
        <w:ind w:left="720" w:hanging="360"/>
        <w:rPr>
          <w:u w:val="none"/>
        </w:rPr>
      </w:pPr>
      <w:r w:rsidDel="00000000" w:rsidR="00000000" w:rsidRPr="00000000">
        <w:rPr>
          <w:b w:val="1"/>
          <w:bCs w:val="1"/>
          <w:rtl w:val="0"/>
        </w:rPr>
        <w:t xml:space="preserve">Global Payments Revenue Expansion:</w:t>
      </w:r>
      <w:r w:rsidDel="00000000" w:rsidR="00000000" w:rsidRPr="00000000">
        <w:rPr>
          <w:rtl w:val="0"/>
        </w:rPr>
        <w:t xml:space="preserve">  Macroeconomic benchmarks project global payments revenue to reach $2.4 trillion by 2029, even as annual growth moderates to a 4.0% compound annual growth rate (CAGR).</w:t>
      </w:r>
    </w:p>
    <w:p w:rsidR="00000000" w:rsidDel="00000000" w:rsidP="00000000" w:rsidRDefault="00000000" w:rsidRPr="00000000" w14:paraId="00000008">
      <w:pPr>
        <w:numPr>
          <w:ilvl w:val="0"/>
          <w:numId w:val="3"/>
        </w:numPr>
        <w:ind w:left="720" w:hanging="360"/>
        <w:rPr>
          <w:u w:val="none"/>
        </w:rPr>
      </w:pPr>
      <w:r w:rsidDel="00000000" w:rsidR="00000000" w:rsidRPr="00000000">
        <w:rPr>
          <w:b w:val="1"/>
          <w:bCs w:val="1"/>
          <w:rtl w:val="0"/>
        </w:rPr>
        <w:t xml:space="preserve">On-Demand Pay Acceleration:</w:t>
      </w:r>
      <w:r w:rsidDel="00000000" w:rsidR="00000000" w:rsidRPr="00000000">
        <w:rPr>
          <w:rtl w:val="0"/>
        </w:rPr>
        <w:t xml:space="preserve">  The global Earned Wage Access (EWA) market is projected to expand from $7.10 billion in 2025 to $52.00 billion by 2034, registering a 24.80% CAGR. Within this ecosystem, the employer-sponsored EWA segment is scaling from $4.53 billion in 2025 to $16.86 billion by 2030 at a 30.0% CAGR.</w:t>
      </w:r>
    </w:p>
    <w:p w:rsidR="00000000" w:rsidDel="00000000" w:rsidP="00000000" w:rsidRDefault="00000000" w:rsidRPr="00000000" w14:paraId="00000009">
      <w:pPr>
        <w:numPr>
          <w:ilvl w:val="0"/>
          <w:numId w:val="3"/>
        </w:numPr>
        <w:ind w:left="720" w:hanging="360"/>
        <w:rPr>
          <w:u w:val="none"/>
        </w:rPr>
      </w:pPr>
      <w:r w:rsidDel="00000000" w:rsidR="00000000" w:rsidRPr="00000000">
        <w:rPr>
          <w:b w:val="1"/>
          <w:bCs w:val="1"/>
          <w:rtl w:val="0"/>
        </w:rPr>
        <w:t xml:space="preserve">Catalysts &amp; Disruptive Infrastructure:</w:t>
      </w:r>
      <w:r w:rsidDel="00000000" w:rsidR="00000000" w:rsidRPr="00000000">
        <w:rPr>
          <w:rtl w:val="0"/>
        </w:rPr>
        <w:t xml:space="preserve">  Core structural drivers include the deployment of Agentic and Generative AI engines, real-time payment (RTP) clearing rails such as FedNow and SEPA Instant, real-time continuous ledgers, and alternative digital currencies.</w:t>
      </w:r>
    </w:p>
    <w:p w:rsidR="00000000" w:rsidDel="00000000" w:rsidP="00000000" w:rsidRDefault="00000000" w:rsidRPr="00000000" w14:paraId="0000000A">
      <w:pPr>
        <w:pStyle w:val="Heading6"/>
        <w:rPr/>
      </w:pPr>
      <w:bookmarkStart w:colFirst="0" w:colLast="0" w:name="_p2dpqbz7rr4l" w:id="4"/>
      <w:bookmarkEnd w:id="4"/>
      <w:r w:rsidDel="00000000" w:rsidR="00000000" w:rsidRPr="00000000">
        <w:rPr>
          <w:rtl w:val="0"/>
        </w:rPr>
        <w:t xml:space="preserve">Strategic Summary Matrix</w:t>
      </w:r>
    </w:p>
    <w:p w:rsidR="00000000" w:rsidDel="00000000" w:rsidP="00000000" w:rsidRDefault="00000000" w:rsidRPr="00000000" w14:paraId="0000000B">
      <w:pPr>
        <w:rPr/>
      </w:pPr>
      <w:r w:rsidDel="00000000" w:rsidR="00000000" w:rsidRPr="00000000">
        <w:rPr>
          <w:rtl w:val="0"/>
        </w:rPr>
        <w:t xml:space="preserve">Transformation Pillar,Traditional State,Future State Innovation,Strategic Impact</w:t>
      </w:r>
    </w:p>
    <w:p w:rsidR="00000000" w:rsidDel="00000000" w:rsidP="00000000" w:rsidRDefault="00000000" w:rsidRPr="00000000" w14:paraId="0000000C">
      <w:pPr>
        <w:rPr/>
      </w:pPr>
      <w:r w:rsidDel="00000000" w:rsidR="00000000" w:rsidRPr="00000000">
        <w:rPr>
          <w:rtl w:val="0"/>
        </w:rPr>
        <w:t xml:space="preserve">Real-Time Settlement,Delayed batch ACH cycles with 1–3 day settlement latency,"Instant Account-to-Account (A2A), FedNow, and SEPA 10-second clearing mandates","Elimination of overnight liquidity exposure, zero settlement lag, and instant worker liquidity"</w:t>
      </w:r>
    </w:p>
    <w:p w:rsidR="00000000" w:rsidDel="00000000" w:rsidP="00000000" w:rsidRDefault="00000000" w:rsidRPr="00000000" w14:paraId="0000000D">
      <w:pPr>
        <w:rPr/>
      </w:pPr>
      <w:r w:rsidDel="00000000" w:rsidR="00000000" w:rsidRPr="00000000">
        <w:rPr>
          <w:rtl w:val="0"/>
        </w:rPr>
        <w:t xml:space="preserve">AI-Driven Verification,"Manual timecard reconciliation, periodic audits, and post-run exception processing","Generative AI verification engines, intraday time-and-attendance matching, and automated affordability checks","Real-time exception resolution, proactive fraud mitigation, and zero-latency payroll audits"</w:t>
      </w:r>
    </w:p>
    <w:p w:rsidR="00000000" w:rsidDel="00000000" w:rsidP="00000000" w:rsidRDefault="00000000" w:rsidRPr="00000000" w14:paraId="0000000E">
      <w:pPr>
        <w:rPr/>
      </w:pPr>
      <w:r w:rsidDel="00000000" w:rsidR="00000000" w:rsidRPr="00000000">
        <w:rPr>
          <w:rtl w:val="0"/>
        </w:rPr>
        <w:t xml:space="preserve">Continuous Ledger Infrastructure,"End-of-period accruals, static balance tracking, and disconnected payroll databases","5-variable live embedded ledgers ( Earned, Available, Advanced, Paid, Remaining )","Continuous balance synchronization across HRIS, provider platforms, and payment rails"</w:t>
      </w:r>
    </w:p>
    <w:p w:rsidR="00000000" w:rsidDel="00000000" w:rsidP="00000000" w:rsidRDefault="00000000" w:rsidRPr="00000000" w14:paraId="0000000F">
      <w:pPr>
        <w:rPr/>
      </w:pPr>
      <w:r w:rsidDel="00000000" w:rsidR="00000000" w:rsidRPr="00000000">
        <w:rPr>
          <w:rtl w:val="0"/>
        </w:rPr>
        <w:t xml:space="preserve">Flexible Delivery Models,Fixed bi-weekly or monthly paydays with rigid processing windows,"On-demand employer-sponsored EWA, wallet-centric, and card-linked delivery models","Up to 46% reduction in worker attrition, optimized tax alignment, and enhanced recruitment yield"</w:t>
      </w:r>
    </w:p>
    <w:p w:rsidR="00000000" w:rsidDel="00000000" w:rsidP="00000000" w:rsidRDefault="00000000" w:rsidRPr="00000000" w14:paraId="00000010">
      <w:pPr>
        <w:pStyle w:val="Heading6"/>
        <w:rPr/>
      </w:pPr>
      <w:bookmarkStart w:colFirst="0" w:colLast="0" w:name="_ylefv67jxi9f" w:id="5"/>
      <w:bookmarkEnd w:id="5"/>
      <w:r w:rsidDel="00000000" w:rsidR="00000000" w:rsidRPr="00000000">
        <w:rPr>
          <w:rtl w:val="0"/>
        </w:rPr>
        <w:t xml:space="preserve">Section Transition</w:t>
      </w:r>
    </w:p>
    <w:p w:rsidR="00000000" w:rsidDel="00000000" w:rsidP="00000000" w:rsidRDefault="00000000" w:rsidRPr="00000000" w14:paraId="00000011">
      <w:pPr>
        <w:rPr/>
      </w:pPr>
      <w:r w:rsidDel="00000000" w:rsidR="00000000" w:rsidRPr="00000000">
        <w:rPr>
          <w:rtl w:val="0"/>
        </w:rPr>
        <w:t xml:space="preserve">Capitalizing on these foundational pillars requires a rigorous evaluation of the broader macroeconomic dynamics and structural payments shifts shaping global workforce compensation.</w:t>
      </w:r>
    </w:p>
    <w:p w:rsidR="00000000" w:rsidDel="00000000" w:rsidP="00000000" w:rsidRDefault="00000000" w:rsidRPr="00000000" w14:paraId="00000012">
      <w:pPr>
        <w:pStyle w:val="Heading5"/>
        <w:rPr/>
      </w:pPr>
      <w:bookmarkStart w:colFirst="0" w:colLast="0" w:name="_fxblzr49i3s2" w:id="6"/>
      <w:bookmarkEnd w:id="6"/>
      <w:r w:rsidDel="00000000" w:rsidR="00000000" w:rsidRPr="00000000">
        <w:rPr>
          <w:rtl w:val="0"/>
        </w:rPr>
        <w:t xml:space="preserve">2. Macro Landscape &amp; Strategic Imperative for Payroll Transformation</w:t>
      </w:r>
    </w:p>
    <w:p w:rsidR="00000000" w:rsidDel="00000000" w:rsidP="00000000" w:rsidRDefault="00000000" w:rsidRPr="00000000" w14:paraId="00000013">
      <w:pPr>
        <w:pStyle w:val="Heading6"/>
        <w:rPr/>
      </w:pPr>
      <w:bookmarkStart w:colFirst="0" w:colLast="0" w:name="_jtjaqljdshbt" w:id="7"/>
      <w:bookmarkEnd w:id="7"/>
      <w:r w:rsidDel="00000000" w:rsidR="00000000" w:rsidRPr="00000000">
        <w:rPr>
          <w:rtl w:val="0"/>
        </w:rPr>
        <w:t xml:space="preserve">Context &amp; Strategic Importance</w:t>
      </w:r>
    </w:p>
    <w:p w:rsidR="00000000" w:rsidDel="00000000" w:rsidP="00000000" w:rsidRDefault="00000000" w:rsidRPr="00000000" w14:paraId="00000014">
      <w:pPr>
        <w:rPr/>
      </w:pPr>
      <w:r w:rsidDel="00000000" w:rsidR="00000000" w:rsidRPr="00000000">
        <w:rPr>
          <w:rtl w:val="0"/>
        </w:rPr>
        <w:t xml:space="preserve">Enterprise leadership faces a complex macroeconomic backdrop defined by shifting transaction yields, divergent regional growth rates, and rising worker demand for real-time financial liquidity. Modernizing enterprise payroll architecture is no longer a localized IT upgrade; it is a board-level imperative driven by global payments convergence, cloud-native software expansion, and fundamental shifts in monetary clearing infrastructure.</w:t>
      </w:r>
    </w:p>
    <w:p w:rsidR="00000000" w:rsidDel="00000000" w:rsidP="00000000" w:rsidRDefault="00000000" w:rsidRPr="00000000" w14:paraId="00000015">
      <w:pPr>
        <w:pStyle w:val="Heading6"/>
        <w:rPr/>
      </w:pPr>
      <w:bookmarkStart w:colFirst="0" w:colLast="0" w:name="_eb2gqifb324y" w:id="8"/>
      <w:bookmarkEnd w:id="8"/>
      <w:r w:rsidDel="00000000" w:rsidR="00000000" w:rsidRPr="00000000">
        <w:rPr>
          <w:rtl w:val="0"/>
        </w:rPr>
        <w:t xml:space="preserve">Macro Payments Landscape &amp; Global Economic Dynamics</w:t>
      </w:r>
    </w:p>
    <w:p w:rsidR="00000000" w:rsidDel="00000000" w:rsidP="00000000" w:rsidRDefault="00000000" w:rsidRPr="00000000" w14:paraId="00000016">
      <w:pPr>
        <w:rPr/>
      </w:pPr>
      <w:r w:rsidDel="00000000" w:rsidR="00000000" w:rsidRPr="00000000">
        <w:rPr>
          <w:rtl w:val="0"/>
        </w:rPr>
        <w:t xml:space="preserve">Global payments dynamics indicate a structural pivot in transaction economics. Following an 8.8% annual CAGR between 2019 and 2024—which expanded global payments revenue to $1.9 trillion—overall revenue growth is normalizing to a 4.0% annual CAGR through 2029, reaching $2.4 trillion. While deposit margin tailwinds are moderating, transaction-based revenues remain robust across key growth markets.</w:t>
      </w:r>
    </w:p>
    <w:p w:rsidR="00000000" w:rsidDel="00000000" w:rsidP="00000000" w:rsidRDefault="00000000" w:rsidRPr="00000000" w14:paraId="00000017">
      <w:pPr>
        <w:rPr/>
      </w:pPr>
      <w:r w:rsidDel="00000000" w:rsidR="00000000" w:rsidRPr="00000000">
        <w:rPr>
          <w:rtl w:val="0"/>
        </w:rPr>
        <w:t xml:space="preserve">Revenue expansion exhibits sharp regional divergence across the global economy:</w:t>
      </w:r>
    </w:p>
    <w:p w:rsidR="00000000" w:rsidDel="00000000" w:rsidP="00000000" w:rsidRDefault="00000000" w:rsidRPr="00000000" w14:paraId="00000018">
      <w:pPr>
        <w:numPr>
          <w:ilvl w:val="0"/>
          <w:numId w:val="7"/>
        </w:numPr>
        <w:ind w:left="720" w:hanging="360"/>
        <w:rPr>
          <w:u w:val="none"/>
        </w:rPr>
      </w:pPr>
      <w:r w:rsidDel="00000000" w:rsidR="00000000" w:rsidRPr="00000000">
        <w:rPr>
          <w:b w:val="1"/>
          <w:bCs w:val="1"/>
          <w:rtl w:val="0"/>
        </w:rPr>
        <w:t xml:space="preserve">Latin America:</w:t>
      </w:r>
      <w:r w:rsidDel="00000000" w:rsidR="00000000" w:rsidRPr="00000000">
        <w:rPr>
          <w:rtl w:val="0"/>
        </w:rPr>
        <w:t xml:space="preserve">  Leading global expansion with a 7.9% projected revenue CAGR (2024–2029).</w:t>
      </w:r>
    </w:p>
    <w:p w:rsidR="00000000" w:rsidDel="00000000" w:rsidP="00000000" w:rsidRDefault="00000000" w:rsidRPr="00000000" w14:paraId="00000019">
      <w:pPr>
        <w:numPr>
          <w:ilvl w:val="0"/>
          <w:numId w:val="7"/>
        </w:numPr>
        <w:ind w:left="720" w:hanging="360"/>
        <w:rPr>
          <w:u w:val="none"/>
        </w:rPr>
      </w:pPr>
      <w:r w:rsidDel="00000000" w:rsidR="00000000" w:rsidRPr="00000000">
        <w:rPr>
          <w:b w:val="1"/>
          <w:bCs w:val="1"/>
          <w:rtl w:val="0"/>
        </w:rPr>
        <w:t xml:space="preserve">Middle East &amp; Africa (MEA):</w:t>
      </w:r>
      <w:r w:rsidDel="00000000" w:rsidR="00000000" w:rsidRPr="00000000">
        <w:rPr>
          <w:rtl w:val="0"/>
        </w:rPr>
        <w:t xml:space="preserve">  Accelerating at a 6.8% projected CAGR, with real-time payment network adoption projected to exceed 50% of digital transactions by 2030.</w:t>
      </w:r>
    </w:p>
    <w:p w:rsidR="00000000" w:rsidDel="00000000" w:rsidP="00000000" w:rsidRDefault="00000000" w:rsidRPr="00000000" w14:paraId="0000001A">
      <w:pPr>
        <w:numPr>
          <w:ilvl w:val="0"/>
          <w:numId w:val="7"/>
        </w:numPr>
        <w:ind w:left="720" w:hanging="360"/>
        <w:rPr>
          <w:u w:val="none"/>
        </w:rPr>
      </w:pPr>
      <w:r w:rsidDel="00000000" w:rsidR="00000000" w:rsidRPr="00000000">
        <w:rPr>
          <w:b w:val="1"/>
          <w:bCs w:val="1"/>
          <w:rtl w:val="0"/>
        </w:rPr>
        <w:t xml:space="preserve">Europe:</w:t>
      </w:r>
      <w:r w:rsidDel="00000000" w:rsidR="00000000" w:rsidRPr="00000000">
        <w:rPr>
          <w:rtl w:val="0"/>
        </w:rPr>
        <w:t xml:space="preserve">  Forecasting steady growth at a 3.5% CAGR.</w:t>
      </w:r>
    </w:p>
    <w:p w:rsidR="00000000" w:rsidDel="00000000" w:rsidP="00000000" w:rsidRDefault="00000000" w:rsidRPr="00000000" w14:paraId="0000001B">
      <w:pPr>
        <w:numPr>
          <w:ilvl w:val="0"/>
          <w:numId w:val="7"/>
        </w:numPr>
        <w:ind w:left="720" w:hanging="360"/>
        <w:rPr>
          <w:u w:val="none"/>
        </w:rPr>
      </w:pPr>
      <w:r w:rsidDel="00000000" w:rsidR="00000000" w:rsidRPr="00000000">
        <w:rPr>
          <w:b w:val="1"/>
          <w:bCs w:val="1"/>
          <w:rtl w:val="0"/>
        </w:rPr>
        <w:t xml:space="preserve">North America:</w:t>
      </w:r>
      <w:r w:rsidDel="00000000" w:rsidR="00000000" w:rsidRPr="00000000">
        <w:rPr>
          <w:rtl w:val="0"/>
        </w:rPr>
        <w:t xml:space="preserve">  Expanding at a 3.4% CAGR as real-time infrastructure matures.</w:t>
      </w:r>
    </w:p>
    <w:p w:rsidR="00000000" w:rsidDel="00000000" w:rsidP="00000000" w:rsidRDefault="00000000" w:rsidRPr="00000000" w14:paraId="0000001C">
      <w:pPr>
        <w:numPr>
          <w:ilvl w:val="0"/>
          <w:numId w:val="7"/>
        </w:numPr>
        <w:ind w:left="720" w:hanging="360"/>
        <w:rPr>
          <w:u w:val="none"/>
        </w:rPr>
      </w:pPr>
      <w:r w:rsidDel="00000000" w:rsidR="00000000" w:rsidRPr="00000000">
        <w:rPr>
          <w:b w:val="1"/>
          <w:bCs w:val="1"/>
          <w:rtl w:val="0"/>
        </w:rPr>
        <w:t xml:space="preserve">Asia-Pacific:</w:t>
      </w:r>
      <w:r w:rsidDel="00000000" w:rsidR="00000000" w:rsidRPr="00000000">
        <w:rPr>
          <w:rtl w:val="0"/>
        </w:rPr>
        <w:t xml:space="preserve">  Growing at a 3.3% CAGR within established digital payment environments.</w:t>
      </w:r>
    </w:p>
    <w:p w:rsidR="00000000" w:rsidDel="00000000" w:rsidP="00000000" w:rsidRDefault="00000000" w:rsidRPr="00000000" w14:paraId="0000001D">
      <w:pPr>
        <w:rPr/>
      </w:pPr>
      <w:r w:rsidDel="00000000" w:rsidR="00000000" w:rsidRPr="00000000">
        <w:rPr>
          <w:rtl w:val="0"/>
        </w:rPr>
        <w:t xml:space="preserve">In parallel, real-time Account-to-Account (A2A) payment volumes expanded 40% globally in 2024, representing over 25% of digital retail transactions worldwide. High-adoption corridors such as India and Brazil (via Pix) demonstrate that A2A networks already process over 50% of total digital retail volumes, setting a clear precedent for continuous payroll disbursements.</w:t>
      </w:r>
    </w:p>
    <w:p w:rsidR="00000000" w:rsidDel="00000000" w:rsidP="00000000" w:rsidRDefault="00000000" w:rsidRPr="00000000" w14:paraId="0000001E">
      <w:pPr>
        <w:rPr/>
      </w:pPr>
      <w:r w:rsidDel="00000000" w:rsidR="00000000" w:rsidRPr="00000000">
        <w:rPr>
          <w:rtl w:val="0"/>
        </w:rPr>
        <w:t xml:space="preserve">Simultaneously, payments-focused fintechs generated $176 billion in revenue in 2024, growing at 23% annually. Having attracted over $135 billion in equity funding over the past 25 years, payments fintechs now account for 45% of total fintech sector revenues, with top-performing innovators expanding three times faster than legacy incumbents.</w:t>
      </w:r>
    </w:p>
    <w:p w:rsidR="00000000" w:rsidDel="00000000" w:rsidP="00000000" w:rsidRDefault="00000000" w:rsidRPr="00000000" w14:paraId="0000001F">
      <w:pPr>
        <w:pStyle w:val="Heading6"/>
        <w:rPr/>
      </w:pPr>
      <w:bookmarkStart w:colFirst="0" w:colLast="0" w:name="_qa93rm9w8k02" w:id="9"/>
      <w:bookmarkEnd w:id="9"/>
      <w:r w:rsidDel="00000000" w:rsidR="00000000" w:rsidRPr="00000000">
        <w:rPr>
          <w:rtl w:val="0"/>
        </w:rPr>
        <w:t xml:space="preserve">The Quantitative Growth Story of On-Demand Pay</w:t>
      </w:r>
    </w:p>
    <w:p w:rsidR="00000000" w:rsidDel="00000000" w:rsidP="00000000" w:rsidRDefault="00000000" w:rsidRPr="00000000" w14:paraId="00000020">
      <w:pPr>
        <w:pStyle w:val="Heading6"/>
        <w:rPr/>
      </w:pPr>
      <w:bookmarkStart w:colFirst="0" w:colLast="0" w:name="_2xghsz8t0nq6" w:id="10"/>
      <w:bookmarkEnd w:id="10"/>
      <w:r w:rsidDel="00000000" w:rsidR="00000000" w:rsidRPr="00000000">
        <w:rPr>
          <w:rtl w:val="0"/>
        </w:rPr>
        <w:t xml:space="preserve">Market Size Projections</w:t>
      </w:r>
    </w:p>
    <w:p w:rsidR="00000000" w:rsidDel="00000000" w:rsidP="00000000" w:rsidRDefault="00000000" w:rsidRPr="00000000" w14:paraId="00000021">
      <w:pPr>
        <w:rPr/>
      </w:pPr>
      <w:r w:rsidDel="00000000" w:rsidR="00000000" w:rsidRPr="00000000">
        <w:rPr>
          <w:rtl w:val="0"/>
        </w:rPr>
        <w:t xml:space="preserve">The trajectory of Earned Wage Access reflects an irreversible shift toward continuous labor compensation. Market valuations confirm rapid adoption across core delivery structures:</w:t>
      </w:r>
    </w:p>
    <w:p w:rsidR="00000000" w:rsidDel="00000000" w:rsidP="00000000" w:rsidRDefault="00000000" w:rsidRPr="00000000" w14:paraId="00000022">
      <w:pPr>
        <w:rPr/>
      </w:pPr>
      <w:r w:rsidDel="00000000" w:rsidR="00000000" w:rsidRPr="00000000">
        <w:rPr>
          <w:rtl w:val="0"/>
        </w:rPr>
        <w:t xml:space="preserve">Market Segment,Baseline Valuation (2025),Near-Term Valuation (2026),Long-Term Forecast,Projected CAGR (%)</w:t>
      </w:r>
    </w:p>
    <w:p w:rsidR="00000000" w:rsidDel="00000000" w:rsidP="00000000" w:rsidRDefault="00000000" w:rsidRPr="00000000" w14:paraId="00000023">
      <w:pPr>
        <w:rPr/>
      </w:pPr>
      <w:r w:rsidDel="00000000" w:rsidR="00000000" w:rsidRPr="00000000">
        <w:rPr>
          <w:rtl w:val="0"/>
        </w:rPr>
        <w:t xml:space="preserve">Global EWA Market,$7.10 Billion,$8.84 Billion,$52.00 Billion (2034),24.80%</w:t>
      </w:r>
    </w:p>
    <w:p w:rsidR="00000000" w:rsidDel="00000000" w:rsidP="00000000" w:rsidRDefault="00000000" w:rsidRPr="00000000" w14:paraId="00000024">
      <w:pPr>
        <w:rPr/>
      </w:pPr>
      <w:r w:rsidDel="00000000" w:rsidR="00000000" w:rsidRPr="00000000">
        <w:rPr>
          <w:rtl w:val="0"/>
        </w:rPr>
        <w:t xml:space="preserve">Employer-Sponsored EWA,$4.53 Billion,$5.90 Billion,$16.86 Billion (2030),30.00%</w:t>
      </w:r>
    </w:p>
    <w:p w:rsidR="00000000" w:rsidDel="00000000" w:rsidP="00000000" w:rsidRDefault="00000000" w:rsidRPr="00000000" w14:paraId="00000025">
      <w:pPr>
        <w:pStyle w:val="Heading6"/>
        <w:rPr/>
      </w:pPr>
      <w:bookmarkStart w:colFirst="0" w:colLast="0" w:name="_3yo7x3joedja" w:id="11"/>
      <w:bookmarkEnd w:id="11"/>
      <w:r w:rsidDel="00000000" w:rsidR="00000000" w:rsidRPr="00000000">
        <w:rPr>
          <w:rtl w:val="0"/>
        </w:rPr>
        <w:t xml:space="preserve">Regional &amp; Vertical Market Dynamics</w:t>
      </w:r>
    </w:p>
    <w:p w:rsidR="00000000" w:rsidDel="00000000" w:rsidP="00000000" w:rsidRDefault="00000000" w:rsidRPr="00000000" w14:paraId="00000026">
      <w:pPr>
        <w:rPr/>
      </w:pPr>
      <w:r w:rsidDel="00000000" w:rsidR="00000000" w:rsidRPr="00000000">
        <w:rPr>
          <w:rtl w:val="0"/>
        </w:rPr>
        <w:t xml:space="preserve">Geographically, North America commands the global EWA sector, holding a 42.10% market share in 2025 valued at $2.99 billion, and projected to reach $3.76 billion in 2026 (with the U.S. accounting for $2.64 billion). Europe represented  $1.84 billion in 2025 ($ 2.27 billion in 2026), driven by key markets including Germany ( $0.64 billion in 2026), the U.K. ($ 0.47 billion in 2026), and France ($0.23 billion in 2025). Asia-Pacific generated  $1.44 billion in 2025 ($ 1.82 billion in 2026), while Middle East &amp; Africa ($0.51 billion in 2025;  $0.61 billion in 2026) and South America ($ 0.33 billion in 2025; $0.38 billion in 2026) demonstrate steady adoption.</w:t>
      </w:r>
    </w:p>
    <w:p w:rsidR="00000000" w:rsidDel="00000000" w:rsidP="00000000" w:rsidRDefault="00000000" w:rsidRPr="00000000" w14:paraId="00000027">
      <w:pPr>
        <w:rPr/>
      </w:pPr>
      <w:r w:rsidDel="00000000" w:rsidR="00000000" w:rsidRPr="00000000">
        <w:rPr>
          <w:rtl w:val="0"/>
        </w:rPr>
        <w:t xml:space="preserve">From an enterprise vertical perspective, retail led market adoption with a 26.70% market share in 2026. Retail, healthcare, and manufacturing represent early enterprise adopters due to their large hourly, shift-based, and frontline workforces. In these operational settings, high turnover costs make flexible liquidity a primary talent retention driver.</w:t>
      </w:r>
    </w:p>
    <w:p w:rsidR="00000000" w:rsidDel="00000000" w:rsidP="00000000" w:rsidRDefault="00000000" w:rsidRPr="00000000" w14:paraId="00000028">
      <w:pPr>
        <w:rPr/>
      </w:pPr>
      <w:r w:rsidDel="00000000" w:rsidR="00000000" w:rsidRPr="00000000">
        <w:rPr>
          <w:rtl w:val="0"/>
        </w:rPr>
        <w:t xml:space="preserve">While Large Enterprises currently hold 56.33% of the market share in 2026 by deploying integrated programs through core HRIS platforms, Small and Medium Businesses (SMBs) represent the fastest-growing customer segment, projected to expand at a 28.0% CAGR through 2034. This acceleration is powered by the rapid availability of cloud-native, API-driven payroll integrations that eliminate historical implementation barriers for mid-market employers.</w:t>
      </w:r>
    </w:p>
    <w:p w:rsidR="00000000" w:rsidDel="00000000" w:rsidP="00000000" w:rsidRDefault="00000000" w:rsidRPr="00000000" w14:paraId="00000029">
      <w:pPr>
        <w:pStyle w:val="Heading6"/>
        <w:rPr/>
      </w:pPr>
      <w:bookmarkStart w:colFirst="0" w:colLast="0" w:name="_v5kcl2bqe12y" w:id="12"/>
      <w:bookmarkEnd w:id="12"/>
      <w:r w:rsidDel="00000000" w:rsidR="00000000" w:rsidRPr="00000000">
        <w:rPr>
          <w:rtl w:val="0"/>
        </w:rPr>
        <w:t xml:space="preserve">Section Transition</w:t>
      </w:r>
    </w:p>
    <w:p w:rsidR="00000000" w:rsidDel="00000000" w:rsidP="00000000" w:rsidRDefault="00000000" w:rsidRPr="00000000" w14:paraId="0000002A">
      <w:pPr>
        <w:rPr/>
      </w:pPr>
      <w:r w:rsidDel="00000000" w:rsidR="00000000" w:rsidRPr="00000000">
        <w:rPr>
          <w:rtl w:val="0"/>
        </w:rPr>
        <w:t xml:space="preserve">Establishing the macroeconomic growth trajectory provides the foundation for examining the advanced technology stack required to power continuous, real-time compensation.</w:t>
      </w:r>
    </w:p>
    <w:p w:rsidR="00000000" w:rsidDel="00000000" w:rsidP="00000000" w:rsidRDefault="00000000" w:rsidRPr="00000000" w14:paraId="0000002B">
      <w:pPr>
        <w:pStyle w:val="Heading5"/>
        <w:rPr/>
      </w:pPr>
      <w:bookmarkStart w:colFirst="0" w:colLast="0" w:name="_x1mq2ztshld9" w:id="13"/>
      <w:bookmarkEnd w:id="13"/>
      <w:r w:rsidDel="00000000" w:rsidR="00000000" w:rsidRPr="00000000">
        <w:rPr>
          <w:rtl w:val="0"/>
        </w:rPr>
        <w:t xml:space="preserve">3. Emerging Technologies Shaping the Future of Payroll Operations</w:t>
      </w:r>
    </w:p>
    <w:p w:rsidR="00000000" w:rsidDel="00000000" w:rsidP="00000000" w:rsidRDefault="00000000" w:rsidRPr="00000000" w14:paraId="0000002C">
      <w:pPr>
        <w:pStyle w:val="Heading6"/>
        <w:rPr/>
      </w:pPr>
      <w:bookmarkStart w:colFirst="0" w:colLast="0" w:name="_hpgh35ydc73a" w:id="14"/>
      <w:bookmarkEnd w:id="14"/>
      <w:r w:rsidDel="00000000" w:rsidR="00000000" w:rsidRPr="00000000">
        <w:rPr>
          <w:rtl w:val="0"/>
        </w:rPr>
        <w:t xml:space="preserve">Context &amp; Strategic Importance</w:t>
      </w:r>
    </w:p>
    <w:p w:rsidR="00000000" w:rsidDel="00000000" w:rsidP="00000000" w:rsidRDefault="00000000" w:rsidRPr="00000000" w14:paraId="0000002D">
      <w:pPr>
        <w:rPr/>
      </w:pPr>
      <w:r w:rsidDel="00000000" w:rsidR="00000000" w:rsidRPr="00000000">
        <w:rPr>
          <w:rtl w:val="0"/>
        </w:rPr>
        <w:t xml:space="preserve">The technical execution of modern payroll relies on deep infrastructure integration. The convergence of artificial intelligence, high-velocity clearing networks, continuous ledger systems, and automated reconciliation frameworks is transitioning payroll from a periodic batch process into an active, real-time intelligence layer embedded directly across enterprise operations.</w:t>
      </w:r>
    </w:p>
    <w:p w:rsidR="00000000" w:rsidDel="00000000" w:rsidP="00000000" w:rsidRDefault="00000000" w:rsidRPr="00000000" w14:paraId="0000002E">
      <w:pPr>
        <w:pStyle w:val="Heading6"/>
        <w:rPr/>
      </w:pPr>
      <w:bookmarkStart w:colFirst="0" w:colLast="0" w:name="_ytoxioej388x" w:id="15"/>
      <w:bookmarkEnd w:id="15"/>
      <w:r w:rsidDel="00000000" w:rsidR="00000000" w:rsidRPr="00000000">
        <w:rPr>
          <w:rtl w:val="0"/>
        </w:rPr>
        <w:t xml:space="preserve">Agentic AI and Generative AI in Payroll Workflows</w:t>
      </w:r>
    </w:p>
    <w:p w:rsidR="00000000" w:rsidDel="00000000" w:rsidP="00000000" w:rsidRDefault="00000000" w:rsidRPr="00000000" w14:paraId="0000002F">
      <w:pPr>
        <w:rPr/>
      </w:pPr>
      <w:r w:rsidDel="00000000" w:rsidR="00000000" w:rsidRPr="00000000">
        <w:rPr>
          <w:rtl w:val="0"/>
        </w:rPr>
        <w:t xml:space="preserve">Artificial intelligence is advancing from passive reporting to autonomous operational execution. Agentic AI systems are projected to influence over $1 trillion in e-commerce spending and shape more than half of online retail purchases, with 81% of U.S. consumers expecting to utilize agentic tools. Within payroll processing, this capability translates into autonomous workflow orchestration, real-time exception handling, and automated risk verification.</w:t>
      </w:r>
    </w:p>
    <w:p w:rsidR="00000000" w:rsidDel="00000000" w:rsidP="00000000" w:rsidRDefault="00000000" w:rsidRPr="00000000" w14:paraId="00000030">
      <w:pPr>
        <w:rPr/>
      </w:pPr>
      <w:r w:rsidDel="00000000" w:rsidR="00000000" w:rsidRPr="00000000">
        <w:rPr>
          <w:rtl w:val="0"/>
        </w:rPr>
        <w:t xml:space="preserve">Generative AI applications are delivering measurable operational efficiencies across payroll operations:</w:t>
      </w:r>
    </w:p>
    <w:p w:rsidR="00000000" w:rsidDel="00000000" w:rsidP="00000000" w:rsidRDefault="00000000" w:rsidRPr="00000000" w14:paraId="00000031">
      <w:pPr>
        <w:numPr>
          <w:ilvl w:val="0"/>
          <w:numId w:val="12"/>
        </w:numPr>
        <w:ind w:left="720" w:hanging="360"/>
        <w:rPr>
          <w:u w:val="none"/>
        </w:rPr>
      </w:pPr>
      <w:r w:rsidDel="00000000" w:rsidR="00000000" w:rsidRPr="00000000">
        <w:rPr>
          <w:b w:val="1"/>
          <w:bCs w:val="1"/>
          <w:rtl w:val="0"/>
        </w:rPr>
        <w:t xml:space="preserve">Real-Time Payroll Verification Engines:</w:t>
      </w:r>
      <w:r w:rsidDel="00000000" w:rsidR="00000000" w:rsidRPr="00000000">
        <w:rPr>
          <w:rtl w:val="0"/>
        </w:rPr>
        <w:t xml:space="preserve">  DailyPay launched an AI-driven payroll verification engine designed to automatically reconcile time-and-attendance data against wage disbursement requests intraday, systematically eliminating manual timecard audits.</w:t>
      </w:r>
    </w:p>
    <w:p w:rsidR="00000000" w:rsidDel="00000000" w:rsidP="00000000" w:rsidRDefault="00000000" w:rsidRPr="00000000" w14:paraId="00000032">
      <w:pPr>
        <w:numPr>
          <w:ilvl w:val="0"/>
          <w:numId w:val="12"/>
        </w:numPr>
        <w:ind w:left="720" w:hanging="360"/>
        <w:rPr>
          <w:u w:val="none"/>
        </w:rPr>
      </w:pPr>
      <w:r w:rsidDel="00000000" w:rsidR="00000000" w:rsidRPr="00000000">
        <w:rPr>
          <w:b w:val="1"/>
          <w:bCs w:val="1"/>
          <w:rtl w:val="0"/>
        </w:rPr>
        <w:t xml:space="preserve">Automated Risk &amp; Affordability Analytics:</w:t>
      </w:r>
      <w:r w:rsidDel="00000000" w:rsidR="00000000" w:rsidRPr="00000000">
        <w:rPr>
          <w:rtl w:val="0"/>
        </w:rPr>
        <w:t xml:space="preserve">  Generative AI tools ingest unstructured payroll files and historical earnings records to execute real-time affordability checks, preventing over-advance scenarios while preserving worker financial health.</w:t>
      </w:r>
    </w:p>
    <w:p w:rsidR="00000000" w:rsidDel="00000000" w:rsidP="00000000" w:rsidRDefault="00000000" w:rsidRPr="00000000" w14:paraId="00000033">
      <w:pPr>
        <w:numPr>
          <w:ilvl w:val="0"/>
          <w:numId w:val="12"/>
        </w:numPr>
        <w:ind w:left="720" w:hanging="360"/>
        <w:rPr>
          <w:u w:val="none"/>
        </w:rPr>
      </w:pPr>
      <w:r w:rsidDel="00000000" w:rsidR="00000000" w:rsidRPr="00000000">
        <w:rPr>
          <w:b w:val="1"/>
          <w:bCs w:val="1"/>
          <w:rtl w:val="0"/>
        </w:rPr>
        <w:t xml:space="preserve">Personalized Financial Wellness Assistants:</w:t>
      </w:r>
      <w:r w:rsidDel="00000000" w:rsidR="00000000" w:rsidRPr="00000000">
        <w:rPr>
          <w:rtl w:val="0"/>
        </w:rPr>
        <w:t xml:space="preserve">  Payactiv deployed a Gen-AI financial assistant that analyzes individual wage accruals, recurring liabilities, and work patterns to recommend optimized withdrawal timing and personalized savings strategies.</w:t>
      </w:r>
    </w:p>
    <w:p w:rsidR="00000000" w:rsidDel="00000000" w:rsidP="00000000" w:rsidRDefault="00000000" w:rsidRPr="00000000" w14:paraId="00000034">
      <w:pPr>
        <w:pStyle w:val="Heading6"/>
        <w:rPr/>
      </w:pPr>
      <w:bookmarkStart w:colFirst="0" w:colLast="0" w:name="_suluao7uort9" w:id="16"/>
      <w:bookmarkEnd w:id="16"/>
      <w:r w:rsidDel="00000000" w:rsidR="00000000" w:rsidRPr="00000000">
        <w:rPr>
          <w:rtl w:val="0"/>
        </w:rPr>
        <w:t xml:space="preserve">Instant Payment Rails &amp; Programmable Money</w:t>
      </w:r>
    </w:p>
    <w:p w:rsidR="00000000" w:rsidDel="00000000" w:rsidP="00000000" w:rsidRDefault="00000000" w:rsidRPr="00000000" w14:paraId="00000035">
      <w:pPr>
        <w:rPr/>
      </w:pPr>
      <w:r w:rsidDel="00000000" w:rsidR="00000000" w:rsidRPr="00000000">
        <w:rPr>
          <w:rtl w:val="0"/>
        </w:rPr>
        <w:t xml:space="preserve">Continuous payroll requires modern clearing and settlement mechanics capable of shifting from batch execution to instant settlement:</w:t>
      </w:r>
    </w:p>
    <w:p w:rsidR="00000000" w:rsidDel="00000000" w:rsidP="00000000" w:rsidRDefault="00000000" w:rsidRPr="00000000" w14:paraId="00000036">
      <w:pPr>
        <w:numPr>
          <w:ilvl w:val="0"/>
          <w:numId w:val="2"/>
        </w:numPr>
        <w:ind w:left="720" w:hanging="360"/>
        <w:rPr>
          <w:u w:val="none"/>
        </w:rPr>
      </w:pPr>
      <w:r w:rsidDel="00000000" w:rsidR="00000000" w:rsidRPr="00000000">
        <w:rPr>
          <w:b w:val="1"/>
          <w:bCs w:val="1"/>
          <w:rtl w:val="0"/>
        </w:rPr>
        <w:t xml:space="preserve">FedNow (United States):</w:t>
      </w:r>
      <w:r w:rsidDel="00000000" w:rsidR="00000000" w:rsidRPr="00000000">
        <w:rPr>
          <w:rtl w:val="0"/>
        </w:rPr>
        <w:t xml:space="preserve">  Recorded a 172% quarter-over-quarter transaction volume surge in Q4 2024, providing a real-time framework for immediate employer wage distributions.</w:t>
      </w:r>
    </w:p>
    <w:p w:rsidR="00000000" w:rsidDel="00000000" w:rsidP="00000000" w:rsidRDefault="00000000" w:rsidRPr="00000000" w14:paraId="00000037">
      <w:pPr>
        <w:numPr>
          <w:ilvl w:val="0"/>
          <w:numId w:val="2"/>
        </w:numPr>
        <w:ind w:left="720" w:hanging="360"/>
        <w:rPr>
          <w:u w:val="none"/>
        </w:rPr>
      </w:pPr>
      <w:r w:rsidDel="00000000" w:rsidR="00000000" w:rsidRPr="00000000">
        <w:rPr>
          <w:b w:val="1"/>
          <w:bCs w:val="1"/>
          <w:rtl w:val="0"/>
        </w:rPr>
        <w:t xml:space="preserve">SEPA Instant Credit Transfer (Europe):</w:t>
      </w:r>
      <w:r w:rsidDel="00000000" w:rsidR="00000000" w:rsidRPr="00000000">
        <w:rPr>
          <w:rtl w:val="0"/>
        </w:rPr>
        <w:t xml:space="preserve">  The EU SCT Inst mandate requires euro-denominated payments to fully clear within 10 seconds starting in 2025, embedding real-time settlement directly into standard European banking architecture.</w:t>
      </w:r>
    </w:p>
    <w:p w:rsidR="00000000" w:rsidDel="00000000" w:rsidP="00000000" w:rsidRDefault="00000000" w:rsidRPr="00000000" w14:paraId="00000038">
      <w:pPr>
        <w:numPr>
          <w:ilvl w:val="0"/>
          <w:numId w:val="2"/>
        </w:numPr>
        <w:ind w:left="720" w:hanging="360"/>
        <w:rPr>
          <w:u w:val="none"/>
        </w:rPr>
      </w:pPr>
      <w:r w:rsidDel="00000000" w:rsidR="00000000" w:rsidRPr="00000000">
        <w:rPr>
          <w:b w:val="1"/>
          <w:bCs w:val="1"/>
          <w:rtl w:val="0"/>
        </w:rPr>
        <w:t xml:space="preserve">Same-Day ACH Acceleration:</w:t>
      </w:r>
      <w:r w:rsidDel="00000000" w:rsidR="00000000" w:rsidRPr="00000000">
        <w:rPr>
          <w:rtl w:val="0"/>
        </w:rPr>
        <w:t xml:space="preserve">  NACHA reported that Same-Day ACH volume exceeded 1.2 billion transactions in 2024 totaling $3.2 trillion in value—a 45.3% volume expansion from 2023—within an overall ACH network volume of 33.6 billion payments worth $86.2 trillion.</w:t>
      </w:r>
    </w:p>
    <w:p w:rsidR="00000000" w:rsidDel="00000000" w:rsidP="00000000" w:rsidRDefault="00000000" w:rsidRPr="00000000" w14:paraId="00000039">
      <w:pPr>
        <w:numPr>
          <w:ilvl w:val="0"/>
          <w:numId w:val="2"/>
        </w:numPr>
        <w:ind w:left="720" w:hanging="360"/>
        <w:rPr>
          <w:u w:val="none"/>
        </w:rPr>
      </w:pPr>
      <w:r w:rsidDel="00000000" w:rsidR="00000000" w:rsidRPr="00000000">
        <w:rPr>
          <w:b w:val="1"/>
          <w:bCs w:val="1"/>
          <w:rtl w:val="0"/>
        </w:rPr>
        <w:t xml:space="preserve">Alternative Digital Currencies &amp; Stablecoins:</w:t>
      </w:r>
      <w:r w:rsidDel="00000000" w:rsidR="00000000" w:rsidRPr="00000000">
        <w:rPr>
          <w:rtl w:val="0"/>
        </w:rPr>
        <w:t xml:space="preserve">  Stablecoin transaction volumes reached $26 trillion. While real-world commercial payments currently represent approximately 1% of this volume (with activity concentrated in crypto trading), stablecoins establish a framework for zero-friction cross-border payroll disbursements and smart-contract compensation models.</w:t>
      </w:r>
    </w:p>
    <w:p w:rsidR="00000000" w:rsidDel="00000000" w:rsidP="00000000" w:rsidRDefault="00000000" w:rsidRPr="00000000" w14:paraId="0000003A">
      <w:pPr>
        <w:pStyle w:val="Heading6"/>
        <w:rPr/>
      </w:pPr>
      <w:bookmarkStart w:colFirst="0" w:colLast="0" w:name="_6ozsuef1gx3j" w:id="17"/>
      <w:bookmarkEnd w:id="17"/>
      <w:r w:rsidDel="00000000" w:rsidR="00000000" w:rsidRPr="00000000">
        <w:rPr>
          <w:rtl w:val="0"/>
        </w:rPr>
        <w:t xml:space="preserve">Deconstructing the Core Infrastructure: Real-Time Ledgers vs. Legacy Batch ACH</w:t>
      </w:r>
    </w:p>
    <w:p w:rsidR="00000000" w:rsidDel="00000000" w:rsidP="00000000" w:rsidRDefault="00000000" w:rsidRPr="00000000" w14:paraId="0000003B">
      <w:pPr>
        <w:pStyle w:val="Heading6"/>
        <w:rPr/>
      </w:pPr>
      <w:bookmarkStart w:colFirst="0" w:colLast="0" w:name="_ishp5qo55iv5" w:id="18"/>
      <w:bookmarkEnd w:id="18"/>
      <w:r w:rsidDel="00000000" w:rsidR="00000000" w:rsidRPr="00000000">
        <w:rPr>
          <w:rtl w:val="0"/>
        </w:rPr>
        <w:t xml:space="preserve">Working Capital, Corporate Float, and Treasury Strategy</w:t>
      </w:r>
    </w:p>
    <w:p w:rsidR="00000000" w:rsidDel="00000000" w:rsidP="00000000" w:rsidRDefault="00000000" w:rsidRPr="00000000" w14:paraId="0000003C">
      <w:pPr>
        <w:rPr/>
      </w:pPr>
      <w:r w:rsidDel="00000000" w:rsidR="00000000" w:rsidRPr="00000000">
        <w:rPr>
          <w:rtl w:val="0"/>
        </w:rPr>
        <w:t xml:space="preserve">Transitioning from traditional batch ACH processing to continuous payroll ledgers transforms corporate treasury operations. Legacy payroll models rely on holding cash until scheduled paydays, generating investment yield on the corporate float buffer. Continuous wage access alters this liquidity dynamic. By deploying continuous embedded ledgers, corporate treasurers gain intraday visibility into real-time earned liabilities. This visibility enables precise short-term cash positioning, optimizes working capital deployment, and eliminates the abrupt, large-scale cash drawdowns that characterize traditional bi-weekly payroll runs.</w:t>
      </w:r>
    </w:p>
    <w:p w:rsidR="00000000" w:rsidDel="00000000" w:rsidP="00000000" w:rsidRDefault="00000000" w:rsidRPr="00000000" w14:paraId="0000003D">
      <w:pPr>
        <w:pStyle w:val="Heading6"/>
        <w:rPr/>
      </w:pPr>
      <w:bookmarkStart w:colFirst="0" w:colLast="0" w:name="_e2eah7gmc2rs" w:id="19"/>
      <w:bookmarkEnd w:id="19"/>
      <w:r w:rsidDel="00000000" w:rsidR="00000000" w:rsidRPr="00000000">
        <w:rPr>
          <w:rtl w:val="0"/>
        </w:rPr>
        <w:t xml:space="preserve">The "Ledger Problem"</w:t>
      </w:r>
    </w:p>
    <w:p w:rsidR="00000000" w:rsidDel="00000000" w:rsidP="00000000" w:rsidRDefault="00000000" w:rsidRPr="00000000" w14:paraId="0000003E">
      <w:pPr>
        <w:rPr/>
      </w:pPr>
      <w:r w:rsidDel="00000000" w:rsidR="00000000" w:rsidRPr="00000000">
        <w:rPr>
          <w:rtl w:val="0"/>
        </w:rPr>
        <w:t xml:space="preserve">Earned Wage Access is fundamentally a ledger problem before it is a payment problem. While transfer speed is a downstream capability, the core engineering challenge sits upstream: building an enterprise ledger that calculates, verifies, and synchronizes earned compensation in real time across three disparate environments—the employer’s HRIS/payroll system, the EWA solution provider, and the clearing payment rail.</w:t>
      </w:r>
    </w:p>
    <w:p w:rsidR="00000000" w:rsidDel="00000000" w:rsidP="00000000" w:rsidRDefault="00000000" w:rsidRPr="00000000" w14:paraId="0000003F">
      <w:pPr>
        <w:pStyle w:val="Heading6"/>
        <w:rPr/>
      </w:pPr>
      <w:bookmarkStart w:colFirst="0" w:colLast="0" w:name="_tkwed87pdxuq" w:id="20"/>
      <w:bookmarkEnd w:id="20"/>
      <w:r w:rsidDel="00000000" w:rsidR="00000000" w:rsidRPr="00000000">
        <w:rPr>
          <w:rtl w:val="0"/>
        </w:rPr>
        <w:t xml:space="preserve">The Five Continuous Variables</w:t>
      </w:r>
    </w:p>
    <w:p w:rsidR="00000000" w:rsidDel="00000000" w:rsidP="00000000" w:rsidRDefault="00000000" w:rsidRPr="00000000" w14:paraId="00000040">
      <w:pPr>
        <w:rPr/>
      </w:pPr>
      <w:r w:rsidDel="00000000" w:rsidR="00000000" w:rsidRPr="00000000">
        <w:rPr>
          <w:rtl w:val="0"/>
        </w:rPr>
        <w:t xml:space="preserve">To maintain absolute financial integrity without creating balance discrepancies or un-reconciled advances, an enterprise ledger must continuously calculate five dynamic variables for every employee:</w:t>
      </w:r>
    </w:p>
    <w:p w:rsidR="00000000" w:rsidDel="00000000" w:rsidP="00000000" w:rsidRDefault="00000000" w:rsidRPr="00000000" w14:paraId="00000041">
      <w:pPr>
        <w:numPr>
          <w:ilvl w:val="0"/>
          <w:numId w:val="13"/>
        </w:numPr>
        <w:ind w:left="720" w:hanging="360"/>
        <w:rPr>
          <w:u w:val="none"/>
        </w:rPr>
      </w:pPr>
      <w:r w:rsidDel="00000000" w:rsidR="00000000" w:rsidRPr="00000000">
        <w:rPr>
          <w:b w:val="1"/>
          <w:bCs w:val="1"/>
          <w:rtl w:val="0"/>
        </w:rPr>
        <w:t xml:space="preserve">Earned:</w:t>
      </w:r>
      <w:r w:rsidDel="00000000" w:rsidR="00000000" w:rsidRPr="00000000">
        <w:rPr>
          <w:rtl w:val="0"/>
        </w:rPr>
        <w:t xml:space="preserve">  Gross wages accrued in real time against verified hours worked or discrete completed task data (excluding estimates).</w:t>
      </w:r>
    </w:p>
    <w:p w:rsidR="00000000" w:rsidDel="00000000" w:rsidP="00000000" w:rsidRDefault="00000000" w:rsidRPr="00000000" w14:paraId="00000042">
      <w:pPr>
        <w:numPr>
          <w:ilvl w:val="0"/>
          <w:numId w:val="13"/>
        </w:numPr>
        <w:ind w:left="720" w:hanging="360"/>
        <w:rPr>
          <w:u w:val="none"/>
        </w:rPr>
      </w:pPr>
      <w:r w:rsidDel="00000000" w:rsidR="00000000" w:rsidRPr="00000000">
        <w:rPr>
          <w:b w:val="1"/>
          <w:bCs w:val="1"/>
          <w:rtl w:val="0"/>
        </w:rPr>
        <w:t xml:space="preserve">Available:</w:t>
      </w:r>
      <w:r w:rsidDel="00000000" w:rsidR="00000000" w:rsidRPr="00000000">
        <w:rPr>
          <w:rtl w:val="0"/>
        </w:rPr>
        <w:t xml:space="preserve">  The net portion of earned capital approved for immediate disbursement, governed by employer risk parameters and statutory limits.</w:t>
      </w:r>
    </w:p>
    <w:p w:rsidR="00000000" w:rsidDel="00000000" w:rsidP="00000000" w:rsidRDefault="00000000" w:rsidRPr="00000000" w14:paraId="00000043">
      <w:pPr>
        <w:numPr>
          <w:ilvl w:val="0"/>
          <w:numId w:val="13"/>
        </w:numPr>
        <w:ind w:left="720" w:hanging="360"/>
        <w:rPr>
          <w:u w:val="none"/>
        </w:rPr>
      </w:pPr>
      <w:r w:rsidDel="00000000" w:rsidR="00000000" w:rsidRPr="00000000">
        <w:rPr>
          <w:b w:val="1"/>
          <w:bCs w:val="1"/>
          <w:rtl w:val="0"/>
        </w:rPr>
        <w:t xml:space="preserve">Advanced:</w:t>
      </w:r>
      <w:r w:rsidDel="00000000" w:rsidR="00000000" w:rsidRPr="00000000">
        <w:rPr>
          <w:rtl w:val="0"/>
        </w:rPr>
        <w:t xml:space="preserve">  The cumulative sum of capital already disbursed to the worker within the active pay cycle.</w:t>
      </w:r>
    </w:p>
    <w:p w:rsidR="00000000" w:rsidDel="00000000" w:rsidP="00000000" w:rsidRDefault="00000000" w:rsidRPr="00000000" w14:paraId="00000044">
      <w:pPr>
        <w:numPr>
          <w:ilvl w:val="0"/>
          <w:numId w:val="13"/>
        </w:numPr>
        <w:ind w:left="720" w:hanging="360"/>
        <w:rPr>
          <w:u w:val="none"/>
        </w:rPr>
      </w:pPr>
      <w:r w:rsidDel="00000000" w:rsidR="00000000" w:rsidRPr="00000000">
        <w:rPr>
          <w:b w:val="1"/>
          <w:bCs w:val="1"/>
          <w:rtl w:val="0"/>
        </w:rPr>
        <w:t xml:space="preserve">Paid:</w:t>
      </w:r>
      <w:r w:rsidDel="00000000" w:rsidR="00000000" w:rsidRPr="00000000">
        <w:rPr>
          <w:rtl w:val="0"/>
        </w:rPr>
        <w:t xml:space="preserve">  Total capital fully cleared and settled through the standard payroll cycle.</w:t>
      </w:r>
    </w:p>
    <w:p w:rsidR="00000000" w:rsidDel="00000000" w:rsidP="00000000" w:rsidRDefault="00000000" w:rsidRPr="00000000" w14:paraId="00000045">
      <w:pPr>
        <w:numPr>
          <w:ilvl w:val="0"/>
          <w:numId w:val="13"/>
        </w:numPr>
        <w:ind w:left="720" w:hanging="360"/>
        <w:rPr>
          <w:u w:val="none"/>
        </w:rPr>
      </w:pPr>
      <w:r w:rsidDel="00000000" w:rsidR="00000000" w:rsidRPr="00000000">
        <w:rPr>
          <w:b w:val="1"/>
          <w:bCs w:val="1"/>
          <w:rtl w:val="0"/>
        </w:rPr>
        <w:t xml:space="preserve">Remaining:</w:t>
      </w:r>
      <w:r w:rsidDel="00000000" w:rsidR="00000000" w:rsidRPr="00000000">
        <w:rPr>
          <w:rtl w:val="0"/>
        </w:rPr>
        <w:t xml:space="preserve">  The net residual balance owed on payday after netting all advances, fees, tax holdings, and voluntary deductions.</w:t>
      </w:r>
    </w:p>
    <w:p w:rsidR="00000000" w:rsidDel="00000000" w:rsidP="00000000" w:rsidRDefault="00000000" w:rsidRPr="00000000" w14:paraId="00000046">
      <w:pPr>
        <w:pStyle w:val="Heading6"/>
        <w:rPr/>
      </w:pPr>
      <w:bookmarkStart w:colFirst="0" w:colLast="0" w:name="_77259yvewz38" w:id="21"/>
      <w:bookmarkEnd w:id="21"/>
      <w:r w:rsidDel="00000000" w:rsidR="00000000" w:rsidRPr="00000000">
        <w:rPr>
          <w:rtl w:val="0"/>
        </w:rPr>
        <w:t xml:space="preserve">Batch ACH Bottlenecks vs. Exposure Models</w:t>
      </w:r>
    </w:p>
    <w:p w:rsidR="00000000" w:rsidDel="00000000" w:rsidP="00000000" w:rsidRDefault="00000000" w:rsidRPr="00000000" w14:paraId="00000047">
      <w:pPr>
        <w:rPr/>
      </w:pPr>
      <w:r w:rsidDel="00000000" w:rsidR="00000000" w:rsidRPr="00000000">
        <w:rPr>
          <w:rtl w:val="0"/>
        </w:rPr>
        <w:t xml:space="preserve">Traditional Batch ACH was designed for predictable, scheduled distributions. Layering continuous, intraday wage access over batch rails creates timing mismatches. Requests submitted after standard daily banking cutoffs wait for subsequent processing windows, introducing a settlement lag of 24 to 48 hours.</w:t>
      </w:r>
    </w:p>
    <w:p w:rsidR="00000000" w:rsidDel="00000000" w:rsidP="00000000" w:rsidRDefault="00000000" w:rsidRPr="00000000" w14:paraId="00000048">
      <w:pPr>
        <w:rPr/>
      </w:pPr>
      <w:r w:rsidDel="00000000" w:rsidR="00000000" w:rsidRPr="00000000">
        <w:rPr>
          <w:rtl w:val="0"/>
        </w:rPr>
        <w:t xml:space="preserve">This lag creates balance sheet exposure regarding who holds float risk during the settlement window:</w:t>
      </w:r>
    </w:p>
    <w:p w:rsidR="00000000" w:rsidDel="00000000" w:rsidP="00000000" w:rsidRDefault="00000000" w:rsidRPr="00000000" w14:paraId="00000049">
      <w:pPr>
        <w:numPr>
          <w:ilvl w:val="0"/>
          <w:numId w:val="11"/>
        </w:numPr>
        <w:ind w:left="720" w:hanging="360"/>
        <w:rPr>
          <w:u w:val="none"/>
        </w:rPr>
      </w:pPr>
      <w:r w:rsidDel="00000000" w:rsidR="00000000" w:rsidRPr="00000000">
        <w:rPr>
          <w:b w:val="1"/>
          <w:bCs w:val="1"/>
          <w:rtl w:val="0"/>
        </w:rPr>
        <w:t xml:space="preserve">Employer-Funded Model:</w:t>
      </w:r>
      <w:r w:rsidDel="00000000" w:rsidR="00000000" w:rsidRPr="00000000">
        <w:rPr>
          <w:rtl w:val="0"/>
        </w:rPr>
        <w:t xml:space="preserve">  The employer absorbs short-term exposure, reimbursing the advance on the scheduled payroll date. Risk is bounded by a known, upcoming backstop date.</w:t>
      </w:r>
    </w:p>
    <w:p w:rsidR="00000000" w:rsidDel="00000000" w:rsidP="00000000" w:rsidRDefault="00000000" w:rsidRPr="00000000" w14:paraId="0000004A">
      <w:pPr>
        <w:numPr>
          <w:ilvl w:val="0"/>
          <w:numId w:val="11"/>
        </w:numPr>
        <w:ind w:left="720" w:hanging="360"/>
        <w:rPr>
          <w:u w:val="none"/>
        </w:rPr>
      </w:pPr>
      <w:r w:rsidDel="00000000" w:rsidR="00000000" w:rsidRPr="00000000">
        <w:rPr>
          <w:b w:val="1"/>
          <w:bCs w:val="1"/>
          <w:rtl w:val="0"/>
        </w:rPr>
        <w:t xml:space="preserve">Provider-Funded Model:</w:t>
      </w:r>
      <w:r w:rsidDel="00000000" w:rsidR="00000000" w:rsidRPr="00000000">
        <w:rPr>
          <w:rtl w:val="0"/>
        </w:rPr>
        <w:t xml:space="preserve">  The provider carries the float on its balance sheet or credit facility until payroll settlement clears. Lag or deduction errors directly impact provider liquidity and capital costs.</w:t>
      </w:r>
    </w:p>
    <w:p w:rsidR="00000000" w:rsidDel="00000000" w:rsidP="00000000" w:rsidRDefault="00000000" w:rsidRPr="00000000" w14:paraId="0000004B">
      <w:pPr>
        <w:numPr>
          <w:ilvl w:val="0"/>
          <w:numId w:val="11"/>
        </w:numPr>
        <w:ind w:left="720" w:hanging="360"/>
        <w:rPr>
          <w:u w:val="none"/>
        </w:rPr>
      </w:pPr>
      <w:r w:rsidDel="00000000" w:rsidR="00000000" w:rsidRPr="00000000">
        <w:rPr>
          <w:b w:val="1"/>
          <w:bCs w:val="1"/>
          <w:rtl w:val="0"/>
        </w:rPr>
        <w:t xml:space="preserve">Third-Party / Bank-Funded Model:</w:t>
      </w:r>
      <w:r w:rsidDel="00000000" w:rsidR="00000000" w:rsidRPr="00000000">
        <w:rPr>
          <w:rtl w:val="0"/>
        </w:rPr>
        <w:t xml:space="preserve">  A financial institution sits behind the provider, imposing strict institutional reconciliation, reporting, and capital alignment standards.</w:t>
      </w:r>
    </w:p>
    <w:p w:rsidR="00000000" w:rsidDel="00000000" w:rsidP="00000000" w:rsidRDefault="00000000" w:rsidRPr="00000000" w14:paraId="0000004C">
      <w:pPr>
        <w:pStyle w:val="Heading6"/>
        <w:rPr/>
      </w:pPr>
      <w:bookmarkStart w:colFirst="0" w:colLast="0" w:name="_3aosttsvtwcr" w:id="22"/>
      <w:bookmarkEnd w:id="22"/>
      <w:r w:rsidDel="00000000" w:rsidR="00000000" w:rsidRPr="00000000">
        <w:rPr>
          <w:rtl w:val="0"/>
        </w:rPr>
        <w:t xml:space="preserve">Intraday Fraud &amp; Speed Risks</w:t>
      </w:r>
    </w:p>
    <w:p w:rsidR="00000000" w:rsidDel="00000000" w:rsidP="00000000" w:rsidRDefault="00000000" w:rsidRPr="00000000" w14:paraId="0000004D">
      <w:pPr>
        <w:rPr/>
      </w:pPr>
      <w:r w:rsidDel="00000000" w:rsidR="00000000" w:rsidRPr="00000000">
        <w:rPr>
          <w:rtl w:val="0"/>
        </w:rPr>
        <w:t xml:space="preserve">While instant rails (FedNow/RTP) eliminate settlement lag, they also eliminate the traditional 24-to-48-hour "time buffer" that back-office teams historically used to catch timecard fraud, unverified manager edits, or unauthorized account modifications. When funds clear in seconds, un-reconciled requests settle instantly. Consequently, deploying instant payment rails without real-time intraday fraud engines and strict API idempotency keys exposes organizations to unrecoverable capital leakage. API idempotency ensures that duplicate network retries or application taps never execute duplicate payouts on real-time rails.</w:t>
      </w:r>
    </w:p>
    <w:p w:rsidR="00000000" w:rsidDel="00000000" w:rsidP="00000000" w:rsidRDefault="00000000" w:rsidRPr="00000000" w14:paraId="0000004E">
      <w:pPr>
        <w:pStyle w:val="Heading6"/>
        <w:rPr/>
      </w:pPr>
      <w:bookmarkStart w:colFirst="0" w:colLast="0" w:name="_scjwl2o5qkx3" w:id="23"/>
      <w:bookmarkEnd w:id="23"/>
      <w:r w:rsidDel="00000000" w:rsidR="00000000" w:rsidRPr="00000000">
        <w:rPr>
          <w:rtl w:val="0"/>
        </w:rPr>
        <w:t xml:space="preserve">Operational Mechanics of Reversals &amp; Clawbacks</w:t>
      </w:r>
    </w:p>
    <w:p w:rsidR="00000000" w:rsidDel="00000000" w:rsidP="00000000" w:rsidRDefault="00000000" w:rsidRPr="00000000" w14:paraId="0000004F">
      <w:pPr>
        <w:rPr/>
      </w:pPr>
      <w:r w:rsidDel="00000000" w:rsidR="00000000" w:rsidRPr="00000000">
        <w:rPr>
          <w:rtl w:val="0"/>
        </w:rPr>
        <w:t xml:space="preserve">System errors—such as disputed shifts, retroactive pay scale modifications, or reversed gig assignments—are routine operational events at scale. Continuous ledgers must execute defined reversal mechanics without requiring manual exception workflows:</w:t>
      </w:r>
    </w:p>
    <w:p w:rsidR="00000000" w:rsidDel="00000000" w:rsidP="00000000" w:rsidRDefault="00000000" w:rsidRPr="00000000" w14:paraId="00000050">
      <w:pPr>
        <w:rPr/>
      </w:pPr>
      <w:r w:rsidDel="00000000" w:rsidR="00000000" w:rsidRPr="00000000">
        <w:rPr>
          <w:rtl w:val="0"/>
        </w:rPr>
        <w:t xml:space="preserve">Exception Event,Ledger Mechanism,Automated Action</w:t>
      </w:r>
    </w:p>
    <w:p w:rsidR="00000000" w:rsidDel="00000000" w:rsidP="00000000" w:rsidRDefault="00000000" w:rsidRPr="00000000" w14:paraId="00000051">
      <w:pPr>
        <w:rPr/>
      </w:pPr>
      <w:r w:rsidDel="00000000" w:rsidR="00000000" w:rsidRPr="00000000">
        <w:rPr>
          <w:rtl w:val="0"/>
        </w:rPr>
        <w:t xml:space="preserve">Disputed / Overstated Shift,Dynamic Available Balance Adjustment,Automatically reduces the  Available  balance parameter for subsequent shifts within the active cycle.</w:t>
      </w:r>
    </w:p>
    <w:p w:rsidR="00000000" w:rsidDel="00000000" w:rsidP="00000000" w:rsidRDefault="00000000" w:rsidRPr="00000000" w14:paraId="00000052">
      <w:pPr>
        <w:rPr/>
      </w:pPr>
      <w:r w:rsidDel="00000000" w:rsidR="00000000" w:rsidRPr="00000000">
        <w:rPr>
          <w:rtl w:val="0"/>
        </w:rPr>
        <w:t xml:space="preserve">Retroactive Pay Rate Reduction,Cycle Netting Protocol,Offsets the over-advanced differential against residual  Remaining  earnings prior to final payroll calculation.</w:t>
      </w:r>
    </w:p>
    <w:p w:rsidR="00000000" w:rsidDel="00000000" w:rsidP="00000000" w:rsidRDefault="00000000" w:rsidRPr="00000000" w14:paraId="00000053">
      <w:pPr>
        <w:rPr/>
      </w:pPr>
      <w:r w:rsidDel="00000000" w:rsidR="00000000" w:rsidRPr="00000000">
        <w:rPr>
          <w:rtl w:val="0"/>
        </w:rPr>
        <w:t xml:space="preserve">Reversed Gig Task / Order Cancel,Next-Transaction Deduction,Applies an immediate negative ledger adjustment against incoming transactional earnings on marketplace platforms.</w:t>
      </w:r>
    </w:p>
    <w:p w:rsidR="00000000" w:rsidDel="00000000" w:rsidP="00000000" w:rsidRDefault="00000000" w:rsidRPr="00000000" w14:paraId="00000054">
      <w:pPr>
        <w:rPr/>
      </w:pPr>
      <w:r w:rsidDel="00000000" w:rsidR="00000000" w:rsidRPr="00000000">
        <w:rPr>
          <w:rtl w:val="0"/>
        </w:rPr>
        <w:t xml:space="preserve">Unfunded Advance Exceeding Net Pay,Multi-Cycle Clawback Reserve,Places a structured reserve hold against the initial accruals of the subsequent payroll cycle.</w:t>
      </w:r>
    </w:p>
    <w:p w:rsidR="00000000" w:rsidDel="00000000" w:rsidP="00000000" w:rsidRDefault="00000000" w:rsidRPr="00000000" w14:paraId="00000055">
      <w:pPr>
        <w:pStyle w:val="Heading6"/>
        <w:rPr/>
      </w:pPr>
      <w:bookmarkStart w:colFirst="0" w:colLast="0" w:name="_6hb0rpwj6lx6" w:id="24"/>
      <w:bookmarkEnd w:id="24"/>
      <w:r w:rsidDel="00000000" w:rsidR="00000000" w:rsidRPr="00000000">
        <w:rPr>
          <w:rtl w:val="0"/>
        </w:rPr>
        <w:t xml:space="preserve">Architectural Layers</w:t>
      </w:r>
    </w:p>
    <w:p w:rsidR="00000000" w:rsidDel="00000000" w:rsidP="00000000" w:rsidRDefault="00000000" w:rsidRPr="00000000" w14:paraId="00000056">
      <w:pPr>
        <w:rPr/>
      </w:pPr>
      <w:r w:rsidDel="00000000" w:rsidR="00000000" w:rsidRPr="00000000">
        <w:rPr>
          <w:rtl w:val="0"/>
        </w:rPr>
        <w:t xml:space="preserve">A complete real-time EWA infrastructure requires four integrated functional layers:</w:t>
      </w:r>
    </w:p>
    <w:p w:rsidR="00000000" w:rsidDel="00000000" w:rsidP="00000000" w:rsidRDefault="00000000" w:rsidRPr="00000000" w14:paraId="00000057">
      <w:pPr>
        <w:numPr>
          <w:ilvl w:val="0"/>
          <w:numId w:val="10"/>
        </w:numPr>
        <w:ind w:left="720" w:hanging="360"/>
        <w:rPr>
          <w:u w:val="none"/>
        </w:rPr>
      </w:pPr>
      <w:r w:rsidDel="00000000" w:rsidR="00000000" w:rsidRPr="00000000">
        <w:rPr>
          <w:b w:val="1"/>
          <w:bCs w:val="1"/>
          <w:rtl w:val="0"/>
        </w:rPr>
        <w:t xml:space="preserve">Continuous Embedded Ledger Layer:</w:t>
      </w:r>
      <w:r w:rsidDel="00000000" w:rsidR="00000000" w:rsidRPr="00000000">
        <w:rPr>
          <w:rtl w:val="0"/>
        </w:rPr>
        <w:t xml:space="preserve">  Serves as the authoritative source of truth, updating  </w:t>
      </w:r>
      <w:r w:rsidDel="00000000" w:rsidR="00000000" w:rsidRPr="00000000">
        <w:rPr>
          <w:b w:val="1"/>
          <w:bCs w:val="1"/>
          <w:rtl w:val="0"/>
        </w:rPr>
        <w:t xml:space="preserve">Earned</w:t>
      </w:r>
      <w:r w:rsidDel="00000000" w:rsidR="00000000" w:rsidRPr="00000000">
        <w:rPr>
          <w:rtl w:val="0"/>
        </w:rPr>
        <w:t xml:space="preserve"> ,  </w:t>
      </w:r>
      <w:r w:rsidDel="00000000" w:rsidR="00000000" w:rsidRPr="00000000">
        <w:rPr>
          <w:b w:val="1"/>
          <w:bCs w:val="1"/>
          <w:rtl w:val="0"/>
        </w:rPr>
        <w:t xml:space="preserve">Available</w:t>
      </w:r>
      <w:r w:rsidDel="00000000" w:rsidR="00000000" w:rsidRPr="00000000">
        <w:rPr>
          <w:rtl w:val="0"/>
        </w:rPr>
        <w:t xml:space="preserve"> ,  </w:t>
      </w:r>
      <w:r w:rsidDel="00000000" w:rsidR="00000000" w:rsidRPr="00000000">
        <w:rPr>
          <w:b w:val="1"/>
          <w:bCs w:val="1"/>
          <w:rtl w:val="0"/>
        </w:rPr>
        <w:t xml:space="preserve">Advanced</w:t>
      </w:r>
      <w:r w:rsidDel="00000000" w:rsidR="00000000" w:rsidRPr="00000000">
        <w:rPr>
          <w:rtl w:val="0"/>
        </w:rPr>
        <w:t xml:space="preserve"> ,  </w:t>
      </w:r>
      <w:r w:rsidDel="00000000" w:rsidR="00000000" w:rsidRPr="00000000">
        <w:rPr>
          <w:b w:val="1"/>
          <w:bCs w:val="1"/>
          <w:rtl w:val="0"/>
        </w:rPr>
        <w:t xml:space="preserve">Paid</w:t>
      </w:r>
      <w:r w:rsidDel="00000000" w:rsidR="00000000" w:rsidRPr="00000000">
        <w:rPr>
          <w:rtl w:val="0"/>
        </w:rPr>
        <w:t xml:space="preserve"> , and  </w:t>
      </w:r>
      <w:r w:rsidDel="00000000" w:rsidR="00000000" w:rsidRPr="00000000">
        <w:rPr>
          <w:b w:val="1"/>
          <w:bCs w:val="1"/>
          <w:rtl w:val="0"/>
        </w:rPr>
        <w:t xml:space="preserve">Remaining</w:t>
      </w:r>
      <w:r w:rsidDel="00000000" w:rsidR="00000000" w:rsidRPr="00000000">
        <w:rPr>
          <w:rtl w:val="0"/>
        </w:rPr>
        <w:t xml:space="preserve">  variables in real time.</w:t>
      </w:r>
    </w:p>
    <w:p w:rsidR="00000000" w:rsidDel="00000000" w:rsidP="00000000" w:rsidRDefault="00000000" w:rsidRPr="00000000" w14:paraId="00000058">
      <w:pPr>
        <w:numPr>
          <w:ilvl w:val="0"/>
          <w:numId w:val="10"/>
        </w:numPr>
        <w:ind w:left="720" w:hanging="360"/>
        <w:rPr>
          <w:u w:val="none"/>
        </w:rPr>
      </w:pPr>
      <w:r w:rsidDel="00000000" w:rsidR="00000000" w:rsidRPr="00000000">
        <w:rPr>
          <w:b w:val="1"/>
          <w:bCs w:val="1"/>
          <w:rtl w:val="0"/>
        </w:rPr>
        <w:t xml:space="preserve">Segmented Account Structure Layer:</w:t>
      </w:r>
      <w:r w:rsidDel="00000000" w:rsidR="00000000" w:rsidRPr="00000000">
        <w:rPr>
          <w:rtl w:val="0"/>
        </w:rPr>
        <w:t xml:space="preserve">  Isolates employee, employer, and provider funds within segregated account structures, eliminating the commingling of operating capital.</w:t>
      </w:r>
    </w:p>
    <w:p w:rsidR="00000000" w:rsidDel="00000000" w:rsidP="00000000" w:rsidRDefault="00000000" w:rsidRPr="00000000" w14:paraId="00000059">
      <w:pPr>
        <w:numPr>
          <w:ilvl w:val="0"/>
          <w:numId w:val="10"/>
        </w:numPr>
        <w:ind w:left="720" w:hanging="360"/>
        <w:rPr>
          <w:u w:val="none"/>
        </w:rPr>
      </w:pPr>
      <w:r w:rsidDel="00000000" w:rsidR="00000000" w:rsidRPr="00000000">
        <w:rPr>
          <w:b w:val="1"/>
          <w:bCs w:val="1"/>
          <w:rtl w:val="0"/>
        </w:rPr>
        <w:t xml:space="preserve">Multi-Rail Payment Orchestration Layer:</w:t>
      </w:r>
      <w:r w:rsidDel="00000000" w:rsidR="00000000" w:rsidRPr="00000000">
        <w:rPr>
          <w:rtl w:val="0"/>
        </w:rPr>
        <w:t xml:space="preserve">  Intelligently routes payouts across clearing networks (FedNow, RTP, Same-Day ACH) based on cost, urgency, and cut-off availability.</w:t>
      </w:r>
    </w:p>
    <w:p w:rsidR="00000000" w:rsidDel="00000000" w:rsidP="00000000" w:rsidRDefault="00000000" w:rsidRPr="00000000" w14:paraId="0000005A">
      <w:pPr>
        <w:numPr>
          <w:ilvl w:val="0"/>
          <w:numId w:val="10"/>
        </w:numPr>
        <w:ind w:left="720" w:hanging="360"/>
        <w:rPr>
          <w:u w:val="none"/>
        </w:rPr>
      </w:pPr>
      <w:r w:rsidDel="00000000" w:rsidR="00000000" w:rsidRPr="00000000">
        <w:rPr>
          <w:b w:val="1"/>
          <w:bCs w:val="1"/>
          <w:rtl w:val="0"/>
        </w:rPr>
        <w:t xml:space="preserve">Automated Reconciliation Engine Layer:</w:t>
      </w:r>
      <w:r w:rsidDel="00000000" w:rsidR="00000000" w:rsidRPr="00000000">
        <w:rPr>
          <w:rtl w:val="0"/>
        </w:rPr>
        <w:t xml:space="preserve">  Executes continuous tri-party matching between employer HRIS time data, provider ledger balances, and payment rail settlement files.</w:t>
      </w:r>
    </w:p>
    <w:p w:rsidR="00000000" w:rsidDel="00000000" w:rsidP="00000000" w:rsidRDefault="00000000" w:rsidRPr="00000000" w14:paraId="0000005B">
      <w:pPr>
        <w:pStyle w:val="Heading6"/>
        <w:rPr/>
      </w:pPr>
      <w:bookmarkStart w:colFirst="0" w:colLast="0" w:name="_1lwerlrf2rmd" w:id="25"/>
      <w:bookmarkEnd w:id="25"/>
      <w:r w:rsidDel="00000000" w:rsidR="00000000" w:rsidRPr="00000000">
        <w:rPr>
          <w:rtl w:val="0"/>
        </w:rPr>
        <w:t xml:space="preserve">Operational Risk &amp; Industry Evidence</w:t>
      </w:r>
    </w:p>
    <w:p w:rsidR="00000000" w:rsidDel="00000000" w:rsidP="00000000" w:rsidRDefault="00000000" w:rsidRPr="00000000" w14:paraId="0000005C">
      <w:pPr>
        <w:rPr/>
      </w:pPr>
      <w:r w:rsidDel="00000000" w:rsidR="00000000" w:rsidRPr="00000000">
        <w:rPr>
          <w:rtl w:val="0"/>
        </w:rPr>
        <w:t xml:space="preserve">When ledger synchronization fails, bookkeeping discrepancies create immediate operational exposures:</w:t>
      </w:r>
    </w:p>
    <w:p w:rsidR="00000000" w:rsidDel="00000000" w:rsidP="00000000" w:rsidRDefault="00000000" w:rsidRPr="00000000" w14:paraId="0000005D">
      <w:pPr>
        <w:numPr>
          <w:ilvl w:val="0"/>
          <w:numId w:val="9"/>
        </w:numPr>
        <w:ind w:left="720" w:hanging="360"/>
        <w:rPr>
          <w:u w:val="none"/>
        </w:rPr>
      </w:pPr>
      <w:r w:rsidDel="00000000" w:rsidR="00000000" w:rsidRPr="00000000">
        <w:rPr>
          <w:b w:val="1"/>
          <w:bCs w:val="1"/>
          <w:rtl w:val="0"/>
        </w:rPr>
        <w:t xml:space="preserve">CFPB Market Analysis:</w:t>
      </w:r>
      <w:r w:rsidDel="00000000" w:rsidR="00000000" w:rsidRPr="00000000">
        <w:rPr>
          <w:rtl w:val="0"/>
        </w:rPr>
        <w:t xml:space="preserve">  In an analysis of eight major employer-partnered EWA providers, the CFPB evaluated 83.4 million transactions totaling $8.9 billion across 2.8 million workers in 2022. Extrapolating across the broader market, the CFPB estimated total employer-partnered activity at 214 million transactions worth $22.8 billion across 7.2 million workers. At this volume, minor ledger sync delays create widespread deduction errors and customer support volumes.</w:t>
      </w:r>
    </w:p>
    <w:p w:rsidR="00000000" w:rsidDel="00000000" w:rsidP="00000000" w:rsidRDefault="00000000" w:rsidRPr="00000000" w14:paraId="0000005E">
      <w:pPr>
        <w:numPr>
          <w:ilvl w:val="0"/>
          <w:numId w:val="9"/>
        </w:numPr>
        <w:ind w:left="720" w:hanging="360"/>
        <w:rPr>
          <w:u w:val="none"/>
        </w:rPr>
      </w:pPr>
      <w:r w:rsidDel="00000000" w:rsidR="00000000" w:rsidRPr="00000000">
        <w:rPr>
          <w:b w:val="1"/>
          <w:bCs w:val="1"/>
          <w:rtl w:val="0"/>
        </w:rPr>
        <w:t xml:space="preserve">California DFPI Regulatory Findings:</w:t>
      </w:r>
      <w:r w:rsidDel="00000000" w:rsidR="00000000" w:rsidRPr="00000000">
        <w:rPr>
          <w:rtl w:val="0"/>
        </w:rPr>
        <w:t xml:space="preserve">  A study of $765 million in advances across seven providers identified 345 formal consumer complaints. Crucially, 67% involved issues receiving or repaying funds, while 34% concerned settlement discrepancies (including duplicate repayments exceeding the initial advance). In one highlighted case, an unannounced payroll date change by an employer caused automated EWA settlement transfers to trigger prematurely before payroll deposits hit employee accounts, generating widespread bank overdraft fees.</w:t>
      </w:r>
    </w:p>
    <w:p w:rsidR="00000000" w:rsidDel="00000000" w:rsidP="00000000" w:rsidRDefault="00000000" w:rsidRPr="00000000" w14:paraId="0000005F">
      <w:pPr>
        <w:numPr>
          <w:ilvl w:val="0"/>
          <w:numId w:val="9"/>
        </w:numPr>
        <w:ind w:left="720" w:hanging="360"/>
        <w:rPr>
          <w:u w:val="none"/>
        </w:rPr>
      </w:pPr>
      <w:r w:rsidDel="00000000" w:rsidR="00000000" w:rsidRPr="00000000">
        <w:rPr>
          <w:b w:val="1"/>
          <w:bCs w:val="1"/>
          <w:rtl w:val="0"/>
        </w:rPr>
        <w:t xml:space="preserve">The Synapse Bankruptcy Infrastructure Case:</w:t>
      </w:r>
      <w:r w:rsidDel="00000000" w:rsidR="00000000" w:rsidRPr="00000000">
        <w:rPr>
          <w:rtl w:val="0"/>
        </w:rPr>
        <w:t xml:space="preserve">  Demonstrating the systemic risks of un-reconciled ledger records across financial ecosystems, the Synapse bankruptcy resulted in a court-appointed trustee reporting an $85 million capital deficit—end users were owed $265 million while partner banks held only $180 million. Over 100,000 consumers were frozen out of their accounts due to broken, un-reconciled partner-bank ledgers. This serves as a critical warning for payroll executives regarding the necessity of continuous balance tracking.</w:t>
      </w:r>
    </w:p>
    <w:p w:rsidR="00000000" w:rsidDel="00000000" w:rsidP="00000000" w:rsidRDefault="00000000" w:rsidRPr="00000000" w14:paraId="00000060">
      <w:pPr>
        <w:pStyle w:val="Heading6"/>
        <w:rPr/>
      </w:pPr>
      <w:bookmarkStart w:colFirst="0" w:colLast="0" w:name="_mea7jhw2hk09" w:id="26"/>
      <w:bookmarkEnd w:id="26"/>
      <w:r w:rsidDel="00000000" w:rsidR="00000000" w:rsidRPr="00000000">
        <w:rPr>
          <w:rtl w:val="0"/>
        </w:rPr>
        <w:t xml:space="preserve">Section Transition</w:t>
      </w:r>
    </w:p>
    <w:p w:rsidR="00000000" w:rsidDel="00000000" w:rsidP="00000000" w:rsidRDefault="00000000" w:rsidRPr="00000000" w14:paraId="00000061">
      <w:pPr>
        <w:rPr/>
      </w:pPr>
      <w:r w:rsidDel="00000000" w:rsidR="00000000" w:rsidRPr="00000000">
        <w:rPr>
          <w:rtl w:val="0"/>
        </w:rPr>
        <w:t xml:space="preserve">These structural requirements dictate how on-demand wage capabilities are packaged, commercialized, and integrated across diverse enterprise structures.</w:t>
      </w:r>
    </w:p>
    <w:p w:rsidR="00000000" w:rsidDel="00000000" w:rsidP="00000000" w:rsidRDefault="00000000" w:rsidRPr="00000000" w14:paraId="00000062">
      <w:pPr>
        <w:pStyle w:val="Heading5"/>
        <w:rPr/>
      </w:pPr>
      <w:bookmarkStart w:colFirst="0" w:colLast="0" w:name="_3f81ajgam6nb" w:id="27"/>
      <w:bookmarkEnd w:id="27"/>
      <w:r w:rsidDel="00000000" w:rsidR="00000000" w:rsidRPr="00000000">
        <w:rPr>
          <w:rtl w:val="0"/>
        </w:rPr>
        <w:t xml:space="preserve">4. Delivery Models, Workforce Dynamics, and System Architectures</w:t>
      </w:r>
    </w:p>
    <w:p w:rsidR="00000000" w:rsidDel="00000000" w:rsidP="00000000" w:rsidRDefault="00000000" w:rsidRPr="00000000" w14:paraId="00000063">
      <w:pPr>
        <w:pStyle w:val="Heading6"/>
        <w:rPr/>
      </w:pPr>
      <w:bookmarkStart w:colFirst="0" w:colLast="0" w:name="_mrq7lzo8wydj" w:id="28"/>
      <w:bookmarkEnd w:id="28"/>
      <w:r w:rsidDel="00000000" w:rsidR="00000000" w:rsidRPr="00000000">
        <w:rPr>
          <w:rtl w:val="0"/>
        </w:rPr>
        <w:t xml:space="preserve">Context &amp; Strategic Importance</w:t>
      </w:r>
    </w:p>
    <w:p w:rsidR="00000000" w:rsidDel="00000000" w:rsidP="00000000" w:rsidRDefault="00000000" w:rsidRPr="00000000" w14:paraId="00000064">
      <w:pPr>
        <w:rPr/>
      </w:pPr>
      <w:r w:rsidDel="00000000" w:rsidR="00000000" w:rsidRPr="00000000">
        <w:rPr>
          <w:rtl w:val="0"/>
        </w:rPr>
        <w:t xml:space="preserve">Diverse employment models require tailored delivery mechanisms and application architectures. Enterprise HCM architecture must balance frictionless user access with statutory compliance, operational risk management, and scalable API performance across traditional enterprise structures and marketplace gig platforms.</w:t>
      </w:r>
    </w:p>
    <w:p w:rsidR="00000000" w:rsidDel="00000000" w:rsidP="00000000" w:rsidRDefault="00000000" w:rsidRPr="00000000" w14:paraId="00000065">
      <w:pPr>
        <w:pStyle w:val="Heading6"/>
        <w:rPr/>
      </w:pPr>
      <w:bookmarkStart w:colFirst="0" w:colLast="0" w:name="_qwdil7qh7mxz" w:id="29"/>
      <w:bookmarkEnd w:id="29"/>
      <w:r w:rsidDel="00000000" w:rsidR="00000000" w:rsidRPr="00000000">
        <w:rPr>
          <w:rtl w:val="0"/>
        </w:rPr>
        <w:t xml:space="preserve">Comparative Analysis of EWA Delivery and Pricing Models</w:t>
      </w:r>
    </w:p>
    <w:p w:rsidR="00000000" w:rsidDel="00000000" w:rsidP="00000000" w:rsidRDefault="00000000" w:rsidRPr="00000000" w14:paraId="00000066">
      <w:pPr>
        <w:rPr/>
      </w:pPr>
      <w:r w:rsidDel="00000000" w:rsidR="00000000" w:rsidRPr="00000000">
        <w:rPr>
          <w:rtl w:val="0"/>
        </w:rPr>
        <w:t xml:space="preserve">The on-demand pay ecosystem is structured around three primary delivery channels: Employer-Sponsored (holding a 59.39% market share in 2026), Direct-to-Consumer (D2C, expanding at a 28.6% CAGR), and Card-Linked/Wallet-Centric delivery. Commercial monetization models vary significantly across these structures:</w:t>
      </w:r>
    </w:p>
    <w:p w:rsidR="00000000" w:rsidDel="00000000" w:rsidP="00000000" w:rsidRDefault="00000000" w:rsidRPr="00000000" w14:paraId="00000067">
      <w:pPr>
        <w:rPr/>
      </w:pPr>
      <w:r w:rsidDel="00000000" w:rsidR="00000000" w:rsidRPr="00000000">
        <w:rPr>
          <w:rtl w:val="0"/>
        </w:rPr>
        <w:t xml:space="preserve">Pricing Model,Target Workforce Segment,Primary Fee Structure,Operational Risk Profile,Core Market Growth Drivers</w:t>
      </w:r>
    </w:p>
    <w:p w:rsidR="00000000" w:rsidDel="00000000" w:rsidP="00000000" w:rsidRDefault="00000000" w:rsidRPr="00000000" w14:paraId="00000068">
      <w:pPr>
        <w:rPr/>
      </w:pPr>
      <w:r w:rsidDel="00000000" w:rsidR="00000000" w:rsidRPr="00000000">
        <w:rPr>
          <w:rtl w:val="0"/>
        </w:rPr>
        <w:t xml:space="preserve">Employer-Funded (Sponsored),Enterprise &amp; SMB hourly/salaried workforce,Corporate subsidy (zero fee to employee or fixed corporate SaaS fee),Lowest:  Backstopped by verified HRIS time data and automated payroll deductions,"Measurable retention gains (up to 46% turnover reduction), corporate ESG, and financial wellness mandates"</w:t>
      </w:r>
    </w:p>
    <w:p w:rsidR="00000000" w:rsidDel="00000000" w:rsidP="00000000" w:rsidRDefault="00000000" w:rsidRPr="00000000" w14:paraId="00000069">
      <w:pPr>
        <w:rPr/>
      </w:pPr>
      <w:r w:rsidDel="00000000" w:rsidR="00000000" w:rsidRPr="00000000">
        <w:rPr>
          <w:rtl w:val="0"/>
        </w:rPr>
        <w:t xml:space="preserve">Employee-Paid (Transaction Fee),Shift-based and hourly labor,"Per-transaction withdrawal fee paid by employee (e.g., instant transfer fee)",Moderate:  Relies on accurate payroll netting and scheduled cycle settlement,High worker demand for instant liquidity; zero direct balance sheet cost to the employer</w:t>
      </w:r>
    </w:p>
    <w:p w:rsidR="00000000" w:rsidDel="00000000" w:rsidP="00000000" w:rsidRDefault="00000000" w:rsidRPr="00000000" w14:paraId="0000006A">
      <w:pPr>
        <w:rPr/>
      </w:pPr>
      <w:r w:rsidDel="00000000" w:rsidR="00000000" w:rsidRPr="00000000">
        <w:rPr>
          <w:rtl w:val="0"/>
        </w:rPr>
        <w:t xml:space="preserve">Hybrid Subscription-Based,High-frequency access users &amp; enterprise platforms,Tiered monthly subscription (free standard ACH access with paid instant upgrades),Low to Moderate:  Predictable recurring revenue; risk controlled via advance limits,Deep integration into comprehensive HR technology benefit suites and wellness apps</w:t>
      </w:r>
    </w:p>
    <w:p w:rsidR="00000000" w:rsidDel="00000000" w:rsidP="00000000" w:rsidRDefault="00000000" w:rsidRPr="00000000" w14:paraId="0000006B">
      <w:pPr>
        <w:pStyle w:val="Heading6"/>
        <w:rPr/>
      </w:pPr>
      <w:bookmarkStart w:colFirst="0" w:colLast="0" w:name="_skvnfhclq2n1" w:id="30"/>
      <w:bookmarkEnd w:id="30"/>
      <w:r w:rsidDel="00000000" w:rsidR="00000000" w:rsidRPr="00000000">
        <w:rPr>
          <w:rtl w:val="0"/>
        </w:rPr>
        <w:t xml:space="preserve">Architectural Nuances: Traditional Payroll vs. Gig/Marketplace Environments</w:t>
      </w:r>
    </w:p>
    <w:p w:rsidR="00000000" w:rsidDel="00000000" w:rsidP="00000000" w:rsidRDefault="00000000" w:rsidRPr="00000000" w14:paraId="0000006C">
      <w:pPr>
        <w:rPr/>
      </w:pPr>
      <w:r w:rsidDel="00000000" w:rsidR="00000000" w:rsidRPr="00000000">
        <w:rPr>
          <w:rtl w:val="0"/>
        </w:rPr>
        <w:t xml:space="preserve">System requirements diverge based on the underlying labor relationship:</w:t>
      </w:r>
    </w:p>
    <w:p w:rsidR="00000000" w:rsidDel="00000000" w:rsidP="00000000" w:rsidRDefault="00000000" w:rsidRPr="00000000" w14:paraId="0000006D">
      <w:pPr>
        <w:numPr>
          <w:ilvl w:val="0"/>
          <w:numId w:val="1"/>
        </w:numPr>
        <w:ind w:left="720" w:hanging="360"/>
        <w:rPr>
          <w:u w:val="none"/>
        </w:rPr>
      </w:pPr>
      <w:r w:rsidDel="00000000" w:rsidR="00000000" w:rsidRPr="00000000">
        <w:rPr>
          <w:b w:val="1"/>
          <w:bCs w:val="1"/>
          <w:rtl w:val="0"/>
        </w:rPr>
        <w:t xml:space="preserve">Traditional Enterprise Environments:</w:t>
      </w:r>
      <w:r w:rsidDel="00000000" w:rsidR="00000000" w:rsidRPr="00000000">
        <w:rPr>
          <w:rtl w:val="0"/>
        </w:rPr>
        <w:t xml:space="preserve">  Operates on structured accruals tied to regular hourly rates or annual salaries across fixed pay windows (bi-weekly, semi-monthly). Security rests on known paydays and clear payroll deduction backstops. Reversals or timecard disputes are managed via routine retro-payroll adjustments netting against the subsequent pay period.</w:t>
      </w:r>
    </w:p>
    <w:p w:rsidR="00000000" w:rsidDel="00000000" w:rsidP="00000000" w:rsidRDefault="00000000" w:rsidRPr="00000000" w14:paraId="0000006E">
      <w:pPr>
        <w:numPr>
          <w:ilvl w:val="0"/>
          <w:numId w:val="1"/>
        </w:numPr>
        <w:ind w:left="720" w:hanging="360"/>
        <w:rPr>
          <w:u w:val="none"/>
        </w:rPr>
      </w:pPr>
      <w:r w:rsidDel="00000000" w:rsidR="00000000" w:rsidRPr="00000000">
        <w:rPr>
          <w:b w:val="1"/>
          <w:bCs w:val="1"/>
          <w:rtl w:val="0"/>
        </w:rPr>
        <w:t xml:space="preserve">Gig &amp; Marketplace Platforms:</w:t>
      </w:r>
      <w:r w:rsidDel="00000000" w:rsidR="00000000" w:rsidRPr="00000000">
        <w:rPr>
          <w:rtl w:val="0"/>
        </w:rPr>
        <w:t xml:space="preserve">  Operates without fixed pay cycles or regular payroll deductions. Compensation is generated through discrete, high-frequency task events (e.g., 15 completed deliveries per day). Available balances must update instantly upon task completion, with repayments automatically netted directly against subsequent transactional earnings. This environment demands sub-second ledger updates, as there is no traditional scheduled payroll run to catch balance discrepancies.</w:t>
      </w:r>
    </w:p>
    <w:p w:rsidR="00000000" w:rsidDel="00000000" w:rsidP="00000000" w:rsidRDefault="00000000" w:rsidRPr="00000000" w14:paraId="0000006F">
      <w:pPr>
        <w:pStyle w:val="Heading6"/>
        <w:rPr/>
      </w:pPr>
      <w:bookmarkStart w:colFirst="0" w:colLast="0" w:name="_udvk9pwxbh4r" w:id="31"/>
      <w:bookmarkEnd w:id="31"/>
      <w:r w:rsidDel="00000000" w:rsidR="00000000" w:rsidRPr="00000000">
        <w:rPr>
          <w:rtl w:val="0"/>
        </w:rPr>
        <w:t xml:space="preserve">API Ecosystems and Embedded Payroll Platforms</w:t>
      </w:r>
    </w:p>
    <w:p w:rsidR="00000000" w:rsidDel="00000000" w:rsidP="00000000" w:rsidRDefault="00000000" w:rsidRPr="00000000" w14:paraId="00000070">
      <w:pPr>
        <w:rPr/>
      </w:pPr>
      <w:r w:rsidDel="00000000" w:rsidR="00000000" w:rsidRPr="00000000">
        <w:rPr>
          <w:rtl w:val="0"/>
        </w:rPr>
        <w:t xml:space="preserve">The integration of payroll functionality into broader application ecosystems is accelerating rapidly through real-world strategic partnerships and platform developments:</w:t>
      </w:r>
    </w:p>
    <w:p w:rsidR="00000000" w:rsidDel="00000000" w:rsidP="00000000" w:rsidRDefault="00000000" w:rsidRPr="00000000" w14:paraId="00000071">
      <w:pPr>
        <w:numPr>
          <w:ilvl w:val="0"/>
          <w:numId w:val="6"/>
        </w:numPr>
        <w:ind w:left="720" w:hanging="360"/>
        <w:rPr>
          <w:u w:val="none"/>
        </w:rPr>
      </w:pPr>
      <w:r w:rsidDel="00000000" w:rsidR="00000000" w:rsidRPr="00000000">
        <w:rPr>
          <w:b w:val="1"/>
          <w:bCs w:val="1"/>
          <w:rtl w:val="0"/>
        </w:rPr>
        <w:t xml:space="preserve">Rain &amp; Workday:</w:t>
      </w:r>
      <w:r w:rsidDel="00000000" w:rsidR="00000000" w:rsidRPr="00000000">
        <w:rPr>
          <w:rtl w:val="0"/>
        </w:rPr>
        <w:t xml:space="preserve">  Rain deployed a native embedded integration within Workday’s  </w:t>
      </w:r>
      <w:r w:rsidDel="00000000" w:rsidR="00000000" w:rsidRPr="00000000">
        <w:rPr>
          <w:i w:val="1"/>
          <w:iCs w:val="1"/>
          <w:rtl w:val="0"/>
        </w:rPr>
        <w:t xml:space="preserve">Built on Workday</w:t>
      </w:r>
      <w:r w:rsidDel="00000000" w:rsidR="00000000" w:rsidRPr="00000000">
        <w:rPr>
          <w:rtl w:val="0"/>
        </w:rPr>
        <w:t xml:space="preserve">  program, offering 3.5 million workers access to earned wages directly within Workday workflows, driving a documented 46% reduction in six-month employee attrition.</w:t>
      </w:r>
    </w:p>
    <w:p w:rsidR="00000000" w:rsidDel="00000000" w:rsidP="00000000" w:rsidRDefault="00000000" w:rsidRPr="00000000" w14:paraId="00000072">
      <w:pPr>
        <w:numPr>
          <w:ilvl w:val="0"/>
          <w:numId w:val="6"/>
        </w:numPr>
        <w:ind w:left="720" w:hanging="360"/>
        <w:rPr>
          <w:u w:val="none"/>
        </w:rPr>
      </w:pPr>
      <w:r w:rsidDel="00000000" w:rsidR="00000000" w:rsidRPr="00000000">
        <w:rPr>
          <w:b w:val="1"/>
          <w:bCs w:val="1"/>
          <w:rtl w:val="0"/>
        </w:rPr>
        <w:t xml:space="preserve">ZayZoon &amp; Auris:</w:t>
      </w:r>
      <w:r w:rsidDel="00000000" w:rsidR="00000000" w:rsidRPr="00000000">
        <w:rPr>
          <w:rtl w:val="0"/>
        </w:rPr>
        <w:t xml:space="preserve">  ZayZoon integrated directly with Auris, expanding embedded EWA access to over 50,000 small and mid-sized businesses through a unified HR and payroll platform.</w:t>
      </w:r>
    </w:p>
    <w:p w:rsidR="00000000" w:rsidDel="00000000" w:rsidP="00000000" w:rsidRDefault="00000000" w:rsidRPr="00000000" w14:paraId="00000073">
      <w:pPr>
        <w:numPr>
          <w:ilvl w:val="0"/>
          <w:numId w:val="6"/>
        </w:numPr>
        <w:ind w:left="720" w:hanging="360"/>
        <w:rPr>
          <w:u w:val="none"/>
        </w:rPr>
      </w:pPr>
      <w:r w:rsidDel="00000000" w:rsidR="00000000" w:rsidRPr="00000000">
        <w:rPr>
          <w:b w:val="1"/>
          <w:bCs w:val="1"/>
          <w:rtl w:val="0"/>
        </w:rPr>
        <w:t xml:space="preserve">Tapcheck &amp; Viventium:</w:t>
      </w:r>
      <w:r w:rsidDel="00000000" w:rsidR="00000000" w:rsidRPr="00000000">
        <w:rPr>
          <w:rtl w:val="0"/>
        </w:rPr>
        <w:t xml:space="preserve">  Tapcheck embedded its platform into Viventium, extending on-demand pay to more than 500,000 healthcare workers using predictive machine-learning balance calculations and Mastercard payouts.</w:t>
      </w:r>
    </w:p>
    <w:p w:rsidR="00000000" w:rsidDel="00000000" w:rsidP="00000000" w:rsidRDefault="00000000" w:rsidRPr="00000000" w14:paraId="00000074">
      <w:pPr>
        <w:numPr>
          <w:ilvl w:val="0"/>
          <w:numId w:val="6"/>
        </w:numPr>
        <w:ind w:left="720" w:hanging="360"/>
        <w:rPr>
          <w:u w:val="none"/>
        </w:rPr>
      </w:pPr>
      <w:r w:rsidDel="00000000" w:rsidR="00000000" w:rsidRPr="00000000">
        <w:rPr>
          <w:b w:val="1"/>
          <w:bCs w:val="1"/>
          <w:rtl w:val="0"/>
        </w:rPr>
        <w:t xml:space="preserve">Branch:</w:t>
      </w:r>
      <w:r w:rsidDel="00000000" w:rsidR="00000000" w:rsidRPr="00000000">
        <w:rPr>
          <w:rtl w:val="0"/>
        </w:rPr>
        <w:t xml:space="preserve">  Introduced its Flex model and Branch Direct API options, enabling EWA embedding directly within workforce scheduling applications alongside debit-card issuance.</w:t>
      </w:r>
    </w:p>
    <w:p w:rsidR="00000000" w:rsidDel="00000000" w:rsidP="00000000" w:rsidRDefault="00000000" w:rsidRPr="00000000" w14:paraId="00000075">
      <w:pPr>
        <w:numPr>
          <w:ilvl w:val="0"/>
          <w:numId w:val="6"/>
        </w:numPr>
        <w:ind w:left="720" w:hanging="360"/>
        <w:rPr>
          <w:u w:val="none"/>
        </w:rPr>
      </w:pPr>
      <w:r w:rsidDel="00000000" w:rsidR="00000000" w:rsidRPr="00000000">
        <w:rPr>
          <w:b w:val="1"/>
          <w:bCs w:val="1"/>
          <w:rtl w:val="0"/>
        </w:rPr>
        <w:t xml:space="preserve">Fiserv &amp; Payfare:</w:t>
      </w:r>
      <w:r w:rsidDel="00000000" w:rsidR="00000000" w:rsidRPr="00000000">
        <w:rPr>
          <w:rtl w:val="0"/>
        </w:rPr>
        <w:t xml:space="preserve">  Fiserv acquired Canada-based Payfare to integrate card program management and consumer app interfaces directly into its embedded finance stack.</w:t>
      </w:r>
    </w:p>
    <w:p w:rsidR="00000000" w:rsidDel="00000000" w:rsidP="00000000" w:rsidRDefault="00000000" w:rsidRPr="00000000" w14:paraId="00000076">
      <w:pPr>
        <w:numPr>
          <w:ilvl w:val="0"/>
          <w:numId w:val="6"/>
        </w:numPr>
        <w:ind w:left="720" w:hanging="360"/>
        <w:rPr>
          <w:u w:val="none"/>
        </w:rPr>
      </w:pPr>
      <w:r w:rsidDel="00000000" w:rsidR="00000000" w:rsidRPr="00000000">
        <w:rPr>
          <w:b w:val="1"/>
          <w:bCs w:val="1"/>
          <w:rtl w:val="0"/>
        </w:rPr>
        <w:t xml:space="preserve">CloudPay &amp; Banco Santander:</w:t>
      </w:r>
      <w:r w:rsidDel="00000000" w:rsidR="00000000" w:rsidRPr="00000000">
        <w:rPr>
          <w:rtl w:val="0"/>
        </w:rPr>
        <w:t xml:space="preserve">  Partnered to deliver real-time earned wage access to SME and corporate employees across Spain.</w:t>
      </w:r>
    </w:p>
    <w:p w:rsidR="00000000" w:rsidDel="00000000" w:rsidP="00000000" w:rsidRDefault="00000000" w:rsidRPr="00000000" w14:paraId="00000077">
      <w:pPr>
        <w:numPr>
          <w:ilvl w:val="0"/>
          <w:numId w:val="6"/>
        </w:numPr>
        <w:ind w:left="720" w:hanging="360"/>
        <w:rPr>
          <w:u w:val="none"/>
        </w:rPr>
      </w:pPr>
      <w:r w:rsidDel="00000000" w:rsidR="00000000" w:rsidRPr="00000000">
        <w:rPr>
          <w:b w:val="1"/>
          <w:bCs w:val="1"/>
          <w:rtl w:val="0"/>
        </w:rPr>
        <w:t xml:space="preserve">Kredivo Group &amp; GajiGesa:</w:t>
      </w:r>
      <w:r w:rsidDel="00000000" w:rsidR="00000000" w:rsidRPr="00000000">
        <w:rPr>
          <w:rtl w:val="0"/>
        </w:rPr>
        <w:t xml:space="preserve">  Singapore-based Kredivo Group acquired Indonesia-based EWA provider GajiGesa to expand embedded payroll and financial wellness across Southeast Asia.</w:t>
      </w:r>
    </w:p>
    <w:p w:rsidR="00000000" w:rsidDel="00000000" w:rsidP="00000000" w:rsidRDefault="00000000" w:rsidRPr="00000000" w14:paraId="00000078">
      <w:pPr>
        <w:numPr>
          <w:ilvl w:val="0"/>
          <w:numId w:val="6"/>
        </w:numPr>
        <w:ind w:left="720" w:hanging="360"/>
        <w:rPr>
          <w:u w:val="none"/>
        </w:rPr>
      </w:pPr>
      <w:r w:rsidDel="00000000" w:rsidR="00000000" w:rsidRPr="00000000">
        <w:rPr>
          <w:b w:val="1"/>
          <w:bCs w:val="1"/>
          <w:rtl w:val="0"/>
        </w:rPr>
        <w:t xml:space="preserve">Chime "MyPay":</w:t>
      </w:r>
      <w:r w:rsidDel="00000000" w:rsidR="00000000" w:rsidRPr="00000000">
        <w:rPr>
          <w:rtl w:val="0"/>
        </w:rPr>
        <w:t xml:space="preserve">  Launched an advance wage solution enabling digital banking users to access up to $500 of earned wages ahead of payday without credit checks or mandatory fees.</w:t>
      </w:r>
    </w:p>
    <w:p w:rsidR="00000000" w:rsidDel="00000000" w:rsidP="00000000" w:rsidRDefault="00000000" w:rsidRPr="00000000" w14:paraId="00000079">
      <w:pPr>
        <w:pStyle w:val="Heading6"/>
        <w:rPr/>
      </w:pPr>
      <w:bookmarkStart w:colFirst="0" w:colLast="0" w:name="_r3a82me083s1" w:id="32"/>
      <w:bookmarkEnd w:id="32"/>
      <w:r w:rsidDel="00000000" w:rsidR="00000000" w:rsidRPr="00000000">
        <w:rPr>
          <w:rtl w:val="0"/>
        </w:rPr>
        <w:t xml:space="preserve">Section Transition</w:t>
      </w:r>
    </w:p>
    <w:p w:rsidR="00000000" w:rsidDel="00000000" w:rsidP="00000000" w:rsidRDefault="00000000" w:rsidRPr="00000000" w14:paraId="0000007A">
      <w:pPr>
        <w:rPr/>
      </w:pPr>
      <w:r w:rsidDel="00000000" w:rsidR="00000000" w:rsidRPr="00000000">
        <w:rPr>
          <w:rtl w:val="0"/>
        </w:rPr>
        <w:t xml:space="preserve">As payroll software architecture becomes increasingly interconnected, managing regulatory, data privacy, and compliance frameworks becomes essential.</w:t>
      </w:r>
    </w:p>
    <w:p w:rsidR="00000000" w:rsidDel="00000000" w:rsidP="00000000" w:rsidRDefault="00000000" w:rsidRPr="00000000" w14:paraId="0000007B">
      <w:pPr>
        <w:pStyle w:val="Heading5"/>
        <w:rPr/>
      </w:pPr>
      <w:bookmarkStart w:colFirst="0" w:colLast="0" w:name="_z061lqbzhbat" w:id="33"/>
      <w:bookmarkEnd w:id="33"/>
      <w:r w:rsidDel="00000000" w:rsidR="00000000" w:rsidRPr="00000000">
        <w:rPr>
          <w:rtl w:val="0"/>
        </w:rPr>
        <w:t xml:space="preserve">5. Regulatory, Security, and Compliance Governance Framework</w:t>
      </w:r>
    </w:p>
    <w:p w:rsidR="00000000" w:rsidDel="00000000" w:rsidP="00000000" w:rsidRDefault="00000000" w:rsidRPr="00000000" w14:paraId="0000007C">
      <w:pPr>
        <w:pStyle w:val="Heading6"/>
        <w:rPr/>
      </w:pPr>
      <w:bookmarkStart w:colFirst="0" w:colLast="0" w:name="_dbr0kja2j5ye" w:id="34"/>
      <w:bookmarkEnd w:id="34"/>
      <w:r w:rsidDel="00000000" w:rsidR="00000000" w:rsidRPr="00000000">
        <w:rPr>
          <w:rtl w:val="0"/>
        </w:rPr>
        <w:t xml:space="preserve">Context &amp; Strategic Importance</w:t>
      </w:r>
    </w:p>
    <w:p w:rsidR="00000000" w:rsidDel="00000000" w:rsidP="00000000" w:rsidRDefault="00000000" w:rsidRPr="00000000" w14:paraId="0000007D">
      <w:pPr>
        <w:rPr/>
      </w:pPr>
      <w:r w:rsidDel="00000000" w:rsidR="00000000" w:rsidRPr="00000000">
        <w:rPr>
          <w:rtl w:val="0"/>
        </w:rPr>
        <w:t xml:space="preserve">Navigating complex regulatory frameworks, data privacy statutes, and cybersecurity mandates is essential for building sustainable payroll ecosystems. Enterprise leadership must ensure that innovative payout delivery models comply with emerging state legislation and international labor standards while maintaining system security.</w:t>
      </w:r>
    </w:p>
    <w:p w:rsidR="00000000" w:rsidDel="00000000" w:rsidP="00000000" w:rsidRDefault="00000000" w:rsidRPr="00000000" w14:paraId="0000007E">
      <w:pPr>
        <w:pStyle w:val="Heading6"/>
        <w:rPr/>
      </w:pPr>
      <w:bookmarkStart w:colFirst="0" w:colLast="0" w:name="_t5aks4vnox6f" w:id="35"/>
      <w:bookmarkEnd w:id="35"/>
      <w:r w:rsidDel="00000000" w:rsidR="00000000" w:rsidRPr="00000000">
        <w:rPr>
          <w:rtl w:val="0"/>
        </w:rPr>
        <w:t xml:space="preserve">Navigating the Regulatory &amp; Licensing Landscape</w:t>
      </w:r>
    </w:p>
    <w:p w:rsidR="00000000" w:rsidDel="00000000" w:rsidP="00000000" w:rsidRDefault="00000000" w:rsidRPr="00000000" w14:paraId="0000007F">
      <w:pPr>
        <w:rPr/>
      </w:pPr>
      <w:r w:rsidDel="00000000" w:rsidR="00000000" w:rsidRPr="00000000">
        <w:rPr>
          <w:rtl w:val="0"/>
        </w:rPr>
        <w:t xml:space="preserve">A key regulatory challenge facing Earned Wage Access is managing legal ambiguity regarding whether early wage disbursements constitute credit products or non-credit wage advances:</w:t>
      </w:r>
    </w:p>
    <w:p w:rsidR="00000000" w:rsidDel="00000000" w:rsidP="00000000" w:rsidRDefault="00000000" w:rsidRPr="00000000" w14:paraId="00000080">
      <w:pPr>
        <w:numPr>
          <w:ilvl w:val="0"/>
          <w:numId w:val="4"/>
        </w:numPr>
        <w:ind w:left="720" w:hanging="360"/>
        <w:rPr>
          <w:u w:val="none"/>
        </w:rPr>
      </w:pPr>
      <w:r w:rsidDel="00000000" w:rsidR="00000000" w:rsidRPr="00000000">
        <w:rPr>
          <w:b w:val="1"/>
          <w:bCs w:val="1"/>
          <w:rtl w:val="0"/>
        </w:rPr>
        <w:t xml:space="preserve">Credit vs. Non-Credit Classification:</w:t>
      </w:r>
      <w:r w:rsidDel="00000000" w:rsidR="00000000" w:rsidRPr="00000000">
        <w:rPr>
          <w:rtl w:val="0"/>
        </w:rPr>
        <w:t xml:space="preserve">  Classifying EWA as a credit product introduces Truth in Lending Act (TILA) requirements, APR disclosures, credit checks, and state lending licensing protocols. Conversely, non-credit classification requires strict adherence to non-recourse, employer-verified wage structures where disbursements are strictly bounded by capital already earned.</w:t>
      </w:r>
    </w:p>
    <w:p w:rsidR="00000000" w:rsidDel="00000000" w:rsidP="00000000" w:rsidRDefault="00000000" w:rsidRPr="00000000" w14:paraId="00000081">
      <w:pPr>
        <w:numPr>
          <w:ilvl w:val="0"/>
          <w:numId w:val="4"/>
        </w:numPr>
        <w:ind w:left="720" w:hanging="360"/>
        <w:rPr>
          <w:u w:val="none"/>
        </w:rPr>
      </w:pPr>
      <w:r w:rsidDel="00000000" w:rsidR="00000000" w:rsidRPr="00000000">
        <w:rPr>
          <w:b w:val="1"/>
          <w:bCs w:val="1"/>
          <w:rtl w:val="0"/>
        </w:rPr>
        <w:t xml:space="preserve">State-Level Legislative Oversight:</w:t>
      </w:r>
      <w:r w:rsidDel="00000000" w:rsidR="00000000" w:rsidRPr="00000000">
        <w:rPr>
          <w:rtl w:val="0"/>
        </w:rPr>
        <w:t xml:space="preserve">  U.S. states are actively enacting formal EWA licensing frameworks. Jurisdiction leaders including California, Nevada, and Indiana have established explicit operational compliance standards. For example, Payactiv secured a formal EWA license under Indiana's regulatory framework, establishing a clear precedent for state-licensed wage access operations.</w:t>
      </w:r>
    </w:p>
    <w:p w:rsidR="00000000" w:rsidDel="00000000" w:rsidP="00000000" w:rsidRDefault="00000000" w:rsidRPr="00000000" w14:paraId="00000082">
      <w:pPr>
        <w:numPr>
          <w:ilvl w:val="0"/>
          <w:numId w:val="4"/>
        </w:numPr>
        <w:ind w:left="720" w:hanging="360"/>
        <w:rPr>
          <w:u w:val="none"/>
        </w:rPr>
      </w:pPr>
      <w:r w:rsidDel="00000000" w:rsidR="00000000" w:rsidRPr="00000000">
        <w:rPr>
          <w:b w:val="1"/>
          <w:bCs w:val="1"/>
          <w:rtl w:val="0"/>
        </w:rPr>
        <w:t xml:space="preserve">International Wage Protection Mandates:</w:t>
      </w:r>
      <w:r w:rsidDel="00000000" w:rsidR="00000000" w:rsidRPr="00000000">
        <w:rPr>
          <w:rtl w:val="0"/>
        </w:rPr>
        <w:t xml:space="preserve">  European markets enforce strict wage protection statutes and PSD2 requirements governing mandatory payroll deductions, requiring embedded EWA integrations to execute precise netting calculations to avoid violating statutory minimum pay rules.</w:t>
      </w:r>
    </w:p>
    <w:p w:rsidR="00000000" w:rsidDel="00000000" w:rsidP="00000000" w:rsidRDefault="00000000" w:rsidRPr="00000000" w14:paraId="00000083">
      <w:pPr>
        <w:pStyle w:val="Heading6"/>
        <w:rPr/>
      </w:pPr>
      <w:bookmarkStart w:colFirst="0" w:colLast="0" w:name="_35nqeqv4026x" w:id="36"/>
      <w:bookmarkEnd w:id="36"/>
      <w:r w:rsidDel="00000000" w:rsidR="00000000" w:rsidRPr="00000000">
        <w:rPr>
          <w:rtl w:val="0"/>
        </w:rPr>
        <w:t xml:space="preserve">Data Protection, Fraud Mitigation, and Operational Resilience</w:t>
      </w:r>
    </w:p>
    <w:p w:rsidR="00000000" w:rsidDel="00000000" w:rsidP="00000000" w:rsidRDefault="00000000" w:rsidRPr="00000000" w14:paraId="00000084">
      <w:pPr>
        <w:rPr/>
      </w:pPr>
      <w:r w:rsidDel="00000000" w:rsidR="00000000" w:rsidRPr="00000000">
        <w:rPr>
          <w:rtl w:val="0"/>
        </w:rPr>
        <w:t xml:space="preserve">Real-time continuous payroll operations require modern technical security controls:</w:t>
      </w:r>
    </w:p>
    <w:p w:rsidR="00000000" w:rsidDel="00000000" w:rsidP="00000000" w:rsidRDefault="00000000" w:rsidRPr="00000000" w14:paraId="00000085">
      <w:pPr>
        <w:numPr>
          <w:ilvl w:val="0"/>
          <w:numId w:val="8"/>
        </w:numPr>
        <w:ind w:left="720" w:hanging="360"/>
        <w:rPr>
          <w:u w:val="none"/>
        </w:rPr>
      </w:pPr>
      <w:r w:rsidDel="00000000" w:rsidR="00000000" w:rsidRPr="00000000">
        <w:rPr>
          <w:b w:val="1"/>
          <w:bCs w:val="1"/>
          <w:rtl w:val="0"/>
        </w:rPr>
        <w:t xml:space="preserve">API Idempotency Mandates:</w:t>
      </w:r>
      <w:r w:rsidDel="00000000" w:rsidR="00000000" w:rsidRPr="00000000">
        <w:rPr>
          <w:rtl w:val="0"/>
        </w:rPr>
        <w:t xml:space="preserve">  Continuous disbursement architectures operating over instant rails require mandatory idempotency keys within API payloads. This ensures that network retries or duplicate client requests never execute duplicate wage transfers, as instant clearing rails lack the multi-day recall window of batch ACH.</w:t>
      </w:r>
    </w:p>
    <w:p w:rsidR="00000000" w:rsidDel="00000000" w:rsidP="00000000" w:rsidRDefault="00000000" w:rsidRPr="00000000" w14:paraId="00000086">
      <w:pPr>
        <w:numPr>
          <w:ilvl w:val="0"/>
          <w:numId w:val="8"/>
        </w:numPr>
        <w:ind w:left="720" w:hanging="360"/>
        <w:rPr>
          <w:u w:val="none"/>
        </w:rPr>
      </w:pPr>
      <w:r w:rsidDel="00000000" w:rsidR="00000000" w:rsidRPr="00000000">
        <w:rPr>
          <w:b w:val="1"/>
          <w:bCs w:val="1"/>
          <w:rtl w:val="0"/>
        </w:rPr>
        <w:t xml:space="preserve">Real-Time Intraday Fraud Monitoring:</w:t>
      </w:r>
      <w:r w:rsidDel="00000000" w:rsidR="00000000" w:rsidRPr="00000000">
        <w:rPr>
          <w:rtl w:val="0"/>
        </w:rPr>
        <w:t xml:space="preserve">  Transitioning away from nightly batch processing eliminates traditional reconciliation windows. Modern systems must run automated, intraday fraud monitoring engines to detect suspicious activity—such as altered timecards, account takeover attempts, or ghost-worker creation—prior to instant payout execution.</w:t>
      </w:r>
    </w:p>
    <w:p w:rsidR="00000000" w:rsidDel="00000000" w:rsidP="00000000" w:rsidRDefault="00000000" w:rsidRPr="00000000" w14:paraId="00000087">
      <w:pPr>
        <w:numPr>
          <w:ilvl w:val="0"/>
          <w:numId w:val="8"/>
        </w:numPr>
        <w:ind w:left="720" w:hanging="360"/>
        <w:rPr>
          <w:u w:val="none"/>
        </w:rPr>
      </w:pPr>
      <w:r w:rsidDel="00000000" w:rsidR="00000000" w:rsidRPr="00000000">
        <w:rPr>
          <w:b w:val="1"/>
          <w:bCs w:val="1"/>
          <w:rtl w:val="0"/>
        </w:rPr>
        <w:t xml:space="preserve">Cloud Infrastructure Resilience:</w:t>
      </w:r>
      <w:r w:rsidDel="00000000" w:rsidR="00000000" w:rsidRPr="00000000">
        <w:rPr>
          <w:rtl w:val="0"/>
        </w:rPr>
        <w:t xml:space="preserve">  Global trade volatility and hardware tariffs have increased procurement costs for legacy on-premise payment hardware, particularly across Asia-Pacific. This cost structure has accelerated the industry transition toward cloud-native architectures and API-integrated platforms, which offer higher scalability, lower hardware dependencies, and continuous compliance updates.</w:t>
      </w:r>
    </w:p>
    <w:p w:rsidR="00000000" w:rsidDel="00000000" w:rsidP="00000000" w:rsidRDefault="00000000" w:rsidRPr="00000000" w14:paraId="00000088">
      <w:pPr>
        <w:pStyle w:val="Heading6"/>
        <w:rPr/>
      </w:pPr>
      <w:bookmarkStart w:colFirst="0" w:colLast="0" w:name="_a8ncjorywt3d" w:id="37"/>
      <w:bookmarkEnd w:id="37"/>
      <w:r w:rsidDel="00000000" w:rsidR="00000000" w:rsidRPr="00000000">
        <w:rPr>
          <w:rtl w:val="0"/>
        </w:rPr>
        <w:t xml:space="preserve">Section Transition</w:t>
      </w:r>
    </w:p>
    <w:p w:rsidR="00000000" w:rsidDel="00000000" w:rsidP="00000000" w:rsidRDefault="00000000" w:rsidRPr="00000000" w14:paraId="00000089">
      <w:pPr>
        <w:rPr/>
      </w:pPr>
      <w:r w:rsidDel="00000000" w:rsidR="00000000" w:rsidRPr="00000000">
        <w:rPr>
          <w:rtl w:val="0"/>
        </w:rPr>
        <w:t xml:space="preserve">Translating these technical, regulatory, and architectural insights into organizational capabilities requires a structured execution roadmap for executive leadership.</w:t>
      </w:r>
    </w:p>
    <w:p w:rsidR="00000000" w:rsidDel="00000000" w:rsidP="00000000" w:rsidRDefault="00000000" w:rsidRPr="00000000" w14:paraId="0000008A">
      <w:pPr>
        <w:pStyle w:val="Heading5"/>
        <w:rPr/>
      </w:pPr>
      <w:bookmarkStart w:colFirst="0" w:colLast="0" w:name="_jw7toih21swm" w:id="38"/>
      <w:bookmarkEnd w:id="38"/>
      <w:r w:rsidDel="00000000" w:rsidR="00000000" w:rsidRPr="00000000">
        <w:rPr>
          <w:rtl w:val="0"/>
        </w:rPr>
        <w:t xml:space="preserve">6. Strategic Implementation Roadmap &amp; Actionable Recommendations</w:t>
      </w:r>
    </w:p>
    <w:p w:rsidR="00000000" w:rsidDel="00000000" w:rsidP="00000000" w:rsidRDefault="00000000" w:rsidRPr="00000000" w14:paraId="0000008B">
      <w:pPr>
        <w:pStyle w:val="Heading6"/>
        <w:rPr/>
      </w:pPr>
      <w:bookmarkStart w:colFirst="0" w:colLast="0" w:name="_358wn7hwn7wv" w:id="39"/>
      <w:bookmarkEnd w:id="39"/>
      <w:r w:rsidDel="00000000" w:rsidR="00000000" w:rsidRPr="00000000">
        <w:rPr>
          <w:rtl w:val="0"/>
        </w:rPr>
        <w:t xml:space="preserve">Context &amp; Strategic Importance</w:t>
      </w:r>
    </w:p>
    <w:p w:rsidR="00000000" w:rsidDel="00000000" w:rsidP="00000000" w:rsidRDefault="00000000" w:rsidRPr="00000000" w14:paraId="0000008C">
      <w:pPr>
        <w:rPr/>
      </w:pPr>
      <w:r w:rsidDel="00000000" w:rsidR="00000000" w:rsidRPr="00000000">
        <w:rPr>
          <w:rtl w:val="0"/>
        </w:rPr>
        <w:t xml:space="preserve">Transitioning an enterprise from legacy batch payroll processing to an integrated, real-time payroll infrastructure requires disciplined operational execution. HCM leaders, CFOs, and Chief Information Officers must coordinate technical, financial, and policy shifts to modernize compensation delivery without disrupting ongoing operations.</w:t>
      </w:r>
    </w:p>
    <w:p w:rsidR="00000000" w:rsidDel="00000000" w:rsidP="00000000" w:rsidRDefault="00000000" w:rsidRPr="00000000" w14:paraId="0000008D">
      <w:pPr>
        <w:pStyle w:val="Heading6"/>
        <w:rPr/>
      </w:pPr>
      <w:bookmarkStart w:colFirst="0" w:colLast="0" w:name="_6rpzxseydf47" w:id="40"/>
      <w:bookmarkEnd w:id="40"/>
      <w:r w:rsidDel="00000000" w:rsidR="00000000" w:rsidRPr="00000000">
        <w:rPr>
          <w:rtl w:val="0"/>
        </w:rPr>
        <w:t xml:space="preserve">Phased Enterprise Payroll Transformation Framework</w:t>
      </w:r>
    </w:p>
    <w:p w:rsidR="00000000" w:rsidDel="00000000" w:rsidP="00000000" w:rsidRDefault="00000000" w:rsidRPr="00000000" w14:paraId="0000008E">
      <w:pPr>
        <w:rPr/>
      </w:pPr>
      <w:r w:rsidDel="00000000" w:rsidR="00000000" w:rsidRPr="00000000">
        <w:rPr>
          <w:rtl w:val="0"/>
        </w:rPr>
        <w:t xml:space="preserve">Transformation Phase,Target Timeline,Core Implementation Activities,Strategic Objectives</w:t>
      </w:r>
    </w:p>
    <w:p w:rsidR="00000000" w:rsidDel="00000000" w:rsidP="00000000" w:rsidRDefault="00000000" w:rsidRPr="00000000" w14:paraId="0000008F">
      <w:pPr>
        <w:rPr/>
      </w:pPr>
      <w:r w:rsidDel="00000000" w:rsidR="00000000" w:rsidRPr="00000000">
        <w:rPr>
          <w:rtl w:val="0"/>
        </w:rPr>
        <w:t xml:space="preserve">Phase 1: Architecture &amp; Ledger Assessment,Months 1–3,• Audit time-and-attendance data flows and API readiness. • Evaluate existing system capabilities against the 5 dynamic ledger variables. • Map batch ACH cutoff dependencies and float exposure points.,Establish baseline technical readiness and identify ledger integration requirements.</w:t>
      </w:r>
    </w:p>
    <w:p w:rsidR="00000000" w:rsidDel="00000000" w:rsidP="00000000" w:rsidRDefault="00000000" w:rsidRPr="00000000" w14:paraId="00000090">
      <w:pPr>
        <w:rPr/>
      </w:pPr>
      <w:r w:rsidDel="00000000" w:rsidR="00000000" w:rsidRPr="00000000">
        <w:rPr>
          <w:rtl w:val="0"/>
        </w:rPr>
        <w:t xml:space="preserve">Phase 2: Partner Ecosystem &amp; Orchestration,Months 4–6,• Select embedded EWA partners with multi-rail orchestration (FedNow/RTP/ACH). • Require automated tri-party reconciliation capabilities across vendor software. • Validate provider licensing credentials across operating jurisdictions.,Secure scalable technology partners and establish multi-rail payment routing.</w:t>
      </w:r>
    </w:p>
    <w:p w:rsidR="00000000" w:rsidDel="00000000" w:rsidP="00000000" w:rsidRDefault="00000000" w:rsidRPr="00000000" w14:paraId="00000091">
      <w:pPr>
        <w:rPr/>
      </w:pPr>
      <w:r w:rsidDel="00000000" w:rsidR="00000000" w:rsidRPr="00000000">
        <w:rPr>
          <w:rtl w:val="0"/>
        </w:rPr>
        <w:t xml:space="preserve">Phase 3: Pilot Deployment &amp; Integration,Months 7–9,"• Deploy native API hooks within core enterprise HRIS (e.g., Workday, Auris, Viventium). • Launch pilot across frontline or high-turnover hourly workforce segments. • Validate automated reversal mechanics and exception handling protocols.","Confirm operational reliability, system sync speed, and employee adoption in a controlled environment."</w:t>
      </w:r>
    </w:p>
    <w:p w:rsidR="00000000" w:rsidDel="00000000" w:rsidP="00000000" w:rsidRDefault="00000000" w:rsidRPr="00000000" w14:paraId="00000092">
      <w:pPr>
        <w:rPr/>
      </w:pPr>
      <w:r w:rsidDel="00000000" w:rsidR="00000000" w:rsidRPr="00000000">
        <w:rPr>
          <w:rtl w:val="0"/>
        </w:rPr>
        <w:t xml:space="preserve">Phase 4: Full Launch &amp; AI Optimization,Months 10–12,"• Execute full-scale enterprise rollout across all eligible workforce segments. • Activate Generative AI engines for intraday risk checking and financial wellness. • Monitor retention gains, attrition cost reductions, and payment SLAs.","Achieve continuous real-time compensation, optimized working capital, and operational efficiency."</w:t>
      </w:r>
    </w:p>
    <w:p w:rsidR="00000000" w:rsidDel="00000000" w:rsidP="00000000" w:rsidRDefault="00000000" w:rsidRPr="00000000" w14:paraId="00000093">
      <w:pPr>
        <w:pStyle w:val="Heading6"/>
        <w:rPr/>
      </w:pPr>
      <w:bookmarkStart w:colFirst="0" w:colLast="0" w:name="_eqjhnnd0rpx3" w:id="41"/>
      <w:bookmarkEnd w:id="41"/>
      <w:r w:rsidDel="00000000" w:rsidR="00000000" w:rsidRPr="00000000">
        <w:rPr>
          <w:rtl w:val="0"/>
        </w:rPr>
        <w:t xml:space="preserve">Executive Action Items for HR and Payroll Professionals</w:t>
      </w:r>
    </w:p>
    <w:p w:rsidR="00000000" w:rsidDel="00000000" w:rsidP="00000000" w:rsidRDefault="00000000" w:rsidRPr="00000000" w14:paraId="00000094">
      <w:pPr>
        <w:numPr>
          <w:ilvl w:val="0"/>
          <w:numId w:val="5"/>
        </w:numPr>
        <w:ind w:left="720" w:hanging="360"/>
        <w:rPr>
          <w:u w:val="none"/>
        </w:rPr>
      </w:pPr>
      <w:r w:rsidDel="00000000" w:rsidR="00000000" w:rsidRPr="00000000">
        <w:rPr>
          <w:b w:val="1"/>
          <w:bCs w:val="1"/>
          <w:rtl w:val="0"/>
        </w:rPr>
        <w:t xml:space="preserve">Prioritize Ledger Integrity Over Payment Rail Speed:</w:t>
      </w:r>
      <w:r w:rsidDel="00000000" w:rsidR="00000000" w:rsidRPr="00000000">
        <w:rPr>
          <w:rtl w:val="0"/>
        </w:rPr>
        <w:t xml:space="preserve">  Recognize that transfer speed is secondary to ledger accuracy. Enterprise leadership must ensure that internal systems or partner solutions maintain absolute real-time tracking of the five continuous variables ( </w:t>
      </w:r>
      <w:r w:rsidDel="00000000" w:rsidR="00000000" w:rsidRPr="00000000">
        <w:rPr>
          <w:i w:val="1"/>
          <w:iCs w:val="1"/>
          <w:rtl w:val="0"/>
        </w:rPr>
        <w:t xml:space="preserve">Earned, Available, Advanced, Paid, Remaining</w:t>
      </w:r>
      <w:r w:rsidDel="00000000" w:rsidR="00000000" w:rsidRPr="00000000">
        <w:rPr>
          <w:rtl w:val="0"/>
        </w:rPr>
        <w:t xml:space="preserve"> ) before activating instant payout rails.</w:t>
      </w:r>
    </w:p>
    <w:p w:rsidR="00000000" w:rsidDel="00000000" w:rsidP="00000000" w:rsidRDefault="00000000" w:rsidRPr="00000000" w14:paraId="00000095">
      <w:pPr>
        <w:numPr>
          <w:ilvl w:val="0"/>
          <w:numId w:val="5"/>
        </w:numPr>
        <w:ind w:left="720" w:hanging="360"/>
        <w:rPr>
          <w:u w:val="none"/>
        </w:rPr>
      </w:pPr>
      <w:r w:rsidDel="00000000" w:rsidR="00000000" w:rsidRPr="00000000">
        <w:rPr>
          <w:b w:val="1"/>
          <w:bCs w:val="1"/>
          <w:rtl w:val="0"/>
        </w:rPr>
        <w:t xml:space="preserve">Standardize on Employer-Sponsored Embedded Models:</w:t>
      </w:r>
      <w:r w:rsidDel="00000000" w:rsidR="00000000" w:rsidRPr="00000000">
        <w:rPr>
          <w:rtl w:val="0"/>
        </w:rPr>
        <w:t xml:space="preserve">  Adopt employer-sponsored, API-integrated models over direct-to-consumer alternatives. Native HRIS-embedded integrations deliver tax alignment, zero employee credit exposure, regulatory clarity, and proven retention benefits—such as the 46% attrition reduction achieved in enterprise Workday deployments.</w:t>
      </w:r>
    </w:p>
    <w:p w:rsidR="00000000" w:rsidDel="00000000" w:rsidP="00000000" w:rsidRDefault="00000000" w:rsidRPr="00000000" w14:paraId="00000096">
      <w:pPr>
        <w:numPr>
          <w:ilvl w:val="0"/>
          <w:numId w:val="5"/>
        </w:numPr>
        <w:ind w:left="720" w:hanging="360"/>
        <w:rPr>
          <w:u w:val="none"/>
        </w:rPr>
      </w:pPr>
      <w:r w:rsidDel="00000000" w:rsidR="00000000" w:rsidRPr="00000000">
        <w:rPr>
          <w:b w:val="1"/>
          <w:bCs w:val="1"/>
          <w:rtl w:val="0"/>
        </w:rPr>
        <w:t xml:space="preserve">Engineer Automated Reversal and Clawback Protocols:</w:t>
      </w:r>
      <w:r w:rsidDel="00000000" w:rsidR="00000000" w:rsidRPr="00000000">
        <w:rPr>
          <w:rtl w:val="0"/>
        </w:rPr>
        <w:t xml:space="preserve">  Ensure payroll architectures accommodate retro-payroll adjustments, shift disputes, and timecard edits by embedding explicit, automated reversal and clawback mechanics directly into system rules rather than relying on manual exception teams.</w:t>
      </w:r>
    </w:p>
    <w:p w:rsidR="00000000" w:rsidDel="00000000" w:rsidP="00000000" w:rsidRDefault="00000000" w:rsidRPr="00000000" w14:paraId="00000097">
      <w:pPr>
        <w:numPr>
          <w:ilvl w:val="0"/>
          <w:numId w:val="5"/>
        </w:numPr>
        <w:ind w:left="720" w:hanging="360"/>
        <w:rPr>
          <w:u w:val="none"/>
        </w:rPr>
      </w:pPr>
      <w:r w:rsidDel="00000000" w:rsidR="00000000" w:rsidRPr="00000000">
        <w:rPr>
          <w:b w:val="1"/>
          <w:bCs w:val="1"/>
          <w:rtl w:val="0"/>
        </w:rPr>
        <w:t xml:space="preserve">Proactively Audit State and Regional Regulatory Licensing:</w:t>
      </w:r>
      <w:r w:rsidDel="00000000" w:rsidR="00000000" w:rsidRPr="00000000">
        <w:rPr>
          <w:rtl w:val="0"/>
        </w:rPr>
        <w:t xml:space="preserve">  Monitor evolving state-level EWA licensing requirements (e.g., Indiana, California, Nevada) and international labor laws. Require third-party providers to maintain active state licensures to protect the organization from secondary regulatory exposure.</w:t>
      </w:r>
    </w:p>
    <w:p w:rsidR="00000000" w:rsidDel="00000000" w:rsidP="00000000" w:rsidRDefault="00000000" w:rsidRPr="00000000" w14:paraId="00000098">
      <w:pPr>
        <w:pStyle w:val="Heading6"/>
        <w:rPr/>
      </w:pPr>
      <w:bookmarkStart w:colFirst="0" w:colLast="0" w:name="_hq7rjbsqibjp" w:id="42"/>
      <w:bookmarkEnd w:id="42"/>
      <w:r w:rsidDel="00000000" w:rsidR="00000000" w:rsidRPr="00000000">
        <w:rPr>
          <w:rtl w:val="0"/>
        </w:rPr>
        <w:t xml:space="preserve">Concluding Summary</w:t>
      </w:r>
    </w:p>
    <w:p w:rsidR="00000000" w:rsidDel="00000000" w:rsidP="00000000" w:rsidRDefault="00000000" w:rsidRPr="00000000" w14:paraId="00000099">
      <w:pPr>
        <w:rPr/>
      </w:pPr>
      <w:r w:rsidDel="00000000" w:rsidR="00000000" w:rsidRPr="00000000">
        <w:rPr>
          <w:rtl w:val="0"/>
        </w:rPr>
        <w:t xml:space="preserve">Payroll management is at an inflection point. The convergence of instant payment networks, continuous embedded ledgers, and Generative AI engines is phasing out legacy periodic batch payroll models. Enterprise organizations that act decisively to modernize their payroll infrastructure—grounding their operational capabilities in continuous ledger synchronization, embedded platforms, and proactive compliance governance—will eliminate working capital friction, optimize treasury positioning, and build a resilient workforce value proposition for the future.</w:t>
      </w:r>
    </w:p>
    <w:p w:rsidR="00000000" w:rsidDel="00000000" w:rsidP="00000000" w:rsidRDefault="00000000" w:rsidRPr="00000000" w14:paraId="0000009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