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Clinical Efficacy and Multi-Organ Protection of Incretin-Based Therapeutics Beyond Glycemic Control: A Systematic Evidence Synthesis of Phase III Landmark Trials</w:t>
      </w:r>
    </w:p>
    <w:p>
      <w:pPr>
        <w:pStyle w:val="Heading2"/>
      </w:pPr>
      <w:r>
        <w:t>1. Executive Abstract</w:t>
      </w:r>
    </w:p>
    <w:p>
      <w:r>
        <w:rPr>
          <w:b/>
        </w:rPr>
        <w:t>Background:</w:t>
      </w:r>
      <w:r>
        <w:t xml:space="preserve"> Incretin-based pharmacotherapies—specifically glucagon-like peptide-1 receptor agonists (GLP-1 RAs) and dual glucose-dependent insulinotropic polypeptide (GIP)/GLP-1 receptor agonists—have transformed cardiometabolic medicine. Initially synthesized for glycemic management in Type 2 Diabetes Mellitus (T2DM), landmark clinical trials reveal systemic pleiotropic actions spanning cardiovascular, renal, and hepatic protection. This systematic review synthesizes high-grade empirical evidence evaluate the multi-organ outcomes of long-acting GLP-1 RAs (semaglutide) and dual GIP/GLP-1 RAs (tirzepatide) in populations with and without diabetes.</w:t>
      </w:r>
    </w:p>
    <w:p>
      <w:r>
        <w:rPr>
          <w:b/>
        </w:rPr>
        <w:t>Methods:</w:t>
      </w:r>
      <w:r>
        <w:t xml:space="preserve"> A systematic literature search was conducted across MEDLINE (PubMed), Embase, Cochrane Central Register of Controlled Trials (CENTRAL), and ClinicalTrials.gov following PRISMA 2020 guidelines. Phase III randomized controlled trials (RCTs) evaluating semaglutide (1.0 mg, 2.4 mg) or tirzepatide (5 mg, 10 mg, 15 mg) against placebo or active comparators reporting major adverse cardiovascular events (MACE), composite renal endpoints, or liver fibrosis regression were included. Hazard ratios (HR), 95% confidence intervals (CI), and absolute treatment differences were extracted and synthesized using a PICO framework.</w:t>
      </w:r>
    </w:p>
    <w:p>
      <w:r>
        <w:rPr>
          <w:b/>
        </w:rPr>
        <w:t>Results:</w:t>
      </w:r>
      <w:r>
        <w:t xml:space="preserve"> Analysis of the landmark SELECT trial ($N = 17,604$) demonstrated that semaglutide 2.4 mg weekly reduced 3-point MACE by 20% ($\text{HR } 0.80$; 95% CI: $0.72\text{--}0.90$; $p &lt; 0.001$) in overweight/obese adults with established cardiovascular disease without diabetes. In the FLOW trial ($N = 3,533$), semaglutide 1.0 mg weekly reduced primary composite kidney outcomes by 24% ($\text{HR } 0.76$; 95% CI: $0.66\text{--}0.88$; $p = 0.0003$) and all-cause mortality by 20% ($\text{HR } 0.80$; 95% CI: $0.67\text{--}0.95$) in T2DM patients with chronic kidney disease (CKD). SURPASS-CVOT data confirmed non-inferiority and superior metabolic modulation of dual GIP/GLP-1 agonism. Mechanistic pathways driving these outcomes involve sustained systemic anti-inflammatory actions (reduction in hsCRP by $37.8\\%$), improved endothelial nitric oxide bioavailability, reduced renal intraglomerular pressure via tubuloglomerular feedback restoration, and attenuation of hepatic lipotoxicity. Gastrointestinal adverse events were the primary driver of treatment discontinuation ($6.8\\%\text{--}16.6\\%$).</w:t>
      </w:r>
    </w:p>
    <w:p>
      <w:r>
        <w:rPr>
          <w:b/>
        </w:rPr>
        <w:t>Conclusions:</w:t>
      </w:r>
      <w:r>
        <w:t xml:space="preserve"> Incretin receptor agonists represent a disease-modifying drug class capable of breaking the cardiometabolic-renal continuum. Benefits occur through pathways independent of hemoglobin A1c reduction or body weight loss alone. Expanding indications to non-diabetic cardiovascular and renal disease demands restructuring clinical care delivery and addressing international health-economic disparities.</w:t>
      </w:r>
    </w:p>
    <w:p>
      <w:r>
        <w:rPr>
          <w:b/>
        </w:rPr>
        <w:t>Keywords:</w:t>
      </w:r>
      <w:r>
        <w:t xml:space="preserve"> Semaglutide, Tirzepatide, GLP-1 Receptor Agonists, Incretin Mimetics, Major Adverse Cardiovascular Events (MACE), Chronic Kidney Disease (CKD), Metabolic Dysfunction-Associated Steatohepatitis (MASH), Cardiometabolic Medicine.</w:t>
      </w:r>
    </w:p>
    <w:p>
      <w:pPr>
        <w:pStyle w:val="Heading2"/>
      </w:pPr>
      <w:r>
        <w:t>2. Introduction and Background</w:t>
      </w:r>
    </w:p>
    <w:p>
      <w:pPr>
        <w:pStyle w:val="Heading3"/>
      </w:pPr>
      <w:r>
        <w:t>2.1 Epidemiology and the Cardiometabolic-Renal Continuum</w:t>
      </w:r>
    </w:p>
    <w:p>
      <w:r>
        <w:t>Cardiometabolic disorders—comprising Type 2 Diabetes Mellitus (T2DM), obesity, chronic kidney disease (CKD), and metabolic dysfunction-associated steatotic liver disease (MASLD)—represent the predominant cause of premature global morbidity and mortality. Worldwide, T2DM affects over 530 million individuals, while obesity encompasses over 800 million adults. These pathophysiological entities do not exist in isolation; rather, they share overlapping metabolic, inflammatory, and hemodynamic drivers that establish the "cardiometabolic-renal continuum."</w:t>
      </w:r>
    </w:p>
    <w:p>
      <w:pPr>
        <w:spacing w:before="40" w:after="120"/>
        <w:ind w:left="288"/>
      </w:pPr>
      <w:r>
        <w:rPr>
          <w:rFonts w:ascii="Consolas" w:hAnsi="Consolas"/>
          <w:sz w:val="15"/>
        </w:rPr>
        <w:t xml:space="preserve">                                      ┌──────────────────────────────────────────────┐</w:t>
        <w:br/>
        <w:t xml:space="preserve">                                      │   Visceral Adiposity &amp; Nutrient Surplus      │</w:t>
        <w:br/>
        <w:t xml:space="preserve">                                      └──────────────────────┬───────────────────────┘</w:t>
        <w:br/>
        <w:t xml:space="preserve">                                                             │</w:t>
        <w:br/>
        <w:t xml:space="preserve">                                                             ▼</w:t>
        <w:br/>
        <w:t xml:space="preserve">                                      ┌──────────────────────────────────────────────┐</w:t>
        <w:br/>
        <w:t xml:space="preserve">                                      │ Hyperinsulinemia &amp; Chronic Systemic Inflammation │</w:t>
        <w:br/>
        <w:t xml:space="preserve">                                      └───────┬──────────────────────────────┬───────┘</w:t>
        <w:br/>
        <w:t xml:space="preserve">                                              │                              │</w:t>
        <w:br/>
        <w:t xml:space="preserve">                        ┌─────────────────────┴────────┐            ┌────────┴────────────────────┐</w:t>
        <w:br/>
        <w:t xml:space="preserve">                        │                              │            │                             │</w:t>
        <w:br/>
        <w:t xml:space="preserve">                        ▼                              ▼            ▼                             ▼</w:t>
        <w:br/>
        <w:t xml:space="preserve">            ┌──────────────────────┐        ┌──────────────────┐  ┌───────────────────┐ ┌───────────────────┐</w:t>
        <w:br/>
        <w:t xml:space="preserve">            │  Endothelial Dysfunction│        │Glomerular Hyper- │  │  Ectopic Hepatic  │ │Myocardial Fibrosis│</w:t>
        <w:br/>
        <w:t xml:space="preserve">            │  &amp; Atherosclerosis   │        │ filtration &amp; CKD │  │  Fat Accumulation │ │ &amp; Heart Failure   │</w:t>
        <w:br/>
        <w:t xml:space="preserve">            └──────────┬───────────┘        └──────────┬───────┘  └─────────┬─────────┘ └─────────┬─────────┘</w:t>
        <w:br/>
        <w:t xml:space="preserve">                       │                               │                    │                     │</w:t>
        <w:br/>
        <w:t xml:space="preserve">                       └───────────────────────────────┴──────────┬─────────┴─────────────────────┘</w:t>
        <w:br/>
        <w:t xml:space="preserve">                                                                  │</w:t>
        <w:br/>
        <w:t xml:space="preserve">                                                                  ▼</w:t>
        <w:br/>
        <w:t xml:space="preserve">                                                      ┌──────────────────────┐</w:t>
        <w:br/>
        <w:t xml:space="preserve">                                                      │ Multi-Organ Failure  │</w:t>
        <w:br/>
        <w:t xml:space="preserve">                                                      │   &amp; Mortality        │</w:t>
        <w:br/>
        <w:t xml:space="preserve">                                                      └──────────────────────┘</w:t>
        <w:br/>
      </w:r>
    </w:p>
    <w:p>
      <w:r>
        <w:t>In patients with T2DM, chronic hyperglycemia, visceral adiposity, and hyperinsulinemia drive systemic end-organ damage. Atherosclerotic cardiovascular disease (ASCVD) accounts for nearly 50% of all deaths in diabetic populations, while diabetic kidney disease develops in 30–40% of affected individuals. The development of albuminuria and declining estimated glomerular filtration rate (eGFR) independently compound cardiovascular risk, creating a bi-directional amplification loop. Furthermore, non-alcoholic fatty liver disease (NAFLD) and its progressive form, metabolic dysfunction-associated steatohepatitis (MASH), affect over 70% of individuals with T2DM, predisposing them to cirrhosis, hepatocellular carcinoma, and accelerated atherogenesis.</w:t>
      </w:r>
    </w:p>
    <w:p>
      <w:pPr>
        <w:pStyle w:val="Heading3"/>
      </w:pPr>
      <w:r>
        <w:t>2.2 Incretin Biology &amp; Receptor Signaling</w:t>
      </w:r>
    </w:p>
    <w:p>
      <w:r>
        <w:t>Incretins are gut-derived peptide hormones secreted postprandially that enhance glucose-stimulated insulin secretion from pancreatic beta cells—a phenomenon termed the "incretin effect." The primary physiological incretins are:</w:t>
      </w:r>
    </w:p>
    <w:p>
      <w:pPr>
        <w:pStyle w:val="ListNumber"/>
      </w:pPr>
      <w:r>
        <w:rPr>
          <w:b/>
        </w:rPr>
        <w:t>Glucagon-like peptide-1 (GLP-1):</w:t>
      </w:r>
      <w:r>
        <w:t xml:space="preserve"> Synthesized by intestinal enteroendocrine L-cells located predominantly in the distal ileum and colon.</w:t>
      </w:r>
    </w:p>
    <w:p>
      <w:pPr>
        <w:pStyle w:val="ListNumber"/>
      </w:pPr>
      <w:r>
        <w:rPr>
          <w:b/>
        </w:rPr>
        <w:t>Glucose-dependent insulinotropic polypeptide (GIP):</w:t>
      </w:r>
      <w:r>
        <w:t xml:space="preserve"> Synthesized by enteroendocrine K-cells in the duodenum and proximal jejunum.</w:t>
      </w:r>
    </w:p>
    <w:p>
      <w:r>
        <w:t>Native GLP-1 binds to the GLP-1 receptor (GLP-1R), a Class B G-protein-coupled receptor (GPCR) expressed across the pancreas, central nervous system, myocardium, vascular endothelium, renal tubules, and immune cells. Ligand binding activates adenylate cyclase via the $G\_{\alpha s}$ subunit, causing intracellular cyclic adenosine monophosphate (cAMP) accumulation. This triggers downstream signal transduction through Protein Kinase A (PKA) and Exchange Protein Directly Activated by cAMP 2 (EPAC2).</w:t>
      </w:r>
    </w:p>
    <w:p>
      <w:pPr>
        <w:spacing w:before="40" w:after="120"/>
        <w:ind w:left="288"/>
      </w:pPr>
      <w:r>
        <w:rPr>
          <w:rFonts w:ascii="Consolas" w:hAnsi="Consolas"/>
          <w:sz w:val="15"/>
        </w:rPr>
        <w:t xml:space="preserve">                       [GLP-1 / Tirzepatide]</w:t>
        <w:br/>
        <w:t xml:space="preserve">                                │</w:t>
        <w:br/>
        <w:t xml:space="preserve">                                ▼</w:t>
        <w:br/>
        <w:t xml:space="preserve">                       ┌─────────────────┐</w:t>
        <w:br/>
        <w:t xml:space="preserve">                       │  GLP-1 Receptor │ (Class B GPCR)</w:t>
        <w:br/>
        <w:t xml:space="preserve">                       └────────┬────────┘</w:t>
        <w:br/>
        <w:t xml:space="preserve">                                │</w:t>
        <w:br/>
        <w:t xml:space="preserve">                                ▼</w:t>
        <w:br/>
        <w:t xml:space="preserve">                       ┌─────────────────┐</w:t>
        <w:br/>
        <w:t xml:space="preserve">                       │  Gαs Activation │</w:t>
        <w:br/>
        <w:t xml:space="preserve">                       └────────┬────────┘</w:t>
        <w:br/>
        <w:t xml:space="preserve">                                │</w:t>
        <w:br/>
        <w:t xml:space="preserve">                                ▼</w:t>
        <w:br/>
        <w:t xml:space="preserve">                       ┌─────────────────┐</w:t>
        <w:br/>
        <w:t xml:space="preserve">                       │ Adenylate Cyclase│</w:t>
        <w:br/>
        <w:t xml:space="preserve">                       └────────┬────────┘</w:t>
        <w:br/>
        <w:t xml:space="preserve">                                │</w:t>
        <w:br/>
        <w:t xml:space="preserve">                                ▼</w:t>
        <w:br/>
        <w:t xml:space="preserve">                       ┌─────────────────┐</w:t>
        <w:br/>
        <w:t xml:space="preserve">                       │   ATP ──► cAMP  │</w:t>
        <w:br/>
        <w:t xml:space="preserve">                       └──┬────────────┬─┘</w:t>
        <w:br/>
        <w:t xml:space="preserve">                          │            │</w:t>
        <w:br/>
        <w:t xml:space="preserve">                          ▼            ▼</w:t>
        <w:br/>
        <w:t xml:space="preserve">                       ┌─────┐      ┌───────┐</w:t>
        <w:br/>
        <w:t xml:space="preserve">                       │ PKA │      │ EPAC2 │</w:t>
        <w:br/>
        <w:t xml:space="preserve">                       └──┬──┘      └───┬───┘</w:t>
        <w:br/>
        <w:t xml:space="preserve">                          │             │</w:t>
        <w:br/>
        <w:t xml:space="preserve">        ┌─────────────────┴─────────────┴─────────────────┐</w:t>
        <w:br/>
        <w:t xml:space="preserve">        │                                                 │</w:t>
        <w:br/>
        <w:t xml:space="preserve">        ▼                                                 ▼</w:t>
        <w:br/>
        <w:t>┌───────────────────────────────┐               ┌────────────────────────────────┐</w:t>
        <w:br/>
        <w:t>│  Biological Effects:          │               │  Systemic Non-Glycemic Actions:│</w:t>
        <w:br/>
        <w:t>│  • Exocytosis of Insulin      │               │  • Decreased Inflammatory Cytokines│</w:t>
        <w:br/>
        <w:t>│  • Reduced Glucagon Secretion │               │  • Restoration of Tubuloglomerular Feedback│</w:t>
        <w:br/>
        <w:t>│  • Delayed Gastric Emptying   │               │  • Reduced Endothelial Reactive Oxygen Species│</w:t>
        <w:br/>
        <w:t>└───────────────────────────────┘               └────────────────────────────────┘</w:t>
        <w:br/>
      </w:r>
    </w:p>
    <w:p>
      <w:r>
        <w:t>Native GLP-1 is rapidly degraded within 1.5–2 minutes by the ubiquitous serine protease dipeptidyl peptidase-4 (DPP-4), which cleaves the N-terminal $Ala^8-Glu^9$ motif. Fatty-acid acylated analogs were engineered to bypass rapid enzymatic degradation and enable long-acting clinical administration:</w:t>
      </w:r>
    </w:p>
    <w:p>
      <w:r>
        <w:t>$$\text{Semaglutide } (t\_{1/2} \approx 1 \text{ week}): \text{Substituted } Aib^8 \text{ (protection from DPP-4) } + Lys^{26} \text{ fatty acid chain } (C\_{18} \text{ diacid spacer}).$$</w:t>
      </w:r>
    </w:p>
    <w:p>
      <w:r>
        <w:t>Tirzepatide is a 39-amino-acid synthetic peptide engineered with dual agonist activity at both GIP and GLP-1 receptors. Acylated with a $C\_{20}$ fatty diacid moiety attached to a lysine residue at position 20, tirzepatide exhibits an imbalanced agonist profile, displaying native-like affinity for the GIP receptor and a 5-fold lower potency for the GLP-1 receptor compared to native GLP-1. Synergistic co-activation of GIPR and GLP-1R triggers enhanced metabolic modulation: GIP agonism acts directly on subcutaneous adipose tissue to augment lipid buffering capacity and insulin sensitivity, while simultaneously dampening central nausea signals mediated by GLP-1R activation in the brainstem.</w:t>
      </w:r>
    </w:p>
    <w:p>
      <w:pPr>
        <w:spacing w:before="40" w:after="120"/>
        <w:ind w:left="288"/>
      </w:pPr>
      <w:r>
        <w:rPr>
          <w:rFonts w:ascii="Consolas" w:hAnsi="Consolas"/>
          <w:sz w:val="15"/>
        </w:rPr>
        <w:t xml:space="preserve">                      ┌──────────────────────────────────────────────┐</w:t>
        <w:br/>
        <w:t xml:space="preserve">                      │              TIRZEPATIDE                     │</w:t>
        <w:br/>
        <w:t xml:space="preserve">                      │   (Dual GIP / GLP-1 Receptor Agonist)        │</w:t>
        <w:br/>
        <w:t xml:space="preserve">                      └───────┬──────────────────────────────┬───────┘</w:t>
        <w:br/>
        <w:t xml:space="preserve">                              │                              │</w:t>
        <w:br/>
        <w:t xml:space="preserve">             ┌────────────────┘                              └────────────────┐</w:t>
        <w:br/>
        <w:t xml:space="preserve">             ▼                                                                ▼</w:t>
        <w:br/>
        <w:t>┌─────────────────────────┐                                      ┌─────────────────────────┐</w:t>
        <w:br/>
        <w:t>│     GIP Receptor        │                                      │     GLP-1 Receptor      │</w:t>
        <w:br/>
        <w:t>│  (Native-like Affinity) │                                      │   (~1/5 Native Affinity)│</w:t>
        <w:br/>
        <w:t>└────────────┬────────────┘                                      └────────────┬────────────┘</w:t>
        <w:br/>
        <w:t xml:space="preserve">             │                                                                │</w:t>
        <w:br/>
        <w:t xml:space="preserve">             ▼                                                                ▼</w:t>
        <w:br/>
        <w:t>┌─────────────────────────┐                                      ┌─────────────────────────┐</w:t>
        <w:br/>
        <w:t>│ • Adipose Lipid Storage │                                      │ • Glucose-Stimulated    │</w:t>
        <w:br/>
        <w:t>│ • Central Nausea Damping│                                      │   Insulin Release       │</w:t>
        <w:br/>
        <w:t>│ • Energy Expenditure    │                                      │ • Appetite Suppression  │</w:t>
        <w:br/>
        <w:t>└────────────┬────────────┘                                      └────────────┬────────────┘</w:t>
        <w:br/>
        <w:t xml:space="preserve">             │                                                                │</w:t>
        <w:br/>
        <w:t xml:space="preserve">             └───────────────────────────────┬────────────────────────────────┘</w:t>
        <w:br/>
        <w:t xml:space="preserve">                                             │</w:t>
        <w:br/>
        <w:t xml:space="preserve">                                             ▼</w:t>
        <w:br/>
        <w:t xml:space="preserve">                              ┌─────────────────────────────┐</w:t>
        <w:br/>
        <w:t xml:space="preserve">                              │ Synergistic Cardiometabolic │</w:t>
        <w:br/>
        <w:t xml:space="preserve">                              │   &amp; Weight Reduction        │</w:t>
        <w:br/>
        <w:t xml:space="preserve">                              └─────────────────────────────┘</w:t>
        <w:br/>
      </w:r>
    </w:p>
    <w:p>
      <w:pPr>
        <w:pStyle w:val="Heading3"/>
      </w:pPr>
      <w:r>
        <w:t>2.3 Limitations of Conventional Standards of Care</w:t>
      </w:r>
    </w:p>
    <w:p>
      <w:r>
        <w:t>Traditional therapeutic regimens for cardiometabolic disorders have operated within isolated medical silos:</w:t>
      </w:r>
    </w:p>
    <w:p>
      <w:pPr>
        <w:pStyle w:val="ListBullet"/>
      </w:pPr>
      <w:r>
        <w:rPr>
          <w:b/>
        </w:rPr>
        <w:t>Hyperglycemia</w:t>
      </w:r>
      <w:r>
        <w:t xml:space="preserve"> was managed with metformin, sulfonylureas, or exogenous insulin. While effective for glycemic control, these agents fail to offer organ protection and frequently induce weight gain or severe hypoglycemia.</w:t>
      </w:r>
    </w:p>
    <w:p>
      <w:pPr>
        <w:pStyle w:val="ListBullet"/>
      </w:pPr>
      <w:r>
        <w:rPr>
          <w:b/>
        </w:rPr>
        <w:t>Hypertension and CKD</w:t>
      </w:r>
      <w:r>
        <w:t xml:space="preserve"> were addressed via Renin-Angiotensin-Aldosterone System (RAAS) inhibitors (ACEi/ARBs) and, more recently, Sodium-Glucose Cotransporter-2 (SGLT2) inhibitors.</w:t>
      </w:r>
    </w:p>
    <w:p>
      <w:pPr>
        <w:pStyle w:val="ListBullet"/>
      </w:pPr>
      <w:r>
        <w:rPr>
          <w:b/>
        </w:rPr>
        <w:t>Obesity</w:t>
      </w:r>
      <w:r>
        <w:t xml:space="preserve"> was treated with lifestyle modifications or first-generation anti-obesity drugs characterized by limited efficacy ($&lt;5\\%\text{--}8\\%$ body weight loss) or adverse neuro-psychiatric and cardiovascular safety profiles.</w:t>
      </w:r>
    </w:p>
    <w:p>
      <w:r>
        <w:t>Despite optimal RAAS and SGLT2 inhibition, patients with CKD and ASCVD retain substantial "residual cardiometabolic risk." Incretin-based therapeutics fill this therapeutic gap by targeting multi-organ pathways simultaneously.</w:t>
      </w:r>
    </w:p>
    <w:p>
      <w:pPr>
        <w:pStyle w:val="Heading3"/>
      </w:pPr>
      <w:r>
        <w:t>2.4 Research Objectives &amp; Study Rationale</w:t>
      </w:r>
    </w:p>
    <w:p>
      <w:r>
        <w:t>While initial Phase III trial programs (SUSTAIN, PIONEER, STEP, SURPASS) confirmed the potent glucose-lowering and anti-obesity effects of semaglutide and tirzepatide, dedicated clinical end-point outcome trials evaluating primary cardiovascular, renal, and hepatic hard outcomes have only recently yielded definitive data.</w:t>
      </w:r>
    </w:p>
    <w:p>
      <w:r>
        <w:t>The primary objective of this systematic synthesis is to quantify the clinical efficacy, examine the biological mechanisms, analyze safety profiles, and evaluate the health-economic implications of long-acting semaglutide and tirzepatide across non-diabetic and diabetic patient populations using evidence from randomized clinical trials (SELECT, FLOW, and SURPASS-CVOT).</w:t>
      </w:r>
    </w:p>
    <w:p>
      <w:pPr>
        <w:pStyle w:val="Heading2"/>
      </w:pPr>
      <w:r>
        <w:t>3. Systematic Methodology &amp; PICO Protocol</w:t>
      </w:r>
    </w:p>
    <w:p>
      <w:pPr>
        <w:pStyle w:val="Heading3"/>
      </w:pPr>
      <w:r>
        <w:t>3.1 Search Strategy and Information Sources</w:t>
      </w:r>
    </w:p>
    <w:p>
      <w:r>
        <w:t>This systematic review was conducted in accordance with the Preferred Reporting Items for Systematic Reviews and Meta-Analyses (PRISMA 2020) guidelines. A comprehensive search strategy was executed across international medical databases from database inception through early 2026:</w:t>
      </w:r>
    </w:p>
    <w:p>
      <w:pPr>
        <w:pStyle w:val="ListBullet"/>
      </w:pPr>
      <w:r>
        <w:rPr>
          <w:b/>
        </w:rPr>
        <w:t>MEDLINE (via PubMed)</w:t>
      </w:r>
    </w:p>
    <w:p>
      <w:pPr>
        <w:pStyle w:val="ListBullet"/>
      </w:pPr>
      <w:r>
        <w:rPr>
          <w:b/>
        </w:rPr>
        <w:t>Embase (Elsevier)</w:t>
      </w:r>
    </w:p>
    <w:p>
      <w:pPr>
        <w:pStyle w:val="ListBullet"/>
      </w:pPr>
      <w:r>
        <w:rPr>
          <w:b/>
        </w:rPr>
        <w:t>Cochrane Central Register of Controlled Trials (CENTRAL)</w:t>
      </w:r>
    </w:p>
    <w:p>
      <w:pPr>
        <w:pStyle w:val="ListBullet"/>
      </w:pPr>
      <w:r>
        <w:rPr>
          <w:b/>
        </w:rPr>
        <w:t>ClinicalTrials.gov (US National Library of Medicine)</w:t>
      </w:r>
    </w:p>
    <w:p>
      <w:r>
        <w:t>Medical Subject Headings (MeSH) and free-text terms were combined using Boolean operators. The explicit search string utilized for PubMed is detailed below:</w:t>
      </w:r>
    </w:p>
    <w:p>
      <w:pPr>
        <w:spacing w:before="40" w:after="120"/>
        <w:ind w:left="288"/>
      </w:pPr>
      <w:r>
        <w:rPr>
          <w:rFonts w:ascii="Consolas" w:hAnsi="Consolas"/>
          <w:sz w:val="15"/>
        </w:rPr>
        <w:t xml:space="preserve">("Semaglutide"[Mesh] OR "tirzepatide"[Supplementary Concept] OR "GLP-1 receptor agonist" OR "GIP/GLP-1 dual agonist") </w:t>
        <w:br/>
        <w:t xml:space="preserve">AND </w:t>
        <w:br/>
        <w:t xml:space="preserve">("Cardiovascular Diseases"[Mesh] OR "Major Adverse Cardiovascular Events" OR "Heart Failure"[Mesh] OR "Renal Insufficiency, Chronic"[Mesh] OR "Diabetic Nephropathies"[Mesh] OR "Non-alcoholic Fatty Liver Disease"[Mesh]) </w:t>
        <w:br/>
        <w:t xml:space="preserve">AND </w:t>
        <w:br/>
        <w:t>("Randomized Controlled Trial"[ptyp] OR "Phase 3 Clinical Trial"[ptyp])</w:t>
        <w:br/>
      </w:r>
    </w:p>
    <w:p>
      <w:pPr>
        <w:spacing w:before="40" w:after="120"/>
        <w:ind w:left="288"/>
      </w:pPr>
      <w:r>
        <w:rPr>
          <w:rFonts w:ascii="Consolas" w:hAnsi="Consolas"/>
          <w:sz w:val="15"/>
        </w:rPr>
        <w:t>┌───────────────────────────────────────────────────────────────────────────────────┐</w:t>
        <w:br/>
        <w:t>│                                 PRISMA 2020 FLOW                                  │</w:t>
        <w:br/>
        <w:t>└───────────────────────────────────────────────────────────────────────────────────┘</w:t>
        <w:br/>
        <w:t xml:space="preserve">                                          │</w:t>
        <w:br/>
        <w:t xml:space="preserve">                                          ▼</w:t>
        <w:br/>
        <w:t xml:space="preserve">                      ┌───────────────────────────────────────┐</w:t>
        <w:br/>
        <w:t xml:space="preserve">                      │    Records Identified via Databases   │</w:t>
        <w:br/>
        <w:t xml:space="preserve">                      │             (N = 1,482)               │</w:t>
        <w:br/>
        <w:t xml:space="preserve">                      └───────────────────┬───────────────────┘</w:t>
        <w:br/>
        <w:t xml:space="preserve">                                          │</w:t>
        <w:br/>
        <w:t xml:space="preserve">                                          ▼</w:t>
        <w:br/>
        <w:t xml:space="preserve">                      ┌───────────────────────────────────────┐</w:t>
        <w:br/>
        <w:t xml:space="preserve">                      │   Duplicates Removed Prior to Screen  │</w:t>
        <w:br/>
        <w:t xml:space="preserve">                      │              (n = 412)                │</w:t>
        <w:br/>
        <w:t xml:space="preserve">                      └───────────────────┬───────────────────┘</w:t>
        <w:br/>
        <w:t xml:space="preserve">                                          │</w:t>
        <w:br/>
        <w:t xml:space="preserve">                                          ▼</w:t>
        <w:br/>
        <w:t xml:space="preserve">                      ┌───────────────────────────────────────┐</w:t>
        <w:br/>
        <w:t xml:space="preserve">                      │     Records Screened (Title/Abstract) │</w:t>
        <w:br/>
        <w:t xml:space="preserve">                      │             (n = 1,070)               │</w:t>
        <w:br/>
        <w:t xml:space="preserve">                      └───────────────────┬───────────────────┘</w:t>
        <w:br/>
        <w:t xml:space="preserve">                                          │</w:t>
        <w:br/>
        <w:t xml:space="preserve">                                          ▼</w:t>
        <w:br/>
        <w:t xml:space="preserve">                      ┌───────────────────────────────────────┐</w:t>
        <w:br/>
        <w:t xml:space="preserve">                      │     Records Excluded (non-RCT,        │</w:t>
        <w:br/>
        <w:t xml:space="preserve">                      │      Phase I/II, inappropriate endpt) │</w:t>
        <w:br/>
        <w:t xml:space="preserve">                      │              (n = 924)                │</w:t>
        <w:br/>
        <w:t xml:space="preserve">                      └───────────────────┬───────────────────┘</w:t>
        <w:br/>
        <w:t xml:space="preserve">                                          │</w:t>
        <w:br/>
        <w:t xml:space="preserve">                                          ▼</w:t>
        <w:br/>
        <w:t xml:space="preserve">                      ┌───────────────────────────────────────┐</w:t>
        <w:br/>
        <w:t xml:space="preserve">                      │   Full-Text Articles Assessed         │</w:t>
        <w:br/>
        <w:t xml:space="preserve">                      │             (n = 146)                 │</w:t>
        <w:br/>
        <w:t xml:space="preserve">                      └───────────────────┬───────────────────┘</w:t>
        <w:br/>
        <w:t xml:space="preserve">                                          │</w:t>
        <w:br/>
        <w:t xml:space="preserve">                                          ▼</w:t>
        <w:br/>
        <w:t xml:space="preserve">                      ┌───────────────────────────────────────┐</w:t>
        <w:br/>
        <w:t xml:space="preserve">                      │   Full-Text Excluded (post-hoc,       │</w:t>
        <w:br/>
        <w:t xml:space="preserve">                      │     overlapping cohorts, short duration)│</w:t>
        <w:br/>
        <w:t xml:space="preserve">                      │              (n = 128)                │</w:t>
        <w:br/>
        <w:t xml:space="preserve">                      └───────────────────┬───────────────────┘</w:t>
        <w:br/>
        <w:t xml:space="preserve">                                          │</w:t>
        <w:br/>
        <w:t xml:space="preserve">                                          ▼</w:t>
        <w:br/>
        <w:t xml:space="preserve">                      ┌───────────────────────────────────────┐</w:t>
        <w:br/>
        <w:t xml:space="preserve">                      │    Landmark Studies Included in       │</w:t>
        <w:br/>
        <w:t xml:space="preserve">                      │         Final Synthesis               │</w:t>
        <w:br/>
        <w:t xml:space="preserve">                      │              (n = 18)                 │</w:t>
        <w:br/>
        <w:t xml:space="preserve">                      └───────────────────────────────────────┘</w:t>
        <w:br/>
      </w:r>
    </w:p>
    <w:p>
      <w:pPr>
        <w:pStyle w:val="Heading3"/>
      </w:pPr>
      <w:r>
        <w:t>3.2 Inclusion and Exclusion Criteria (PICO Framework)</w:t>
      </w:r>
    </w:p>
    <w:p>
      <w:r>
        <w:t>To maintain academic rigor, candidate studies were screened based on predefined PICO parameters: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pPr>
              <w:spacing w:after="20"/>
            </w:pPr>
            <w:r>
              <w:rPr>
                <w:b/>
                <w:sz w:val="16"/>
              </w:rPr>
              <w:t>PICO Element</w:t>
            </w:r>
          </w:p>
        </w:tc>
        <w:tc>
          <w:tcPr>
            <w:tcW w:type="dxa" w:w="3264"/>
          </w:tcPr>
          <w:p>
            <w:pPr>
              <w:spacing w:after="20"/>
            </w:pPr>
            <w:r>
              <w:rPr>
                <w:b/>
                <w:sz w:val="16"/>
              </w:rPr>
              <w:t>Inclusion Criteria</w:t>
            </w:r>
          </w:p>
        </w:tc>
        <w:tc>
          <w:tcPr>
            <w:tcW w:type="dxa" w:w="3264"/>
          </w:tcPr>
          <w:p>
            <w:pPr>
              <w:spacing w:after="20"/>
            </w:pPr>
            <w:r>
              <w:rPr>
                <w:b/>
                <w:sz w:val="16"/>
              </w:rPr>
              <w:t>Exclusion Criteria</w:t>
            </w:r>
          </w:p>
        </w:tc>
      </w:tr>
      <w:tr>
        <w:tc>
          <w:tcPr>
            <w:tcW w:type="dxa" w:w="3264"/>
          </w:tcPr>
          <w:p>
            <w:pPr>
              <w:spacing w:after="20"/>
            </w:pPr>
            <w:r>
              <w:rPr>
                <w:b/>
                <w:sz w:val="16"/>
              </w:rPr>
              <w:t>Population (P)</w:t>
            </w:r>
          </w:p>
        </w:tc>
        <w:tc>
          <w:tcPr>
            <w:tcW w:type="dxa" w:w="3264"/>
          </w:tcPr>
          <w:p>
            <w:pPr>
              <w:spacing w:after="20"/>
            </w:pPr>
            <w:r>
              <w:rPr>
                <w:sz w:val="16"/>
              </w:rPr>
              <w:t>Adult human subjects (\ge 18 years) with established ASCVD, Heart Failure, CKD, Obesity, or T2DM.</w:t>
            </w:r>
          </w:p>
        </w:tc>
        <w:tc>
          <w:tcPr>
            <w:tcW w:type="dxa" w:w="3264"/>
          </w:tcPr>
          <w:p>
            <w:pPr>
              <w:spacing w:after="20"/>
            </w:pPr>
            <w:r>
              <w:rPr>
                <w:sz w:val="16"/>
              </w:rPr>
              <w:t>Pediatric populations (&lt; 18 years), pregnant/lactating individuals, or end-stage kidney disease on hemodialysis at baseline.</w:t>
            </w:r>
          </w:p>
        </w:tc>
      </w:tr>
      <w:tr>
        <w:tc>
          <w:tcPr>
            <w:tcW w:type="dxa" w:w="3264"/>
          </w:tcPr>
          <w:p>
            <w:pPr>
              <w:spacing w:after="20"/>
            </w:pPr>
            <w:r>
              <w:rPr>
                <w:b/>
                <w:sz w:val="16"/>
              </w:rPr>
              <w:t>Intervention (I)</w:t>
            </w:r>
          </w:p>
        </w:tc>
        <w:tc>
          <w:tcPr>
            <w:tcW w:type="dxa" w:w="3264"/>
          </w:tcPr>
          <w:p>
            <w:pPr>
              <w:spacing w:after="20"/>
            </w:pPr>
            <w:r>
              <w:rPr>
                <w:sz w:val="16"/>
              </w:rPr>
              <w:t>Subcutaneous semaglutide (1.0 mg or 2.4 mg once weekly) or tirzepatide (5 mg, 10 mg, or 15 mg once weekly).</w:t>
            </w:r>
          </w:p>
        </w:tc>
        <w:tc>
          <w:tcPr>
            <w:tcW w:type="dxa" w:w="3264"/>
          </w:tcPr>
          <w:p>
            <w:pPr>
              <w:spacing w:after="20"/>
            </w:pPr>
            <w:r>
              <w:rPr>
                <w:sz w:val="16"/>
              </w:rPr>
              <w:t>Daily short-acting GLP-1 RAs (exenatide, lixisenatide), oral GLP-1 formulations (unless specified in sub-analyses), or unapproved compound mixtures.</w:t>
            </w:r>
          </w:p>
        </w:tc>
      </w:tr>
      <w:tr>
        <w:tc>
          <w:tcPr>
            <w:tcW w:type="dxa" w:w="3264"/>
          </w:tcPr>
          <w:p>
            <w:pPr>
              <w:spacing w:after="20"/>
            </w:pPr>
            <w:r>
              <w:rPr>
                <w:b/>
                <w:sz w:val="16"/>
              </w:rPr>
              <w:t>Comparator (C)</w:t>
            </w:r>
          </w:p>
        </w:tc>
        <w:tc>
          <w:tcPr>
            <w:tcW w:type="dxa" w:w="3264"/>
          </w:tcPr>
          <w:p>
            <w:pPr>
              <w:spacing w:after="20"/>
            </w:pPr>
            <w:r>
              <w:rPr>
                <w:sz w:val="16"/>
              </w:rPr>
              <w:t>Matching placebo added to standard of care, or active control (e.g., dulaglutide, metformin, insulin).</w:t>
            </w:r>
          </w:p>
        </w:tc>
        <w:tc>
          <w:tcPr>
            <w:tcW w:type="dxa" w:w="3264"/>
          </w:tcPr>
          <w:p>
            <w:pPr>
              <w:spacing w:after="20"/>
            </w:pPr>
            <w:r>
              <w:rPr>
                <w:sz w:val="16"/>
              </w:rPr>
              <w:t>Non-randomized observational cohorts or studies lacking concurrent control arms.</w:t>
            </w:r>
          </w:p>
        </w:tc>
      </w:tr>
      <w:tr>
        <w:tc>
          <w:tcPr>
            <w:tcW w:type="dxa" w:w="3264"/>
          </w:tcPr>
          <w:p>
            <w:pPr>
              <w:spacing w:after="20"/>
            </w:pPr>
            <w:r>
              <w:rPr>
                <w:b/>
                <w:sz w:val="16"/>
              </w:rPr>
              <w:t>Outcomes (O)</w:t>
            </w:r>
          </w:p>
        </w:tc>
        <w:tc>
          <w:tcPr>
            <w:tcW w:type="dxa" w:w="3264"/>
          </w:tcPr>
          <w:p>
            <w:pPr>
              <w:spacing w:after="20"/>
            </w:pPr>
            <w:r>
              <w:rPr>
                <w:sz w:val="16"/>
              </w:rPr>
              <w:t>Primary hard clinical endpoints: 3-point MACE (CV death, nonfatal MI, nonfatal stroke), composite renal failure events, all-cause mortality, or biopsy-proven liver fibrosis regression.</w:t>
            </w:r>
          </w:p>
        </w:tc>
        <w:tc>
          <w:tcPr>
            <w:tcW w:type="dxa" w:w="3264"/>
          </w:tcPr>
          <w:p>
            <w:pPr>
              <w:spacing w:after="20"/>
            </w:pPr>
            <w:r>
              <w:rPr>
                <w:sz w:val="16"/>
              </w:rPr>
              <w:t>Short-term trials (&lt; 24 weeks) evaluating purely laboratory biomarkers without clinical hard end-point tracking.</w:t>
            </w:r>
          </w:p>
        </w:tc>
      </w:tr>
    </w:tbl>
    <w:p/>
    <w:p>
      <w:pPr>
        <w:pStyle w:val="Heading3"/>
      </w:pPr>
      <w:r>
        <w:t>3.3 Data Extraction &amp; Risk of Bias Assessment</w:t>
      </w:r>
    </w:p>
    <w:p>
      <w:r>
        <w:t>Two independent reviewers extracted quantitative trial metrics, including baseline cohort demographics, hazard ratios (HR), 95% confidence intervals (CI), $p$-values, absolute risk reductions (ARR), and numbers needed to treat (NNT). Methodological quality and risk of bias were formally evaluated using the Cochrane Risk of Bias 2 (RoB 2) tool for randomized trials, evaluating:</w:t>
      </w:r>
    </w:p>
    <w:p>
      <w:pPr>
        <w:pStyle w:val="ListNumber"/>
      </w:pPr>
      <w:r>
        <w:t>Bias arising from the randomization process.</w:t>
      </w:r>
    </w:p>
    <w:p>
      <w:pPr>
        <w:pStyle w:val="ListNumber"/>
      </w:pPr>
      <w:r>
        <w:t>Bias due to deviations from intended interventions.</w:t>
      </w:r>
    </w:p>
    <w:p>
      <w:pPr>
        <w:pStyle w:val="ListNumber"/>
      </w:pPr>
      <w:r>
        <w:t>Bias due to missing outcome data.</w:t>
      </w:r>
    </w:p>
    <w:p>
      <w:pPr>
        <w:pStyle w:val="ListNumber"/>
      </w:pPr>
      <w:r>
        <w:t>Bias in measurement of the outcome.</w:t>
      </w:r>
    </w:p>
    <w:p>
      <w:pPr>
        <w:pStyle w:val="ListNumber"/>
      </w:pPr>
      <w:r>
        <w:t>Bias in selection of the reported result.</w:t>
      </w:r>
    </w:p>
    <w:p>
      <w:r>
        <w:t>All included landmark trials (SELECT, FLOW, SURPASS-CVOT) met low risk-of-bias parameters across all five domains due to double-blind design, intention-to-treat (ITT) analyses, and independent data monitoring committee oversight.</w:t>
      </w:r>
    </w:p>
    <w:p>
      <w:pPr>
        <w:pStyle w:val="Heading2"/>
      </w:pPr>
      <w:r>
        <w:t>4. Comprehensive Results and Evidence Synthesis</w:t>
      </w:r>
    </w:p>
    <w:p>
      <w:pPr>
        <w:pStyle w:val="Heading3"/>
      </w:pPr>
      <w:r>
        <w:t>4.1 Cardiovascular Endpoint Analysis: The SELECT Trial</w:t>
      </w:r>
    </w:p>
    <w:p>
      <w:r>
        <w:t>The SELECT trial (</w:t>
      </w:r>
      <w:r>
        <w:rPr>
          <w:i/>
        </w:rPr>
        <w:t>Semaglutide Effects on Cardiovascular Outcomes in People With Overweight or Obesity</w:t>
      </w:r>
      <w:r>
        <w:t>) evaluated the cardiaproteic actions of weekly subcutaneous semaglutide 2.4 mg in patients with pre-existing ASCVD and BMI $\ge 27 \text{ kg/m}^2$, without a history of diabetes.</w:t>
      </w:r>
    </w:p>
    <w:p>
      <w:pPr>
        <w:pStyle w:val="Heading3"/>
      </w:pPr>
      <w:r>
        <w:t>Trial Parameters</w:t>
      </w:r>
    </w:p>
    <w:p>
      <w:pPr>
        <w:pStyle w:val="ListBullet"/>
      </w:pPr>
      <w:r>
        <w:rPr>
          <w:b/>
        </w:rPr>
        <w:t>Sample Size:</w:t>
      </w:r>
      <w:r>
        <w:t xml:space="preserve"> $N = 17,604$ patients randomized $1:1$ across 804 sites in 41 countries.</w:t>
      </w:r>
    </w:p>
    <w:p>
      <w:pPr>
        <w:pStyle w:val="ListBullet"/>
      </w:pPr>
      <w:r>
        <w:rPr>
          <w:b/>
        </w:rPr>
        <w:t>Follow-up Duration:</w:t>
      </w:r>
      <w:r>
        <w:t xml:space="preserve"> Mean follow-up of $39.8 \pm 9.4$ months; mean duration of exposure to trial drug was $33.3 \pm 14.4$ months.</w:t>
      </w:r>
    </w:p>
    <w:p>
      <w:pPr>
        <w:pStyle w:val="ListBullet"/>
      </w:pPr>
      <w:r>
        <w:rPr>
          <w:b/>
        </w:rPr>
        <w:t>Baseline Characteristics:</w:t>
      </w:r>
      <w:r>
        <w:t xml:space="preserve"> Mean age $61.6 \pm 8.9$ years; $27.7\\%$ female; mean BMI $33.3 \pm 5.0 \text{ kg/m}^2$; $67.7\\%$ met criteria for obesity (BMI $\ge 30$). Baseline history of myocardial infarction was present in $76.3\\%$, stroke in $23.3\\%$, and peripheral artery disease in $8.6\\%$.</w:t>
      </w:r>
    </w:p>
    <w:p>
      <w:pPr>
        <w:spacing w:before="40" w:after="120"/>
        <w:ind w:left="288"/>
      </w:pPr>
      <w:r>
        <w:rPr>
          <w:rFonts w:ascii="Consolas" w:hAnsi="Consolas"/>
          <w:sz w:val="15"/>
        </w:rPr>
        <w:t xml:space="preserve">                       SELECT TRIAL: PRIMARY COMPOSITE OUTCOME (3-POINT MACE)</w:t>
        <w:br/>
        <w:t xml:space="preserve">                       ─────────────────────────────────────────────────────</w:t>
        <w:br/>
        <w:br/>
        <w:t xml:space="preserve">  10 % ┐</w:t>
        <w:br/>
        <w:t xml:space="preserve">       │                                                      Placebo (8.0%)</w:t>
        <w:br/>
        <w:t xml:space="preserve">   8 % ┤                                                  ┌─────────────────</w:t>
        <w:br/>
        <w:t xml:space="preserve">       │                                            ┌─────┘</w:t>
        <w:br/>
        <w:t xml:space="preserve">   6 % ┤                                      ┌─────┘</w:t>
        <w:br/>
        <w:t xml:space="preserve">       │                                ┌─────┘           Semaglutide 2.4 mg (6.5%)</w:t>
        <w:br/>
        <w:t xml:space="preserve">   4 % ┤                          ┌─────┴─────────────────</w:t>
        <w:br/>
        <w:t xml:space="preserve">       │                    ┌─────┘</w:t>
        <w:br/>
        <w:t xml:space="preserve">   2 % ┤              ┌─────┘</w:t>
        <w:br/>
        <w:t xml:space="preserve">       │        ┌─────┘</w:t>
        <w:br/>
        <w:t xml:space="preserve">   0 % └───┬────┴─────────┬───────────────┬───────────────┬───────────────┬───────</w:t>
        <w:br/>
        <w:t xml:space="preserve">           0              12              24              36              48</w:t>
        <w:br/>
        <w:t xml:space="preserve">                                         Months</w:t>
        <w:br/>
        <w:br/>
        <w:t xml:space="preserve">  Hazard Ratio = 0.80 (95% CI: 0.72–0.90) | Relative Risk Reduction = 20% | p &lt; 0.001</w:t>
        <w:br/>
      </w:r>
    </w:p>
    <w:p>
      <w:pPr>
        <w:pStyle w:val="Heading3"/>
      </w:pPr>
      <w:r>
        <w:t>Primary and Secondary Efficacy Endpoints</w:t>
      </w:r>
    </w:p>
    <w:p>
      <w:r>
        <w:t>Semaglutide 2.4 mg demonstrated superiority over placebo in preventing primary 3-point MACE events:</w:t>
      </w:r>
    </w:p>
    <w:p>
      <w:r>
        <w:t>$$\text{Primary 3-Point MACE Occurrence: } 6.5\\% \text{ (Semaglutide)} \text{ vs. } 8.0\\% \text{ (Placebo)}$$</w:t>
      </w:r>
    </w:p>
    <w:p>
      <w:r>
        <w:t>$$\text{Hazard Ratio (HR)} = 0.80 \quad (95\\% \text{ CI: } 0.72\text{--}0.90; \quad p &lt; 0.001)$$</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pPr>
              <w:spacing w:after="20"/>
            </w:pPr>
            <w:r>
              <w:rPr>
                <w:b/>
                <w:sz w:val="16"/>
              </w:rPr>
              <w:t>Endpoint / Subgroup</w:t>
            </w:r>
          </w:p>
        </w:tc>
        <w:tc>
          <w:tcPr>
            <w:tcW w:type="dxa" w:w="1958"/>
          </w:tcPr>
          <w:p>
            <w:pPr>
              <w:spacing w:after="20"/>
            </w:pPr>
            <w:r>
              <w:rPr>
                <w:b/>
                <w:sz w:val="16"/>
              </w:rPr>
              <w:t>Semaglutide 2.4 mg (n=8,803)</w:t>
            </w:r>
          </w:p>
        </w:tc>
        <w:tc>
          <w:tcPr>
            <w:tcW w:type="dxa" w:w="1958"/>
          </w:tcPr>
          <w:p>
            <w:pPr>
              <w:spacing w:after="20"/>
            </w:pPr>
            <w:r>
              <w:rPr>
                <w:b/>
                <w:sz w:val="16"/>
              </w:rPr>
              <w:t>Placebo (n=8,801)</w:t>
            </w:r>
          </w:p>
        </w:tc>
        <w:tc>
          <w:tcPr>
            <w:tcW w:type="dxa" w:w="1958"/>
          </w:tcPr>
          <w:p>
            <w:pPr>
              <w:spacing w:after="20"/>
            </w:pPr>
            <w:r>
              <w:rPr>
                <w:b/>
                <w:sz w:val="16"/>
              </w:rPr>
              <w:t>Hazard Ratio (95% CI)</w:t>
            </w:r>
          </w:p>
        </w:tc>
        <w:tc>
          <w:tcPr>
            <w:tcW w:type="dxa" w:w="1958"/>
          </w:tcPr>
          <w:p>
            <w:pPr>
              <w:spacing w:after="20"/>
            </w:pPr>
            <w:r>
              <w:rPr>
                <w:b/>
                <w:sz w:val="16"/>
              </w:rPr>
              <w:t>p-value</w:t>
            </w:r>
          </w:p>
        </w:tc>
      </w:tr>
      <w:tr>
        <w:tc>
          <w:tcPr>
            <w:tcW w:type="dxa" w:w="1958"/>
          </w:tcPr>
          <w:p>
            <w:pPr>
              <w:spacing w:after="20"/>
            </w:pPr>
            <w:r>
              <w:rPr>
                <w:b/>
                <w:sz w:val="16"/>
              </w:rPr>
              <w:t>Primary Composite MACE</w:t>
            </w:r>
          </w:p>
        </w:tc>
        <w:tc>
          <w:tcPr>
            <w:tcW w:type="dxa" w:w="1958"/>
          </w:tcPr>
          <w:p>
            <w:pPr>
              <w:spacing w:after="20"/>
            </w:pPr>
            <w:r>
              <w:rPr>
                <w:sz w:val="16"/>
              </w:rPr>
              <w:t>569 { (6.5\%)}</w:t>
            </w:r>
          </w:p>
        </w:tc>
        <w:tc>
          <w:tcPr>
            <w:tcW w:type="dxa" w:w="1958"/>
          </w:tcPr>
          <w:p>
            <w:pPr>
              <w:spacing w:after="20"/>
            </w:pPr>
            <w:r>
              <w:rPr>
                <w:sz w:val="16"/>
              </w:rPr>
              <w:t>701 { (8.0\%)}</w:t>
            </w:r>
          </w:p>
        </w:tc>
        <w:tc>
          <w:tcPr>
            <w:tcW w:type="dxa" w:w="1958"/>
          </w:tcPr>
          <w:p>
            <w:pPr>
              <w:spacing w:after="20"/>
            </w:pPr>
            <w:r>
              <w:rPr>
                <w:sz w:val="16"/>
              </w:rPr>
              <w:t>0.80 { (0.72--0.90)}</w:t>
            </w:r>
          </w:p>
        </w:tc>
        <w:tc>
          <w:tcPr>
            <w:tcW w:type="dxa" w:w="1958"/>
          </w:tcPr>
          <w:p>
            <w:pPr>
              <w:spacing w:after="20"/>
            </w:pPr>
            <w:r>
              <w:rPr>
                <w:sz w:val="16"/>
              </w:rPr>
              <w:t>&lt; 0.001</w:t>
            </w:r>
          </w:p>
        </w:tc>
      </w:tr>
      <w:tr>
        <w:tc>
          <w:tcPr>
            <w:tcW w:type="dxa" w:w="1958"/>
          </w:tcPr>
          <w:p>
            <w:pPr>
              <w:spacing w:after="20"/>
            </w:pPr>
            <w:r>
              <w:rPr>
                <w:b/>
                <w:sz w:val="16"/>
              </w:rPr>
              <w:t>Cardiovascular Death</w:t>
            </w:r>
          </w:p>
        </w:tc>
        <w:tc>
          <w:tcPr>
            <w:tcW w:type="dxa" w:w="1958"/>
          </w:tcPr>
          <w:p>
            <w:pPr>
              <w:spacing w:after="20"/>
            </w:pPr>
            <w:r>
              <w:rPr>
                <w:sz w:val="16"/>
              </w:rPr>
              <w:t>223 { (2.5\%)}</w:t>
            </w:r>
          </w:p>
        </w:tc>
        <w:tc>
          <w:tcPr>
            <w:tcW w:type="dxa" w:w="1958"/>
          </w:tcPr>
          <w:p>
            <w:pPr>
              <w:spacing w:after="20"/>
            </w:pPr>
            <w:r>
              <w:rPr>
                <w:sz w:val="16"/>
              </w:rPr>
              <w:t>262 { (3.0\%)}</w:t>
            </w:r>
          </w:p>
        </w:tc>
        <w:tc>
          <w:tcPr>
            <w:tcW w:type="dxa" w:w="1958"/>
          </w:tcPr>
          <w:p>
            <w:pPr>
              <w:spacing w:after="20"/>
            </w:pPr>
            <w:r>
              <w:rPr>
                <w:sz w:val="16"/>
              </w:rPr>
              <w:t>0.85 { (0.71--1.01)}</w:t>
            </w:r>
          </w:p>
        </w:tc>
        <w:tc>
          <w:tcPr>
            <w:tcW w:type="dxa" w:w="1958"/>
          </w:tcPr>
          <w:p>
            <w:pPr>
              <w:spacing w:after="20"/>
            </w:pPr>
            <w:r>
              <w:rPr>
                <w:sz w:val="16"/>
              </w:rPr>
              <w:t>0.065</w:t>
            </w:r>
          </w:p>
        </w:tc>
      </w:tr>
      <w:tr>
        <w:tc>
          <w:tcPr>
            <w:tcW w:type="dxa" w:w="1958"/>
          </w:tcPr>
          <w:p>
            <w:pPr>
              <w:spacing w:after="20"/>
            </w:pPr>
            <w:r>
              <w:rPr>
                <w:b/>
                <w:sz w:val="16"/>
              </w:rPr>
              <w:t>Nonfatal Myocardial Infarction</w:t>
            </w:r>
          </w:p>
        </w:tc>
        <w:tc>
          <w:tcPr>
            <w:tcW w:type="dxa" w:w="1958"/>
          </w:tcPr>
          <w:p>
            <w:pPr>
              <w:spacing w:after="20"/>
            </w:pPr>
            <w:r>
              <w:rPr>
                <w:sz w:val="16"/>
              </w:rPr>
              <w:t>242 { (2.7\%)}</w:t>
            </w:r>
          </w:p>
        </w:tc>
        <w:tc>
          <w:tcPr>
            <w:tcW w:type="dxa" w:w="1958"/>
          </w:tcPr>
          <w:p>
            <w:pPr>
              <w:spacing w:after="20"/>
            </w:pPr>
            <w:r>
              <w:rPr>
                <w:sz w:val="16"/>
              </w:rPr>
              <w:t>310 { (3.5\%)}</w:t>
            </w:r>
          </w:p>
        </w:tc>
        <w:tc>
          <w:tcPr>
            <w:tcW w:type="dxa" w:w="1958"/>
          </w:tcPr>
          <w:p>
            <w:pPr>
              <w:spacing w:after="20"/>
            </w:pPr>
            <w:r>
              <w:rPr>
                <w:sz w:val="16"/>
              </w:rPr>
              <w:t>0.72 { (0.61--0.85)}</w:t>
            </w:r>
          </w:p>
        </w:tc>
        <w:tc>
          <w:tcPr>
            <w:tcW w:type="dxa" w:w="1958"/>
          </w:tcPr>
          <w:p>
            <w:pPr>
              <w:spacing w:after="20"/>
            </w:pPr>
            <w:r>
              <w:rPr>
                <w:sz w:val="16"/>
              </w:rPr>
              <w:t>&lt; 0.001</w:t>
            </w:r>
          </w:p>
        </w:tc>
      </w:tr>
      <w:tr>
        <w:tc>
          <w:tcPr>
            <w:tcW w:type="dxa" w:w="1958"/>
          </w:tcPr>
          <w:p>
            <w:pPr>
              <w:spacing w:after="20"/>
            </w:pPr>
            <w:r>
              <w:rPr>
                <w:b/>
                <w:sz w:val="16"/>
              </w:rPr>
              <w:t>Nonfatal Stroke</w:t>
            </w:r>
          </w:p>
        </w:tc>
        <w:tc>
          <w:tcPr>
            <w:tcW w:type="dxa" w:w="1958"/>
          </w:tcPr>
          <w:p>
            <w:pPr>
              <w:spacing w:after="20"/>
            </w:pPr>
            <w:r>
              <w:rPr>
                <w:sz w:val="16"/>
              </w:rPr>
              <w:t>152 { (1.7\%)}</w:t>
            </w:r>
          </w:p>
        </w:tc>
        <w:tc>
          <w:tcPr>
            <w:tcW w:type="dxa" w:w="1958"/>
          </w:tcPr>
          <w:p>
            <w:pPr>
              <w:spacing w:after="20"/>
            </w:pPr>
            <w:r>
              <w:rPr>
                <w:sz w:val="16"/>
              </w:rPr>
              <w:t>186 { (2.1\%)}</w:t>
            </w:r>
          </w:p>
        </w:tc>
        <w:tc>
          <w:tcPr>
            <w:tcW w:type="dxa" w:w="1958"/>
          </w:tcPr>
          <w:p>
            <w:pPr>
              <w:spacing w:after="20"/>
            </w:pPr>
            <w:r>
              <w:rPr>
                <w:sz w:val="16"/>
              </w:rPr>
              <w:t>0.81 { (0.65--1.00)}</w:t>
            </w:r>
          </w:p>
        </w:tc>
        <w:tc>
          <w:tcPr>
            <w:tcW w:type="dxa" w:w="1958"/>
          </w:tcPr>
          <w:p>
            <w:pPr>
              <w:spacing w:after="20"/>
            </w:pPr>
            <w:r>
              <w:rPr>
                <w:sz w:val="16"/>
              </w:rPr>
              <w:t>0.052</w:t>
            </w:r>
          </w:p>
        </w:tc>
      </w:tr>
      <w:tr>
        <w:tc>
          <w:tcPr>
            <w:tcW w:type="dxa" w:w="1958"/>
          </w:tcPr>
          <w:p>
            <w:pPr>
              <w:spacing w:after="20"/>
            </w:pPr>
            <w:r>
              <w:rPr>
                <w:b/>
                <w:sz w:val="16"/>
              </w:rPr>
              <w:t>Heart Failure Composite Endpoint</w:t>
            </w:r>
          </w:p>
        </w:tc>
        <w:tc>
          <w:tcPr>
            <w:tcW w:type="dxa" w:w="1958"/>
          </w:tcPr>
          <w:p>
            <w:pPr>
              <w:spacing w:after="20"/>
            </w:pPr>
            <w:r>
              <w:rPr>
                <w:sz w:val="16"/>
              </w:rPr>
              <w:t>285 { (3.2\%)}</w:t>
            </w:r>
          </w:p>
        </w:tc>
        <w:tc>
          <w:tcPr>
            <w:tcW w:type="dxa" w:w="1958"/>
          </w:tcPr>
          <w:p>
            <w:pPr>
              <w:spacing w:after="20"/>
            </w:pPr>
            <w:r>
              <w:rPr>
                <w:sz w:val="16"/>
              </w:rPr>
              <w:t>348 { (4.0\%)}</w:t>
            </w:r>
          </w:p>
        </w:tc>
        <w:tc>
          <w:tcPr>
            <w:tcW w:type="dxa" w:w="1958"/>
          </w:tcPr>
          <w:p>
            <w:pPr>
              <w:spacing w:after="20"/>
            </w:pPr>
            <w:r>
              <w:rPr>
                <w:sz w:val="16"/>
              </w:rPr>
              <w:t>0.82 { (0.70--0.96)}</w:t>
            </w:r>
          </w:p>
        </w:tc>
        <w:tc>
          <w:tcPr>
            <w:tcW w:type="dxa" w:w="1958"/>
          </w:tcPr>
          <w:p>
            <w:pPr>
              <w:spacing w:after="20"/>
            </w:pPr>
            <w:r>
              <w:rPr>
                <w:sz w:val="16"/>
              </w:rPr>
              <w:t>0.014</w:t>
            </w:r>
          </w:p>
        </w:tc>
      </w:tr>
      <w:tr>
        <w:tc>
          <w:tcPr>
            <w:tcW w:type="dxa" w:w="1958"/>
          </w:tcPr>
          <w:p>
            <w:pPr>
              <w:spacing w:after="20"/>
            </w:pPr>
            <w:r>
              <w:rPr>
                <w:b/>
                <w:sz w:val="16"/>
              </w:rPr>
              <w:t>All-Cause Mortality</w:t>
            </w:r>
          </w:p>
        </w:tc>
        <w:tc>
          <w:tcPr>
            <w:tcW w:type="dxa" w:w="1958"/>
          </w:tcPr>
          <w:p>
            <w:pPr>
              <w:spacing w:after="20"/>
            </w:pPr>
            <w:r>
              <w:rPr>
                <w:sz w:val="16"/>
              </w:rPr>
              <w:t>375 { (4.3\%)}</w:t>
            </w:r>
          </w:p>
        </w:tc>
        <w:tc>
          <w:tcPr>
            <w:tcW w:type="dxa" w:w="1958"/>
          </w:tcPr>
          <w:p>
            <w:pPr>
              <w:spacing w:after="20"/>
            </w:pPr>
            <w:r>
              <w:rPr>
                <w:sz w:val="16"/>
              </w:rPr>
              <w:t>452 { (5.1\%)}</w:t>
            </w:r>
          </w:p>
        </w:tc>
        <w:tc>
          <w:tcPr>
            <w:tcW w:type="dxa" w:w="1958"/>
          </w:tcPr>
          <w:p>
            <w:pPr>
              <w:spacing w:after="20"/>
            </w:pPr>
            <w:r>
              <w:rPr>
                <w:sz w:val="16"/>
              </w:rPr>
              <w:t>0.81 { (0.71--0.93)}</w:t>
            </w:r>
          </w:p>
        </w:tc>
        <w:tc>
          <w:tcPr>
            <w:tcW w:type="dxa" w:w="1958"/>
          </w:tcPr>
          <w:p>
            <w:pPr>
              <w:spacing w:after="20"/>
            </w:pPr>
            <w:r>
              <w:rPr>
                <w:sz w:val="16"/>
              </w:rPr>
              <w:t>0.002</w:t>
            </w:r>
          </w:p>
        </w:tc>
      </w:tr>
    </w:tbl>
    <w:p/>
    <w:p>
      <w:r>
        <w:t>Crucially, the divergence in MACE curves between semaglutide and placebo became statistically apparent within the first 60 days of treatment—long before maximal body weight reduction was reached. Subgroup analyses revealed that cardiaprotection was consistent across baseline BMI strata ($&lt;30$, $30\text{--}35$, $\ge 35 \text{ kg/m}^2$), age groups, and baseline renal function levels, confirming that semaglutide's cardiovascular benefit occurs independently of baseline weight loss.</w:t>
      </w:r>
    </w:p>
    <w:p>
      <w:pPr>
        <w:pStyle w:val="Heading3"/>
      </w:pPr>
      <w:r>
        <w:t>4.2 Renal Protection Analysis: The FLOW Trial</w:t>
      </w:r>
    </w:p>
    <w:p>
      <w:r>
        <w:t>The FLOW trial (</w:t>
      </w:r>
      <w:r>
        <w:rPr>
          <w:i/>
        </w:rPr>
        <w:t>Evaluate Renal Function with Semaglutide Once Weekly</w:t>
      </w:r>
      <w:r>
        <w:t>) was the first dedicated, double-blind, randomized outcome trial designed to evaluate a GLP-1 RA on primary major adverse kidney events in patients with T2DM and chronic kidney disease.</w:t>
      </w:r>
    </w:p>
    <w:p>
      <w:pPr>
        <w:pStyle w:val="Heading3"/>
      </w:pPr>
      <w:r>
        <w:t>Trial Parameters</w:t>
      </w:r>
    </w:p>
    <w:p>
      <w:pPr>
        <w:pStyle w:val="ListBullet"/>
      </w:pPr>
      <w:r>
        <w:rPr>
          <w:b/>
        </w:rPr>
        <w:t>Sample Size:</w:t>
      </w:r>
      <w:r>
        <w:t xml:space="preserve"> $N = 3,533$ randomized participants ($1,767$ semaglutide 1.0 mg; $1,766$ placebo).</w:t>
      </w:r>
    </w:p>
    <w:p>
      <w:pPr>
        <w:pStyle w:val="ListBullet"/>
      </w:pPr>
      <w:r>
        <w:rPr>
          <w:b/>
        </w:rPr>
        <w:t>Inclusion Criteria:</w:t>
      </w:r>
      <w:r>
        <w:t xml:space="preserve"> T2DM with eGFR $\ge 50 \text{ mL/min/1.73m}^2$ and Urinary Albumin-to-Creatinine Ratio (UACR) $300\text{--}5000 \text{ mg/g}$, or eGFR $25\text{--}50 \text{ mL/min/1.73m}^2$ and UACR $100\text{--}5000 \text{ mg/g}$. Over 95% of patients were receiving background RAAS blockade.</w:t>
      </w:r>
    </w:p>
    <w:p>
      <w:pPr>
        <w:pStyle w:val="ListBullet"/>
      </w:pPr>
      <w:r>
        <w:rPr>
          <w:b/>
        </w:rPr>
        <w:t>Trial Status:</w:t>
      </w:r>
      <w:r>
        <w:t xml:space="preserve"> Halted early due to prespecified efficacy criteria after an interim analysis by the independent Data Safety Monitoring Board. Median follow-up was 3.4 years.</w:t>
      </w:r>
    </w:p>
    <w:p>
      <w:pPr>
        <w:pStyle w:val="Heading3"/>
      </w:pPr>
      <w:r>
        <w:t>Efficacy Findings</w:t>
      </w:r>
    </w:p>
    <w:p>
      <w:r>
        <w:t>The primary composite kidney endpoint was defined as: onset of kidney failure (persistent eGFR $&lt;15 \text{ mL/min/1.73m}^2$, chronic dialysis, or kidney transplantation), a sustained $\ge 50\\%$ reduction in eGFR from baseline, or death from kidney or cardiovascular causes.</w:t>
      </w:r>
    </w:p>
    <w:p>
      <w:pPr>
        <w:spacing w:before="40" w:after="120"/>
        <w:ind w:left="288"/>
      </w:pPr>
      <w:r>
        <w:rPr>
          <w:rFonts w:ascii="Consolas" w:hAnsi="Consolas"/>
          <w:sz w:val="15"/>
        </w:rPr>
        <w:t xml:space="preserve">                        FLOW TRIAL: PRIMARY COMPOSITE RENAL ENDPOINT</w:t>
        <w:br/>
        <w:t xml:space="preserve">                        ───────────────────────────────────────────</w:t>
        <w:br/>
        <w:br/>
        <w:t xml:space="preserve">  20 % ┐</w:t>
        <w:br/>
        <w:t xml:space="preserve">       │                                                      Placebo (23.2%)</w:t>
        <w:br/>
        <w:t xml:space="preserve">  15 % ┤                                                  ┌─────────────────</w:t>
        <w:br/>
        <w:t xml:space="preserve">       │                                            ┌─────┘</w:t>
        <w:br/>
        <w:t xml:space="preserve">  10 % ┤                                      ┌─────┘</w:t>
        <w:br/>
        <w:t xml:space="preserve">       │                                ┌─────┴───────────────── Semaglutide 1.0 mg (18.7%)</w:t>
        <w:br/>
        <w:t xml:space="preserve">   5 % ┤                          ┌─────┘</w:t>
        <w:br/>
        <w:t xml:space="preserve">       │                    ┌─────┘</w:t>
        <w:br/>
        <w:t xml:space="preserve">   0 % └───┬────────────────┴───────────────┬───────────────┬───────────────┬───────</w:t>
        <w:br/>
        <w:t xml:space="preserve">           0                                1               2               3</w:t>
        <w:br/>
        <w:t xml:space="preserve">                                          Years</w:t>
        <w:br/>
        <w:br/>
        <w:t xml:space="preserve">  Hazard Ratio = 0.76 (95% CI: 0.66–0.88) | Relative Risk Reduction = 24% | p = 0.0003</w:t>
        <w:br/>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pPr>
              <w:spacing w:after="20"/>
            </w:pPr>
            <w:r>
              <w:rPr>
                <w:b/>
                <w:sz w:val="16"/>
              </w:rPr>
              <w:t>Kidney Outcome Metric</w:t>
            </w:r>
          </w:p>
        </w:tc>
        <w:tc>
          <w:tcPr>
            <w:tcW w:type="dxa" w:w="1958"/>
          </w:tcPr>
          <w:p>
            <w:pPr>
              <w:spacing w:after="20"/>
            </w:pPr>
            <w:r>
              <w:rPr>
                <w:b/>
                <w:sz w:val="16"/>
              </w:rPr>
              <w:t>Semaglutide 1.0 mg (n=1,767)</w:t>
            </w:r>
          </w:p>
        </w:tc>
        <w:tc>
          <w:tcPr>
            <w:tcW w:type="dxa" w:w="1958"/>
          </w:tcPr>
          <w:p>
            <w:pPr>
              <w:spacing w:after="20"/>
            </w:pPr>
            <w:r>
              <w:rPr>
                <w:b/>
                <w:sz w:val="16"/>
              </w:rPr>
              <w:t>Placebo (n=1,766)</w:t>
            </w:r>
          </w:p>
        </w:tc>
        <w:tc>
          <w:tcPr>
            <w:tcW w:type="dxa" w:w="1958"/>
          </w:tcPr>
          <w:p>
            <w:pPr>
              <w:spacing w:after="20"/>
            </w:pPr>
            <w:r>
              <w:rPr>
                <w:b/>
                <w:sz w:val="16"/>
              </w:rPr>
              <w:t>HR / Difference (95% CI)</w:t>
            </w:r>
          </w:p>
        </w:tc>
        <w:tc>
          <w:tcPr>
            <w:tcW w:type="dxa" w:w="1958"/>
          </w:tcPr>
          <w:p>
            <w:pPr>
              <w:spacing w:after="20"/>
            </w:pPr>
            <w:r>
              <w:rPr>
                <w:b/>
                <w:sz w:val="16"/>
              </w:rPr>
              <w:t>p-value</w:t>
            </w:r>
          </w:p>
        </w:tc>
      </w:tr>
      <w:tr>
        <w:tc>
          <w:tcPr>
            <w:tcW w:type="dxa" w:w="1958"/>
          </w:tcPr>
          <w:p>
            <w:pPr>
              <w:spacing w:after="20"/>
            </w:pPr>
            <w:r>
              <w:rPr>
                <w:b/>
                <w:sz w:val="16"/>
              </w:rPr>
              <w:t>Primary Composite Renal Endpoint</w:t>
            </w:r>
          </w:p>
        </w:tc>
        <w:tc>
          <w:tcPr>
            <w:tcW w:type="dxa" w:w="1958"/>
          </w:tcPr>
          <w:p>
            <w:pPr>
              <w:spacing w:after="20"/>
            </w:pPr>
            <w:r>
              <w:rPr>
                <w:sz w:val="16"/>
              </w:rPr>
              <w:t>331 { (18.7\%)}</w:t>
            </w:r>
          </w:p>
        </w:tc>
        <w:tc>
          <w:tcPr>
            <w:tcW w:type="dxa" w:w="1958"/>
          </w:tcPr>
          <w:p>
            <w:pPr>
              <w:spacing w:after="20"/>
            </w:pPr>
            <w:r>
              <w:rPr>
                <w:sz w:val="16"/>
              </w:rPr>
              <w:t>410 { (23.2\%)}</w:t>
            </w:r>
          </w:p>
        </w:tc>
        <w:tc>
          <w:tcPr>
            <w:tcW w:type="dxa" w:w="1958"/>
          </w:tcPr>
          <w:p>
            <w:pPr>
              <w:spacing w:after="20"/>
            </w:pPr>
            <w:r>
              <w:rPr>
                <w:sz w:val="16"/>
              </w:rPr>
              <w:t>{HR } 0.76 { (0.66--0.88)}</w:t>
            </w:r>
          </w:p>
        </w:tc>
        <w:tc>
          <w:tcPr>
            <w:tcW w:type="dxa" w:w="1958"/>
          </w:tcPr>
          <w:p>
            <w:pPr>
              <w:spacing w:after="20"/>
            </w:pPr>
            <w:r>
              <w:rPr>
                <w:sz w:val="16"/>
              </w:rPr>
              <w:t>0.0003</w:t>
            </w:r>
          </w:p>
        </w:tc>
      </w:tr>
      <w:tr>
        <w:tc>
          <w:tcPr>
            <w:tcW w:type="dxa" w:w="1958"/>
          </w:tcPr>
          <w:p>
            <w:pPr>
              <w:spacing w:after="20"/>
            </w:pPr>
            <w:r>
              <w:rPr>
                <w:b/>
                <w:sz w:val="16"/>
              </w:rPr>
              <w:t>Kidney-Specific Composite</w:t>
            </w:r>
          </w:p>
        </w:tc>
        <w:tc>
          <w:tcPr>
            <w:tcW w:type="dxa" w:w="1958"/>
          </w:tcPr>
          <w:p>
            <w:pPr>
              <w:spacing w:after="20"/>
            </w:pPr>
            <w:r>
              <w:rPr>
                <w:sz w:val="16"/>
              </w:rPr>
              <w:t>227 { (12.8\%)}</w:t>
            </w:r>
          </w:p>
        </w:tc>
        <w:tc>
          <w:tcPr>
            <w:tcW w:type="dxa" w:w="1958"/>
          </w:tcPr>
          <w:p>
            <w:pPr>
              <w:spacing w:after="20"/>
            </w:pPr>
            <w:r>
              <w:rPr>
                <w:sz w:val="16"/>
              </w:rPr>
              <w:t>279 { (15.8\%)}</w:t>
            </w:r>
          </w:p>
        </w:tc>
        <w:tc>
          <w:tcPr>
            <w:tcW w:type="dxa" w:w="1958"/>
          </w:tcPr>
          <w:p>
            <w:pPr>
              <w:spacing w:after="20"/>
            </w:pPr>
            <w:r>
              <w:rPr>
                <w:sz w:val="16"/>
              </w:rPr>
              <w:t>{HR } 0.79 { (0.66--0.94)}</w:t>
            </w:r>
          </w:p>
        </w:tc>
        <w:tc>
          <w:tcPr>
            <w:tcW w:type="dxa" w:w="1958"/>
          </w:tcPr>
          <w:p>
            <w:pPr>
              <w:spacing w:after="20"/>
            </w:pPr>
            <w:r>
              <w:rPr>
                <w:sz w:val="16"/>
              </w:rPr>
              <w:t>0.008</w:t>
            </w:r>
          </w:p>
        </w:tc>
      </w:tr>
      <w:tr>
        <w:tc>
          <w:tcPr>
            <w:tcW w:type="dxa" w:w="1958"/>
          </w:tcPr>
          <w:p>
            <w:pPr>
              <w:spacing w:after="20"/>
            </w:pPr>
            <w:r>
              <w:rPr>
                <w:b/>
                <w:sz w:val="16"/>
              </w:rPr>
              <w:t>Annual eGFR Slope Loss (Total)</w:t>
            </w:r>
          </w:p>
        </w:tc>
        <w:tc>
          <w:tcPr>
            <w:tcW w:type="dxa" w:w="1958"/>
          </w:tcPr>
          <w:p>
            <w:pPr>
              <w:spacing w:after="20"/>
            </w:pPr>
            <w:r>
              <w:rPr>
                <w:sz w:val="16"/>
              </w:rPr>
              <w:t>-2.19 { mL/min/yr}</w:t>
            </w:r>
          </w:p>
        </w:tc>
        <w:tc>
          <w:tcPr>
            <w:tcW w:type="dxa" w:w="1958"/>
          </w:tcPr>
          <w:p>
            <w:pPr>
              <w:spacing w:after="20"/>
            </w:pPr>
            <w:r>
              <w:rPr>
                <w:sz w:val="16"/>
              </w:rPr>
              <w:t>-3.35 { mL/min/yr}</w:t>
            </w:r>
          </w:p>
        </w:tc>
        <w:tc>
          <w:tcPr>
            <w:tcW w:type="dxa" w:w="1958"/>
          </w:tcPr>
          <w:p>
            <w:pPr>
              <w:spacing w:after="20"/>
            </w:pPr>
            <w:r>
              <w:rPr>
                <w:sz w:val="16"/>
              </w:rPr>
              <w:t>+1.16 { mL/min/yr (0.86--1.47)}</w:t>
            </w:r>
          </w:p>
        </w:tc>
        <w:tc>
          <w:tcPr>
            <w:tcW w:type="dxa" w:w="1958"/>
          </w:tcPr>
          <w:p>
            <w:pPr>
              <w:spacing w:after="20"/>
            </w:pPr>
            <w:r>
              <w:rPr>
                <w:sz w:val="16"/>
              </w:rPr>
              <w:t>&lt; 0.001</w:t>
            </w:r>
          </w:p>
        </w:tc>
      </w:tr>
      <w:tr>
        <w:tc>
          <w:tcPr>
            <w:tcW w:type="dxa" w:w="1958"/>
          </w:tcPr>
          <w:p>
            <w:pPr>
              <w:spacing w:after="20"/>
            </w:pPr>
            <w:r>
              <w:rPr>
                <w:b/>
                <w:sz w:val="16"/>
              </w:rPr>
              <w:t>UACR Reduction at 1 Year</w:t>
            </w:r>
          </w:p>
        </w:tc>
        <w:tc>
          <w:tcPr>
            <w:tcW w:type="dxa" w:w="1958"/>
          </w:tcPr>
          <w:p>
            <w:pPr>
              <w:spacing w:after="20"/>
            </w:pPr>
            <w:r>
              <w:rPr>
                <w:sz w:val="16"/>
              </w:rPr>
              <w:t>-38.1\%</w:t>
            </w:r>
          </w:p>
        </w:tc>
        <w:tc>
          <w:tcPr>
            <w:tcW w:type="dxa" w:w="1958"/>
          </w:tcPr>
          <w:p>
            <w:pPr>
              <w:spacing w:after="20"/>
            </w:pPr>
            <w:r>
              <w:rPr>
                <w:sz w:val="16"/>
              </w:rPr>
              <w:t>-6.2\%</w:t>
            </w:r>
          </w:p>
        </w:tc>
        <w:tc>
          <w:tcPr>
            <w:tcW w:type="dxa" w:w="1958"/>
          </w:tcPr>
          <w:p>
            <w:pPr>
              <w:spacing w:after="20"/>
            </w:pPr>
            <w:r>
              <w:rPr>
                <w:sz w:val="16"/>
              </w:rPr>
              <w:t>{Ratio } 0.68 { (0.64--0.72)}</w:t>
            </w:r>
          </w:p>
        </w:tc>
        <w:tc>
          <w:tcPr>
            <w:tcW w:type="dxa" w:w="1958"/>
          </w:tcPr>
          <w:p>
            <w:pPr>
              <w:spacing w:after="20"/>
            </w:pPr>
            <w:r>
              <w:rPr>
                <w:sz w:val="16"/>
              </w:rPr>
              <w:t>&lt; 0.001</w:t>
            </w:r>
          </w:p>
        </w:tc>
      </w:tr>
      <w:tr>
        <w:tc>
          <w:tcPr>
            <w:tcW w:type="dxa" w:w="1958"/>
          </w:tcPr>
          <w:p>
            <w:pPr>
              <w:spacing w:after="20"/>
            </w:pPr>
            <w:r>
              <w:rPr>
                <w:b/>
                <w:sz w:val="16"/>
              </w:rPr>
              <w:t>Cardiovascular Death</w:t>
            </w:r>
          </w:p>
        </w:tc>
        <w:tc>
          <w:tcPr>
            <w:tcW w:type="dxa" w:w="1958"/>
          </w:tcPr>
          <w:p>
            <w:pPr>
              <w:spacing w:after="20"/>
            </w:pPr>
            <w:r>
              <w:rPr>
                <w:sz w:val="16"/>
              </w:rPr>
              <w:t>130  (7.4\%)</w:t>
            </w:r>
          </w:p>
        </w:tc>
        <w:tc>
          <w:tcPr>
            <w:tcW w:type="dxa" w:w="1958"/>
          </w:tcPr>
          <w:p>
            <w:pPr>
              <w:spacing w:after="20"/>
            </w:pPr>
            <w:r>
              <w:rPr>
                <w:sz w:val="16"/>
              </w:rPr>
              <w:t>178  (10.1\%)</w:t>
            </w:r>
          </w:p>
        </w:tc>
        <w:tc>
          <w:tcPr>
            <w:tcW w:type="dxa" w:w="1958"/>
          </w:tcPr>
          <w:p>
            <w:pPr>
              <w:spacing w:after="20"/>
            </w:pPr>
            <w:r>
              <w:rPr>
                <w:sz w:val="16"/>
              </w:rPr>
              <w:t>{HR } 0.71 { (0.56--0.89)}</w:t>
            </w:r>
          </w:p>
        </w:tc>
        <w:tc>
          <w:tcPr>
            <w:tcW w:type="dxa" w:w="1958"/>
          </w:tcPr>
          <w:p>
            <w:pPr>
              <w:spacing w:after="20"/>
            </w:pPr>
            <w:r>
              <w:rPr>
                <w:sz w:val="16"/>
              </w:rPr>
              <w:t>0.003</w:t>
            </w:r>
          </w:p>
        </w:tc>
      </w:tr>
      <w:tr>
        <w:tc>
          <w:tcPr>
            <w:tcW w:type="dxa" w:w="1958"/>
          </w:tcPr>
          <w:p>
            <w:pPr>
              <w:spacing w:after="20"/>
            </w:pPr>
            <w:r>
              <w:rPr>
                <w:b/>
                <w:sz w:val="16"/>
              </w:rPr>
              <w:t>All-Cause Mortality</w:t>
            </w:r>
          </w:p>
        </w:tc>
        <w:tc>
          <w:tcPr>
            <w:tcW w:type="dxa" w:w="1958"/>
          </w:tcPr>
          <w:p>
            <w:pPr>
              <w:spacing w:after="20"/>
            </w:pPr>
            <w:r>
              <w:rPr>
                <w:sz w:val="16"/>
              </w:rPr>
              <w:t>227 { (12.8\%)}</w:t>
            </w:r>
          </w:p>
        </w:tc>
        <w:tc>
          <w:tcPr>
            <w:tcW w:type="dxa" w:w="1958"/>
          </w:tcPr>
          <w:p>
            <w:pPr>
              <w:spacing w:after="20"/>
            </w:pPr>
            <w:r>
              <w:rPr>
                <w:sz w:val="16"/>
              </w:rPr>
              <w:t>279 { (15.8\%)}</w:t>
            </w:r>
          </w:p>
        </w:tc>
        <w:tc>
          <w:tcPr>
            <w:tcW w:type="dxa" w:w="1958"/>
          </w:tcPr>
          <w:p>
            <w:pPr>
              <w:spacing w:after="20"/>
            </w:pPr>
            <w:r>
              <w:rPr>
                <w:sz w:val="16"/>
              </w:rPr>
              <w:t>{HR } 0.80 { (0.67--0.95)}</w:t>
            </w:r>
          </w:p>
        </w:tc>
        <w:tc>
          <w:tcPr>
            <w:tcW w:type="dxa" w:w="1958"/>
          </w:tcPr>
          <w:p>
            <w:pPr>
              <w:spacing w:after="20"/>
            </w:pPr>
            <w:r>
              <w:rPr>
                <w:sz w:val="16"/>
              </w:rPr>
              <w:t>0.012</w:t>
            </w:r>
          </w:p>
        </w:tc>
      </w:tr>
    </w:tbl>
    <w:p/>
    <w:p>
      <w:r>
        <w:t>Semaglutide reduced the decline in eGFR slope by $1.16 \text{ mL/min/1.73m}^2/\text{year}$ compared to placebo. This preservation of renal function was observed regardless of whether patients were taking background SGLT2 inhibitors at baseline.</w:t>
      </w:r>
    </w:p>
    <w:p>
      <w:pPr>
        <w:pStyle w:val="Heading3"/>
      </w:pPr>
      <w:r>
        <w:t>4.3 Head-to-Head and Dual Agonist Trials: Tirzepatide (SURPASS &amp; SURPASS-CVOT)</w:t>
      </w:r>
    </w:p>
    <w:p>
      <w:r>
        <w:t>Dual GIP/GLP-1 receptor agonism with tirzepatide produces larger reductions in glycated hemoglobin ($\text{HbA1c}$) and total body weight compared to selective GLP-1 monotherapy.</w:t>
      </w:r>
    </w:p>
    <w:p>
      <w:pPr>
        <w:pStyle w:val="ListBullet"/>
      </w:pPr>
      <w:r>
        <w:rPr>
          <w:b/>
        </w:rPr>
        <w:t>SURPASS-2:</w:t>
      </w:r>
      <w:r>
        <w:t xml:space="preserve"> In a 40-week head-to-head trial against semaglutide 1.0 mg in T2DM patients, tirzepatide 15 mg achieved superior $\text{HbA1c}$ reductions ($-2.30\\%$ vs. $-1.86\\%$) and body weight loss ($-11.2 \text{ kg}$ vs. $-5.7 \text{ kg}$).</w:t>
      </w:r>
    </w:p>
    <w:p>
      <w:pPr>
        <w:pStyle w:val="ListBullet"/>
      </w:pPr>
      <w:r>
        <w:rPr>
          <w:b/>
        </w:rPr>
        <w:t>SURPASS-CVOT:</w:t>
      </w:r>
      <w:r>
        <w:t xml:space="preserve"> Evaluated tirzepatide against active dulaglutide 1.5 mg in $&gt;13,000$ high-risk T2DM participants. Tirzepatide demonstrated statistical non-inferiority and superior performance in secondary metabolic and renal biomarker measures.</w:t>
      </w:r>
    </w:p>
    <w:p>
      <w:pPr>
        <w:spacing w:before="40" w:after="120"/>
        <w:ind w:left="288"/>
      </w:pPr>
      <w:r>
        <w:rPr>
          <w:rFonts w:ascii="Consolas" w:hAnsi="Consolas"/>
          <w:sz w:val="15"/>
        </w:rPr>
        <w:t xml:space="preserve">             WEIGHT AND HbA1c COMPARATIVE REDUCTIONS ACROSS AGENTS</w:t>
        <w:br/>
        <w:t xml:space="preserve">             ────────────────────────────────────────────────────</w:t>
        <w:br/>
        <w:br/>
        <w:t xml:space="preserve">  Weight Reduction (%)                   HbA1c Reduction (%)</w:t>
        <w:br/>
        <w:t xml:space="preserve">  0 % ┬────────────────                  0 % ┬────────────────</w:t>
        <w:br/>
        <w:t xml:space="preserve">      │                                      │</w:t>
        <w:br/>
        <w:t xml:space="preserve"> -5 % ┼─── Semaglutide 1.0 mg           -1% ┼─── Dulaglutide 1.5 mg</w:t>
        <w:br/>
        <w:t xml:space="preserve">      │    (-5.7 kg / -6.0%)                 │    (-1.4%)</w:t>
        <w:br/>
        <w:t>-10 % ┼─── Semaglutide 2.4 mg           -2% ┼─── Semaglutide 1.0 / 2.4 mg</w:t>
        <w:br/>
        <w:t xml:space="preserve">      │    (-9.4 kg / -10.5%)                │    (-1.8% to -2.0%)</w:t>
        <w:br/>
        <w:t>-15 % ┼─── Tirzepatide 15 mg            -3% ┼─── Tirzepatide 15 mg</w:t>
        <w:br/>
        <w:t xml:space="preserve">      │    (-11.2 to -20.9%)                 │    (-2.3% to -2.6%)</w:t>
        <w:br/>
        <w:t>-20 % ┴────────────────                  -4% ┴────────────────</w:t>
        <w:br/>
      </w:r>
    </w:p>
    <w:p>
      <w:pPr>
        <w:pStyle w:val="Heading3"/>
      </w:pPr>
      <w:r>
        <w:t>4.4 Hepatic &amp; Metabolic Outcomes (SYNERGY-NASH Phase II/III)</w:t>
      </w:r>
    </w:p>
    <w:p>
      <w:r>
        <w:t>Incretin pharmacotherapy directly addresses the liver component of cardiometabolic disease:</w:t>
      </w:r>
    </w:p>
    <w:p>
      <w:pPr>
        <w:pStyle w:val="ListBullet"/>
      </w:pPr>
      <w:r>
        <w:t>In the SYNERGY-NASH trial, tirzepatide achieved resolution of metabolic dysfunction-associated steatohepatitis (MASH) without worsening of fibrosis in up to $74\\%$ of patients at 52 weeks (compared to $13\\%$ in the placebo group; $p &lt; 0.001$).</w:t>
      </w:r>
    </w:p>
    <w:p>
      <w:pPr>
        <w:pStyle w:val="ListBullet"/>
      </w:pPr>
      <w:r>
        <w:t>Improvement in liver fibrosis by $\ge 1$ stage without worsening of MASH was observed in $55\\%$ of tirzepatide-treated patients versus $30\\%$ with placebo. These clinical effects are mediated through decreased hepatic lipogenesis, enhanced peripheral insulin sensitivity, and reduction of visceral fat depots supplying free fatty acids to the portal vein.</w:t>
      </w:r>
    </w:p>
    <w:p>
      <w:pPr>
        <w:pStyle w:val="Heading3"/>
      </w:pPr>
      <w:r>
        <w:t>4.5 Safety, Tolerability, and Safety Signal Profiles</w:t>
      </w:r>
    </w:p>
    <w:p>
      <w:r>
        <w:t>Across all clinical trial programs, incretin-based therapies demonstrated a consistent adverse event profile. Gastrointestinal events were the most frequent adverse effects reported:</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pPr>
              <w:spacing w:after="20"/>
            </w:pPr>
            <w:r>
              <w:rPr>
                <w:b/>
                <w:sz w:val="16"/>
              </w:rPr>
              <w:t>Adverse Event Class</w:t>
            </w:r>
          </w:p>
        </w:tc>
        <w:tc>
          <w:tcPr>
            <w:tcW w:type="dxa" w:w="2448"/>
          </w:tcPr>
          <w:p>
            <w:pPr>
              <w:spacing w:after="20"/>
            </w:pPr>
            <w:r>
              <w:rPr>
                <w:b/>
                <w:sz w:val="16"/>
              </w:rPr>
              <w:t>Semaglutide 2.4 mg</w:t>
            </w:r>
          </w:p>
        </w:tc>
        <w:tc>
          <w:tcPr>
            <w:tcW w:type="dxa" w:w="2448"/>
          </w:tcPr>
          <w:p>
            <w:pPr>
              <w:spacing w:after="20"/>
            </w:pPr>
            <w:r>
              <w:rPr>
                <w:b/>
                <w:sz w:val="16"/>
              </w:rPr>
              <w:t>Placebo Control</w:t>
            </w:r>
          </w:p>
        </w:tc>
        <w:tc>
          <w:tcPr>
            <w:tcW w:type="dxa" w:w="2448"/>
          </w:tcPr>
          <w:p>
            <w:pPr>
              <w:spacing w:after="20"/>
            </w:pPr>
            <w:r>
              <w:rPr>
                <w:b/>
                <w:sz w:val="16"/>
              </w:rPr>
              <w:t>Relative Risk / Clinical Management</w:t>
            </w:r>
          </w:p>
        </w:tc>
      </w:tr>
      <w:tr>
        <w:tc>
          <w:tcPr>
            <w:tcW w:type="dxa" w:w="2448"/>
          </w:tcPr>
          <w:p>
            <w:pPr>
              <w:spacing w:after="20"/>
            </w:pPr>
            <w:r>
              <w:rPr>
                <w:b/>
                <w:sz w:val="16"/>
              </w:rPr>
              <w:t>Nausea</w:t>
            </w:r>
          </w:p>
        </w:tc>
        <w:tc>
          <w:tcPr>
            <w:tcW w:type="dxa" w:w="2448"/>
          </w:tcPr>
          <w:p>
            <w:pPr>
              <w:spacing w:after="20"/>
            </w:pPr>
            <w:r>
              <w:rPr>
                <w:sz w:val="16"/>
              </w:rPr>
              <w:t>35.5\%</w:t>
            </w:r>
          </w:p>
        </w:tc>
        <w:tc>
          <w:tcPr>
            <w:tcW w:type="dxa" w:w="2448"/>
          </w:tcPr>
          <w:p>
            <w:pPr>
              <w:spacing w:after="20"/>
            </w:pPr>
            <w:r>
              <w:rPr>
                <w:sz w:val="16"/>
              </w:rPr>
              <w:t>12.1\%</w:t>
            </w:r>
          </w:p>
        </w:tc>
        <w:tc>
          <w:tcPr>
            <w:tcW w:type="dxa" w:w="2448"/>
          </w:tcPr>
          <w:p>
            <w:pPr>
              <w:spacing w:after="20"/>
            </w:pPr>
            <w:r>
              <w:rPr>
                <w:sz w:val="16"/>
              </w:rPr>
              <w:t>Mild-to-moderate; transient during dose escalation.</w:t>
            </w:r>
          </w:p>
        </w:tc>
      </w:tr>
      <w:tr>
        <w:tc>
          <w:tcPr>
            <w:tcW w:type="dxa" w:w="2448"/>
          </w:tcPr>
          <w:p>
            <w:pPr>
              <w:spacing w:after="20"/>
            </w:pPr>
            <w:r>
              <w:rPr>
                <w:b/>
                <w:sz w:val="16"/>
              </w:rPr>
              <w:t>Diarrhea</w:t>
            </w:r>
          </w:p>
        </w:tc>
        <w:tc>
          <w:tcPr>
            <w:tcW w:type="dxa" w:w="2448"/>
          </w:tcPr>
          <w:p>
            <w:pPr>
              <w:spacing w:after="20"/>
            </w:pPr>
            <w:r>
              <w:rPr>
                <w:sz w:val="16"/>
              </w:rPr>
              <w:t>22.2\%</w:t>
            </w:r>
          </w:p>
        </w:tc>
        <w:tc>
          <w:tcPr>
            <w:tcW w:type="dxa" w:w="2448"/>
          </w:tcPr>
          <w:p>
            <w:pPr>
              <w:spacing w:after="20"/>
            </w:pPr>
            <w:r>
              <w:rPr>
                <w:sz w:val="16"/>
              </w:rPr>
              <w:t>11.5\%</w:t>
            </w:r>
          </w:p>
        </w:tc>
        <w:tc>
          <w:tcPr>
            <w:tcW w:type="dxa" w:w="2448"/>
          </w:tcPr>
          <w:p>
            <w:pPr>
              <w:spacing w:after="20"/>
            </w:pPr>
            <w:r>
              <w:rPr>
                <w:sz w:val="16"/>
              </w:rPr>
              <w:t>Self-limiting; managed with oral rehydration.</w:t>
            </w:r>
          </w:p>
        </w:tc>
      </w:tr>
      <w:tr>
        <w:tc>
          <w:tcPr>
            <w:tcW w:type="dxa" w:w="2448"/>
          </w:tcPr>
          <w:p>
            <w:pPr>
              <w:spacing w:after="20"/>
            </w:pPr>
            <w:r>
              <w:rPr>
                <w:b/>
                <w:sz w:val="16"/>
              </w:rPr>
              <w:t>Vomiting</w:t>
            </w:r>
          </w:p>
        </w:tc>
        <w:tc>
          <w:tcPr>
            <w:tcW w:type="dxa" w:w="2448"/>
          </w:tcPr>
          <w:p>
            <w:pPr>
              <w:spacing w:after="20"/>
            </w:pPr>
            <w:r>
              <w:rPr>
                <w:sz w:val="16"/>
              </w:rPr>
              <w:t>17.8\%</w:t>
            </w:r>
          </w:p>
        </w:tc>
        <w:tc>
          <w:tcPr>
            <w:tcW w:type="dxa" w:w="2448"/>
          </w:tcPr>
          <w:p>
            <w:pPr>
              <w:spacing w:after="20"/>
            </w:pPr>
            <w:r>
              <w:rPr>
                <w:sz w:val="16"/>
              </w:rPr>
              <w:t>5.1\%</w:t>
            </w:r>
          </w:p>
        </w:tc>
        <w:tc>
          <w:tcPr>
            <w:tcW w:type="dxa" w:w="2448"/>
          </w:tcPr>
          <w:p>
            <w:pPr>
              <w:spacing w:after="20"/>
            </w:pPr>
            <w:r>
              <w:rPr>
                <w:sz w:val="16"/>
              </w:rPr>
              <w:t>Associated with rapid dose titration.</w:t>
            </w:r>
          </w:p>
        </w:tc>
      </w:tr>
      <w:tr>
        <w:tc>
          <w:tcPr>
            <w:tcW w:type="dxa" w:w="2448"/>
          </w:tcPr>
          <w:p>
            <w:pPr>
              <w:spacing w:after="20"/>
            </w:pPr>
            <w:r>
              <w:rPr>
                <w:b/>
                <w:sz w:val="16"/>
              </w:rPr>
              <w:t>Constipation</w:t>
            </w:r>
          </w:p>
        </w:tc>
        <w:tc>
          <w:tcPr>
            <w:tcW w:type="dxa" w:w="2448"/>
          </w:tcPr>
          <w:p>
            <w:pPr>
              <w:spacing w:after="20"/>
            </w:pPr>
            <w:r>
              <w:rPr>
                <w:sz w:val="16"/>
              </w:rPr>
              <w:t>16.4\%</w:t>
            </w:r>
          </w:p>
        </w:tc>
        <w:tc>
          <w:tcPr>
            <w:tcW w:type="dxa" w:w="2448"/>
          </w:tcPr>
          <w:p>
            <w:pPr>
              <w:spacing w:after="20"/>
            </w:pPr>
            <w:r>
              <w:rPr>
                <w:sz w:val="16"/>
              </w:rPr>
              <w:t>6.7\%</w:t>
            </w:r>
          </w:p>
        </w:tc>
        <w:tc>
          <w:tcPr>
            <w:tcW w:type="dxa" w:w="2448"/>
          </w:tcPr>
          <w:p>
            <w:pPr>
              <w:spacing w:after="20"/>
            </w:pPr>
            <w:r>
              <w:rPr>
                <w:sz w:val="16"/>
              </w:rPr>
              <w:t>Responds to dietary fiber and fluids.</w:t>
            </w:r>
          </w:p>
        </w:tc>
      </w:tr>
      <w:tr>
        <w:tc>
          <w:tcPr>
            <w:tcW w:type="dxa" w:w="2448"/>
          </w:tcPr>
          <w:p>
            <w:pPr>
              <w:spacing w:after="20"/>
            </w:pPr>
            <w:r>
              <w:rPr>
                <w:b/>
                <w:sz w:val="16"/>
              </w:rPr>
              <w:t>Treatment Discontinuation</w:t>
            </w:r>
          </w:p>
        </w:tc>
        <w:tc>
          <w:tcPr>
            <w:tcW w:type="dxa" w:w="2448"/>
          </w:tcPr>
          <w:p>
            <w:pPr>
              <w:spacing w:after="20"/>
            </w:pPr>
            <w:r>
              <w:rPr>
                <w:sz w:val="16"/>
              </w:rPr>
              <w:t>16.6\%</w:t>
            </w:r>
          </w:p>
        </w:tc>
        <w:tc>
          <w:tcPr>
            <w:tcW w:type="dxa" w:w="2448"/>
          </w:tcPr>
          <w:p>
            <w:pPr>
              <w:spacing w:after="20"/>
            </w:pPr>
            <w:r>
              <w:rPr>
                <w:sz w:val="16"/>
              </w:rPr>
              <w:t>8.2\%</w:t>
            </w:r>
          </w:p>
        </w:tc>
        <w:tc>
          <w:tcPr>
            <w:tcW w:type="dxa" w:w="2448"/>
          </w:tcPr>
          <w:p>
            <w:pPr>
              <w:spacing w:after="20"/>
            </w:pPr>
            <w:r>
              <w:rPr>
                <w:sz w:val="16"/>
              </w:rPr>
              <w:t>Driven predominantly by GI intolerability.</w:t>
            </w:r>
          </w:p>
        </w:tc>
      </w:tr>
      <w:tr>
        <w:tc>
          <w:tcPr>
            <w:tcW w:type="dxa" w:w="2448"/>
          </w:tcPr>
          <w:p>
            <w:pPr>
              <w:spacing w:after="20"/>
            </w:pPr>
            <w:r>
              <w:rPr>
                <w:b/>
                <w:sz w:val="16"/>
              </w:rPr>
              <w:t>Cholelithiasis / Gallbladder</w:t>
            </w:r>
          </w:p>
        </w:tc>
        <w:tc>
          <w:tcPr>
            <w:tcW w:type="dxa" w:w="2448"/>
          </w:tcPr>
          <w:p>
            <w:pPr>
              <w:spacing w:after="20"/>
            </w:pPr>
            <w:r>
              <w:rPr>
                <w:sz w:val="16"/>
              </w:rPr>
              <w:t>2.8\%</w:t>
            </w:r>
          </w:p>
        </w:tc>
        <w:tc>
          <w:tcPr>
            <w:tcW w:type="dxa" w:w="2448"/>
          </w:tcPr>
          <w:p>
            <w:pPr>
              <w:spacing w:after="20"/>
            </w:pPr>
            <w:r>
              <w:rPr>
                <w:sz w:val="16"/>
              </w:rPr>
              <w:t>1.2\%</w:t>
            </w:r>
          </w:p>
        </w:tc>
        <w:tc>
          <w:tcPr>
            <w:tcW w:type="dxa" w:w="2448"/>
          </w:tcPr>
          <w:p>
            <w:pPr>
              <w:spacing w:after="20"/>
            </w:pPr>
            <w:r>
              <w:rPr>
                <w:sz w:val="16"/>
              </w:rPr>
              <w:t>Secondary to rapid biliary sludge formation during weight loss.</w:t>
            </w:r>
          </w:p>
        </w:tc>
      </w:tr>
      <w:tr>
        <w:tc>
          <w:tcPr>
            <w:tcW w:type="dxa" w:w="2448"/>
          </w:tcPr>
          <w:p>
            <w:pPr>
              <w:spacing w:after="20"/>
            </w:pPr>
            <w:r>
              <w:rPr>
                <w:b/>
                <w:sz w:val="16"/>
              </w:rPr>
              <w:t>Acute Pancreatitis</w:t>
            </w:r>
          </w:p>
        </w:tc>
        <w:tc>
          <w:tcPr>
            <w:tcW w:type="dxa" w:w="2448"/>
          </w:tcPr>
          <w:p>
            <w:pPr>
              <w:spacing w:after="20"/>
            </w:pPr>
            <w:r>
              <w:rPr>
                <w:sz w:val="16"/>
              </w:rPr>
              <w:t>0.2\%</w:t>
            </w:r>
          </w:p>
        </w:tc>
        <w:tc>
          <w:tcPr>
            <w:tcW w:type="dxa" w:w="2448"/>
          </w:tcPr>
          <w:p>
            <w:pPr>
              <w:spacing w:after="20"/>
            </w:pPr>
            <w:r>
              <w:rPr>
                <w:sz w:val="16"/>
              </w:rPr>
              <w:t>0.2\%</w:t>
            </w:r>
          </w:p>
        </w:tc>
        <w:tc>
          <w:tcPr>
            <w:tcW w:type="dxa" w:w="2448"/>
          </w:tcPr>
          <w:p>
            <w:pPr>
              <w:spacing w:after="20"/>
            </w:pPr>
            <w:r>
              <w:rPr>
                <w:sz w:val="16"/>
              </w:rPr>
              <w:t>No statistically significant excess risk detected.</w:t>
            </w:r>
          </w:p>
        </w:tc>
      </w:tr>
      <w:tr>
        <w:tc>
          <w:tcPr>
            <w:tcW w:type="dxa" w:w="2448"/>
          </w:tcPr>
          <w:p>
            <w:pPr>
              <w:spacing w:after="20"/>
            </w:pPr>
            <w:r>
              <w:rPr>
                <w:b/>
                <w:sz w:val="16"/>
              </w:rPr>
              <w:t>Medullary Thyroid Cancer</w:t>
            </w:r>
          </w:p>
        </w:tc>
        <w:tc>
          <w:tcPr>
            <w:tcW w:type="dxa" w:w="2448"/>
          </w:tcPr>
          <w:p>
            <w:pPr>
              <w:spacing w:after="20"/>
            </w:pPr>
            <w:r>
              <w:rPr>
                <w:sz w:val="16"/>
              </w:rPr>
              <w:t>0.0\%</w:t>
            </w:r>
          </w:p>
        </w:tc>
        <w:tc>
          <w:tcPr>
            <w:tcW w:type="dxa" w:w="2448"/>
          </w:tcPr>
          <w:p>
            <w:pPr>
              <w:spacing w:after="20"/>
            </w:pPr>
            <w:r>
              <w:rPr>
                <w:sz w:val="16"/>
              </w:rPr>
              <w:t>0.0\%</w:t>
            </w:r>
          </w:p>
        </w:tc>
        <w:tc>
          <w:tcPr>
            <w:tcW w:type="dxa" w:w="2448"/>
          </w:tcPr>
          <w:p>
            <w:pPr>
              <w:spacing w:after="20"/>
            </w:pPr>
            <w:r>
              <w:rPr>
                <w:sz w:val="16"/>
              </w:rPr>
              <w:t>Black box warning based on rodent model data; no signal in human RCTs.</w:t>
            </w:r>
          </w:p>
        </w:tc>
      </w:tr>
    </w:tbl>
    <w:p/>
    <w:p>
      <w:r>
        <w:t>Serious adverse events (SAEs) were lower in the active semaglutide arm ($49.6\\%$) compared to placebo ($53.8\\%$) in the FLOW trial, driven by reduced cardiovascular and renal hospitalizations in the active arm.</w:t>
      </w:r>
    </w:p>
    <w:p>
      <w:pPr>
        <w:pStyle w:val="Heading2"/>
      </w:pPr>
      <w:r>
        <w:t>5. Discussion and Clinical Translation</w:t>
      </w:r>
    </w:p>
    <w:p>
      <w:pPr>
        <w:pStyle w:val="Heading3"/>
      </w:pPr>
      <w:r>
        <w:t>5.1 Direct Mechanisms of Multi-Organ Protection</w:t>
      </w:r>
    </w:p>
    <w:p>
      <w:r>
        <w:t>The organ-protective effects of GLP-1 and dual GIP/GLP-1 receptor agonists extend beyond glucose control and body weight reduction.</w:t>
      </w:r>
    </w:p>
    <w:p>
      <w:pPr>
        <w:spacing w:before="40" w:after="120"/>
        <w:ind w:left="288"/>
      </w:pPr>
      <w:r>
        <w:rPr>
          <w:rFonts w:ascii="Consolas" w:hAnsi="Consolas"/>
          <w:sz w:val="15"/>
        </w:rPr>
        <w:t xml:space="preserve">                                  INCRETIN RECEPTOR AGONISM</w:t>
        <w:br/>
        <w:t xml:space="preserve">                                             │</w:t>
        <w:br/>
        <w:t xml:space="preserve">      ┌──────────────────────────────┬───────┴──────────────┬──────────────────────────────┐</w:t>
        <w:br/>
        <w:t xml:space="preserve">      │                              │                      │                              │</w:t>
        <w:br/>
        <w:t xml:space="preserve">      ▼                              ▼                      ▼                              ▼</w:t>
        <w:br/>
        <w:t>┌───────────┐                  ┌───────────┐          ┌───────────┐                  ┌───────────┐</w:t>
        <w:br/>
        <w:t>│ Vascular  │                  │  Cardiac  │          │   Renal   │                  │  Hepatic  │</w:t>
        <w:br/>
        <w:t>│Endothelium│                  │ Myocardium│          │  Tubules  │                  │Parenchyma │</w:t>
        <w:br/>
        <w:t>└─────┬─────┘                  └─────┬─────┘          └─────┬─────┘                  └─────┬─────┘</w:t>
        <w:br/>
        <w:t xml:space="preserve">      │                              │                      │                              │</w:t>
        <w:br/>
        <w:t xml:space="preserve">      ├─► ↑ eNOS / NO                ├─► ↓ Inflammation     ├─► Restoration of TGF     ├─► ↓ De Novo Lipogenesis</w:t>
        <w:br/>
        <w:t xml:space="preserve">      ├─► ↓ VCAM-1 / ICAM-1          ├─► ↓ Ischemia/Reperf. ├─► ↓ Hyperfiltration      ├─► ↑ Fatty Acid Oxidation</w:t>
        <w:br/>
        <w:t xml:space="preserve">      └─► ↓ Plaque Rupture           └─► ↑ Diastolic Fill   └─► ↓ Interstitial Fibrosis└─► ↓ MASH &amp; Fibrosis</w:t>
        <w:br/>
      </w:r>
    </w:p>
    <w:p>
      <w:pPr>
        <w:pStyle w:val="Heading3"/>
      </w:pPr>
      <w:r>
        <w:t>1. Vascular &amp; Anti-Atherosclerotic Effects</w:t>
      </w:r>
    </w:p>
    <w:p>
      <w:r>
        <w:t>GLP-1R activation on vascular endothelial cells and smooth muscle cells increases endothelial nitric oxide synthase (eNOS) phosphorylation, enhancing basal nitric oxide (NO) generation and vascular reactivity. GLP-1 RAs suppress nuclear factor kappa B ($\text{NF-}\kappa\text{B}$) signaling pathways, downregulating vascular cell adhesion molecule-1 (VCAM-1), intercellular adhesion molecule-1 (ICAM-1), and monocyte chemoattractant protein-1 (MCP-1). This inhibits monocyte adhesion and foam cell formation within arterial walls, stabilizing vulnerable atherosclerotic plaques. In the SELECT trial, semaglutide reduced the systemic inflammatory marker high-sensitivity C-reactive protein (hsCRP) by $37.8\\%$ relative to baseline—a magnitude of anti-inflammatory action comparable to statin therapy.</w:t>
      </w:r>
    </w:p>
    <w:p>
      <w:pPr>
        <w:pStyle w:val="Heading3"/>
      </w:pPr>
      <w:r>
        <w:t>2. Direct Cardiac &amp; Hemodynamic Mechanisms</w:t>
      </w:r>
    </w:p>
    <w:p>
      <w:r>
        <w:t>In the myocardium, GLP-1R signaling shifts cellular substrate preference from free fatty acids toward glucose uptake, improving metabolic efficiency under ischemic stress. GLP-1 RAs improve diastolic left ventricular relaxation, reduce left atrial volumes, and attenuate myocardial fibrosis. In patients with Heart Failure with Preserved Ejection Fraction (HFpEF) and obesity (as evaluated in the STEP-HFpEF trials), semaglutide reduced KCCQ physical limitation scores and 6-minute walk distance limitations while lowering systemic pulmonary capillary wedge pressure during exercise.</w:t>
      </w:r>
    </w:p>
    <w:p>
      <w:pPr>
        <w:pStyle w:val="Heading3"/>
      </w:pPr>
      <w:r>
        <w:t>3. Intrarenal Hemodynamic Modulations</w:t>
      </w:r>
    </w:p>
    <w:p>
      <w:r>
        <w:t>GLP-1 RAs protect renal function through direct renal tubular mechanisms:</w:t>
      </w:r>
    </w:p>
    <w:p>
      <w:pPr>
        <w:pStyle w:val="ListBullet"/>
      </w:pPr>
      <w:r>
        <w:t>GLP-1R activation inhibits the Sodium-Hydrogen Exchanger 3 (NHE3) co-transporter located at the brush border of the renal proximal convoluted tubule.</w:t>
      </w:r>
    </w:p>
    <w:p>
      <w:pPr>
        <w:pStyle w:val="ListBullet"/>
      </w:pPr>
      <w:r>
        <w:t>Downregulating NHE3 promotes natriuresis and diuresis, restoring tubuloglomerular feedback (TGF) at the macula densa.</w:t>
      </w:r>
    </w:p>
    <w:p>
      <w:pPr>
        <w:pStyle w:val="ListBullet"/>
      </w:pPr>
      <w:r>
        <w:t>Restored TGF induces afferent glomerular arteriolar vasoconstriction and reduces intraglomerular hyperfiltration, lowering mechanical wall stress on podocytes.</w:t>
      </w:r>
    </w:p>
    <w:p>
      <w:pPr>
        <w:pStyle w:val="ListBullet"/>
      </w:pPr>
      <w:r>
        <w:t>Downstream, incretins attenuate renal interstitial oxidative stress, tubular apoptosis, and transforming growth factor-beta 1 ($\text{TGF-}\beta1$)-driven parenchymal fibrosis.</w:t>
      </w:r>
    </w:p>
    <w:p>
      <w:pPr>
        <w:spacing w:before="40" w:after="120"/>
        <w:ind w:left="288"/>
      </w:pPr>
      <w:r>
        <w:rPr>
          <w:rFonts w:ascii="Consolas" w:hAnsi="Consolas"/>
          <w:sz w:val="15"/>
        </w:rPr>
        <w:t xml:space="preserve">                                RENAL HYPERFILTRATION CASCADES</w:t>
        <w:br/>
        <w:t xml:space="preserve">                                ──────────────────────────────</w:t>
        <w:br/>
        <w:br/>
        <w:t xml:space="preserve">   UNTREATED CARDIOMETABOLIC DISEASE                 WITH INCRETIN PHARMACOTHERAPY</w:t>
        <w:br/>
        <w:t xml:space="preserve">   ─────────────────────────────────                 ─────────────────────────────</w:t>
        <w:br/>
        <w:br/>
        <w:t xml:space="preserve">      Dilated Afferent Arteriole                        Normal Afferent Tone (via TGF)</w:t>
        <w:br/>
        <w:t xml:space="preserve">               │   │                                               │ │</w:t>
        <w:br/>
        <w:t xml:space="preserve">               ▼   ▼                                               ▼ ▼</w:t>
        <w:br/>
        <w:t xml:space="preserve">       ┌───────────────┐                                   ┌───────────────┐</w:t>
        <w:br/>
        <w:t xml:space="preserve">       │ High Pressure │                                   │ Normal Pressure│</w:t>
        <w:br/>
        <w:t xml:space="preserve">       │ Glomerular    │                                   │ Glomerular    │</w:t>
        <w:br/>
        <w:t xml:space="preserve">       │ Capillaries   │                                   │ Capillaries   │</w:t>
        <w:br/>
        <w:t xml:space="preserve">       └───────┬───────┘                                   └───────┬───────┘</w:t>
        <w:br/>
        <w:t xml:space="preserve">               │                                                   │</w:t>
        <w:br/>
        <w:t xml:space="preserve">               ▼                                                   ▼</w:t>
        <w:br/>
        <w:t xml:space="preserve">       Podocyte Detachment &amp;                                Podocyte Structure</w:t>
        <w:br/>
        <w:t xml:space="preserve">      Progressive Albuminuria                              &amp; Filtration Preserved</w:t>
        <w:br/>
      </w:r>
    </w:p>
    <w:p>
      <w:pPr>
        <w:pStyle w:val="Heading3"/>
      </w:pPr>
      <w:r>
        <w:t>5.2 Clinical Practice Guidelines Translation</w:t>
      </w:r>
    </w:p>
    <w:p>
      <w:r>
        <w:t>The findings from the SELECT and FLOW trials have reshaped international clinical practice guidelines:</w:t>
      </w:r>
    </w:p>
    <w:p>
      <w:pPr>
        <w:pStyle w:val="ListBullet"/>
      </w:pPr>
      <w:r>
        <w:rPr>
          <w:b/>
        </w:rPr>
        <w:t>American Diabetes Association (ADA) Standards of Care:</w:t>
      </w:r>
      <w:r>
        <w:t xml:space="preserve"> Recommends GLP-1 RAs with proven cardiaprotective efficacy (semaglutide, dulaglutide) as first-line therapy alongside metformin/SGLT2i for patients with T2DM and established ASCVD or high cardiovascular risk, independent of baseline $\text{HbA1c}$.</w:t>
      </w:r>
    </w:p>
    <w:p>
      <w:pPr>
        <w:pStyle w:val="ListBullet"/>
      </w:pPr>
      <w:r>
        <w:rPr>
          <w:b/>
        </w:rPr>
        <w:t>KDIGO Clinical Practice Guideline for Diabetes Management in CKD:</w:t>
      </w:r>
      <w:r>
        <w:t xml:space="preserve"> Formally incorporates long-acting GLP-1 RAs as core disease-modifying therapy alongside ACEi/ARB and SGLT2i to prevent renal progression and cardiovascular death in patients with diabetic kidney disease.</w:t>
      </w:r>
    </w:p>
    <w:p>
      <w:pPr>
        <w:pStyle w:val="ListBullet"/>
      </w:pPr>
      <w:r>
        <w:rPr>
          <w:b/>
        </w:rPr>
        <w:t>Cardiovascular &amp; Obesity Guidelines (ACC/AHA &amp; ESC):</w:t>
      </w:r>
      <w:r>
        <w:t xml:space="preserve"> Formally endorsement semaglutide 2.4 mg weekly in non-diabetic adults with secondary ASCVD and overweight/obesity to reduce major adverse cardiovascular outcomes and overall mortality.</w:t>
      </w:r>
    </w:p>
    <w:p>
      <w:pPr>
        <w:pStyle w:val="Heading3"/>
      </w:pPr>
      <w:r>
        <w:t>5.3 Limitations of Current Literature &amp; Key Evidence Gaps</w:t>
      </w:r>
    </w:p>
    <w:p>
      <w:r>
        <w:t>Despite these clinical findings, several evidence gaps remain:</w:t>
      </w:r>
    </w:p>
    <w:p>
      <w:pPr>
        <w:pStyle w:val="ListNumber"/>
      </w:pPr>
      <w:r>
        <w:rPr>
          <w:b/>
        </w:rPr>
        <w:t>SGLT2 Inhibitor Co-Administration:</w:t>
      </w:r>
      <w:r>
        <w:t xml:space="preserve"> In the FLOW trial, under $15\\%$ of participants were receiving background SGLT2 inhibitors at baseline. Additional prospective trial data are required to quantify the potential additive or synergistic effects of dual SGLT2i + GLP-1RA therapy on long-term end-stage kidney disease outcomes.</w:t>
      </w:r>
    </w:p>
    <w:p>
      <w:pPr>
        <w:pStyle w:val="ListNumber"/>
      </w:pPr>
      <w:r>
        <w:rPr>
          <w:b/>
        </w:rPr>
        <w:t>Non-Diabetic CKD Populations:</w:t>
      </w:r>
      <w:r>
        <w:t xml:space="preserve"> Dedicated renal outcome trials evaluating semaglutide or tirzepatide in non-diabetic kidney disease etiologies (such as hypertensive nephrosclerosis, IgA nephropathy, or focal segmental glomerulosclerosis) are currently lacking.</w:t>
      </w:r>
    </w:p>
    <w:p>
      <w:pPr>
        <w:pStyle w:val="ListNumber"/>
      </w:pPr>
      <w:r>
        <w:rPr>
          <w:b/>
        </w:rPr>
        <w:t>Long-Term Treatment Adherence:</w:t>
      </w:r>
      <w:r>
        <w:t xml:space="preserve"> Real-world observational registry studies indicate that up to $45\text{--}50\\%$ of patients discontinue incretin therapy within 12 months due to gastrointestinal intolerance, out-of-pocket costs, or drug supply shortages. Discontinuation frequently leads to weight regain and loss of cardiometabolic risk reduction.</w:t>
      </w:r>
    </w:p>
    <w:p>
      <w:pPr>
        <w:pStyle w:val="Heading3"/>
      </w:pPr>
      <w:r>
        <w:t>5.4 Health Economics, Health Equity, and Global Accessibility</w:t>
      </w:r>
    </w:p>
    <w:p>
      <w:r>
        <w:t>The widespread adoption of incretin-based therapies faces substantial health-economic challenges:</w:t>
      </w:r>
    </w:p>
    <w:p>
      <w:pPr>
        <w:pStyle w:val="ListBullet"/>
      </w:pPr>
      <w:r>
        <w:rPr>
          <w:b/>
        </w:rPr>
        <w:t>Cost Constraints:</w:t>
      </w:r>
      <w:r>
        <w:t xml:space="preserve"> Annual wholesale acquisition costs (WAC) for semaglutide 2.4 mg and tirzepatide range from $\\$9,000$ to over $\\$13,000$ USD in major high-income countries. Cost-effectiveness models using standard Willingness-to-Pay thresholds ($\\$100,000\text{--}\\$150,000/\text{QALY}$) show that current pricing limits broad drug access.</w:t>
      </w:r>
    </w:p>
    <w:p>
      <w:pPr>
        <w:pStyle w:val="ListBullet"/>
      </w:pPr>
      <w:r>
        <w:rPr>
          <w:b/>
        </w:rPr>
        <w:t>Supply Chain Disparities:</w:t>
      </w:r>
      <w:r>
        <w:t xml:space="preserve"> Unprecedented global demand has caused severe manufacturing and supply shortages, disproportionately affecting access in low- and middle-income countries (LMICs). Resolving these disparities will require expanded generic production, localized licensing agreements, and updated single-payer health system coverage policies to prevent widening global health inequities.</w:t>
      </w:r>
    </w:p>
    <w:p>
      <w:pPr>
        <w:pStyle w:val="Heading2"/>
      </w:pPr>
      <w:r>
        <w:t>6. Conclusion and Future Horizons</w:t>
      </w:r>
    </w:p>
    <w:p>
      <w:pPr>
        <w:pStyle w:val="Heading3"/>
      </w:pPr>
      <w:r>
        <w:t>6.1 Summary of Main Findings</w:t>
      </w:r>
    </w:p>
    <w:p>
      <w:pPr>
        <w:pStyle w:val="ListNumber"/>
      </w:pPr>
      <w:r>
        <w:t>Long-acting GLP-1 receptor agonism with semaglutide 2.4 mg significantly reduces 3-point MACE by 20% and cardiovascular death in overweight or obese patients with ASCVD without diabetes (SELECT Trial).</w:t>
      </w:r>
    </w:p>
    <w:p>
      <w:pPr>
        <w:pStyle w:val="ListNumber"/>
      </w:pPr>
      <w:r>
        <w:t>Semaglutide 1.0 mg slows the progression of chronic kidney disease, reduces albuminuria by 38%, and cuts all-cause mortality by 20% in patients with T2DM and CKD (FLOW Trial).</w:t>
      </w:r>
    </w:p>
    <w:p>
      <w:pPr>
        <w:pStyle w:val="ListNumber"/>
      </w:pPr>
      <w:r>
        <w:t>Dual GIP/GLP-1 receptor agonism with tirzepatide delivers superior metabolic modulation and weight loss compared to selective GLP-1 monotherapy, with demonstrated MACE non-inferiority and early indications of hepatic fibrosis reversal.</w:t>
      </w:r>
    </w:p>
    <w:p>
      <w:pPr>
        <w:pStyle w:val="ListNumber"/>
      </w:pPr>
      <w:r>
        <w:t>Biological protection is mediated through direct, pleiotropic mechanisms—including systemic anti-inflammatory actions, suppression of intrarenal hyperfiltration, improved vascular endothelial reactivity, and decreased hepatic lipotoxicity—occurring partly independent of glycemic control or total body weight reduction.</w:t>
      </w:r>
    </w:p>
    <w:p>
      <w:pPr>
        <w:spacing w:before="40" w:after="120"/>
        <w:ind w:left="288"/>
      </w:pPr>
      <w:r>
        <w:rPr>
          <w:rFonts w:ascii="Consolas" w:hAnsi="Consolas"/>
          <w:sz w:val="15"/>
        </w:rPr>
        <w:t xml:space="preserve">                     EVOLUTION OF INCRETIN THERAPEUTICS</w:t>
        <w:br/>
        <w:t xml:space="preserve">                     ─────────────────────────────────</w:t>
        <w:br/>
        <w:br/>
        <w:t xml:space="preserve">   First Generation              Second Generation               Next Generation</w:t>
        <w:br/>
        <w:t xml:space="preserve">  (Glycemic Focus)             (Organ Protection)            (Multi-Agonist Era)</w:t>
        <w:br/>
        <w:t xml:space="preserve">   • Exenatide                  • Semaglutide                  • Tirzepatide (GIP/GLP-1)</w:t>
        <w:br/>
        <w:t xml:space="preserve">   • Liraglutide                • Dulaglutide                  • Retatrutide (GIP/GLP-1/Glucagon)</w:t>
        <w:br/>
        <w:t xml:space="preserve">                                                               • Orforglipron (Oral non-peptide)</w:t>
        <w:br/>
        <w:t xml:space="preserve">   ───────────────►             ─────────────────►             ─────────────────────────────────►</w:t>
        <w:br/>
        <w:t xml:space="preserve">   T2DM Glycemic Control        MACE &amp; CKD Risk Reduction       Reversal of Severe Obesity &amp; MASH</w:t>
        <w:br/>
      </w:r>
    </w:p>
    <w:p>
      <w:pPr>
        <w:pStyle w:val="Heading3"/>
      </w:pPr>
      <w:r>
        <w:t>6.2 Future Directions &amp; Emerging Molecules</w:t>
      </w:r>
    </w:p>
    <w:p>
      <w:r>
        <w:t>The field of incretin biology is expanding toward multi-receptor agonism and novel drug delivery formulations:</w:t>
      </w:r>
    </w:p>
    <w:p>
      <w:pPr>
        <w:pStyle w:val="ListBullet"/>
      </w:pPr>
      <w:r>
        <w:rPr>
          <w:b/>
        </w:rPr>
        <w:t>Triple Agonists (GIP/GLP-1/Glucagon Tri-Agonists):</w:t>
      </w:r>
      <w:r>
        <w:t xml:space="preserve"> Molecules such as </w:t>
      </w:r>
      <w:r>
        <w:rPr>
          <w:b/>
        </w:rPr>
        <w:t>Retatrutide</w:t>
      </w:r>
      <w:r>
        <w:t xml:space="preserve"> co-activate GIP, GLP-1, and glucagon receptors. Glucagon receptor engagement increases energy expenditure and directly targets hepatic lipid turnover, achieving weight reductions exceeding $24\\%$ in Phase II trials.</w:t>
      </w:r>
    </w:p>
    <w:p>
      <w:pPr>
        <w:pStyle w:val="ListBullet"/>
      </w:pPr>
      <w:r>
        <w:rPr>
          <w:b/>
        </w:rPr>
        <w:t>Small-Molecule Non-Peptide Oral Agonists:</w:t>
      </w:r>
      <w:r>
        <w:t xml:space="preserve"> </w:t>
      </w:r>
      <w:r>
        <w:rPr>
          <w:b/>
        </w:rPr>
        <w:t>Orforglipron</w:t>
      </w:r>
      <w:r>
        <w:t xml:space="preserve"> is a non-peptide, small-molecule GLP-1 agonist that can be administered orally without the strict water-and-fasting constraints of oral peptide formulations (such as oral semaglutide).</w:t>
      </w:r>
    </w:p>
    <w:p>
      <w:pPr>
        <w:pStyle w:val="ListBullet"/>
      </w:pPr>
      <w:r>
        <w:rPr>
          <w:b/>
        </w:rPr>
        <w:t>Combination Incretin / Amylin Analogues:</w:t>
      </w:r>
      <w:r>
        <w:t xml:space="preserve"> The co-formulation of semaglutide with cagrilintide (</w:t>
      </w:r>
      <w:r>
        <w:rPr>
          <w:b/>
        </w:rPr>
        <w:t>CagriSema</w:t>
      </w:r>
      <w:r>
        <w:t>), a long-acting amylin analogue, targets distinct central satiety signaling networks to produce synergistic weight reduction and metabolic control.</w:t>
      </w:r>
    </w:p>
    <w:p>
      <w:r>
        <w:t>Phase III trials for these emerging molecules will determine whether multi-receptor agonism can further expand multi-organ protection and establish new benchmarks in cardiometabolic medicine.</w:t>
      </w:r>
    </w:p>
    <w:p>
      <w:pPr>
        <w:pStyle w:val="Heading2"/>
      </w:pPr>
      <w:r>
        <w:t>7. Evidence-Based References</w:t>
      </w:r>
    </w:p>
    <w:p>
      <w:pPr>
        <w:pStyle w:val="ListNumber"/>
      </w:pPr>
      <w:r>
        <w:t xml:space="preserve">Lincoff AM, Brown-Frandsen K, Colhoun HM, et al. Semaglutide and Cardiovascular Outcomes in Obesity without Diabetes (SELECT). </w:t>
      </w:r>
      <w:r>
        <w:rPr>
          <w:i/>
        </w:rPr>
        <w:t>N Engl J Med</w:t>
      </w:r>
      <w:r>
        <w:t>. 2023;389(24):2221-2232.</w:t>
      </w:r>
    </w:p>
    <w:p>
      <w:pPr>
        <w:pStyle w:val="ListNumber"/>
      </w:pPr>
      <w:r>
        <w:t xml:space="preserve">Perkovic V, Tuttle KR, Rossing P, et al. Effects of Semaglutide on Chronic Kidney Disease in Patients with Type 2 Diabetes (FLOW). </w:t>
      </w:r>
      <w:r>
        <w:rPr>
          <w:i/>
        </w:rPr>
        <w:t>N Engl J Med</w:t>
      </w:r>
      <w:r>
        <w:t>. 2024;391(2):109-121.</w:t>
      </w:r>
    </w:p>
    <w:p>
      <w:pPr>
        <w:pStyle w:val="ListNumber"/>
      </w:pPr>
      <w:r>
        <w:t xml:space="preserve">Jastreboff AM, Aronne LJ, Ahmad NN, et al. Tirzepatide Once Weekly for the Treatment of Obesity (SURPASS-2 / SURPASS-CVOT). </w:t>
      </w:r>
      <w:r>
        <w:rPr>
          <w:i/>
        </w:rPr>
        <w:t>N Engl J Med</w:t>
      </w:r>
      <w:r>
        <w:t>. 2022;387(3):205-216.</w:t>
      </w:r>
    </w:p>
    <w:p>
      <w:pPr>
        <w:pStyle w:val="ListNumber"/>
      </w:pPr>
      <w:r>
        <w:t xml:space="preserve">Sanyal AJ, Bedossa P, Rosenstock J, et al. Tirzepatide for the Treatment of Metabolic Dysfunction-Associated Steatohepatitis (SYNERGY-NASH). </w:t>
      </w:r>
      <w:r>
        <w:rPr>
          <w:i/>
        </w:rPr>
        <w:t>N Engl J Med</w:t>
      </w:r>
      <w:r>
        <w:t>. 2024;391(4):299-310.</w:t>
      </w:r>
    </w:p>
    <w:p>
      <w:pPr>
        <w:pStyle w:val="ListNumber"/>
      </w:pPr>
      <w:r>
        <w:t xml:space="preserve">Kosiborod MN, Abildstrøm SZ, Borlaug BA, et al. Semaglutide in Patients with Heart Failure with Preserved Ejection Fraction and Obesity (STEP-HFpEF). </w:t>
      </w:r>
      <w:r>
        <w:rPr>
          <w:i/>
        </w:rPr>
        <w:t>N Engl J Med</w:t>
      </w:r>
      <w:r>
        <w:t>. 2023;389(12):1069-1084.</w:t>
      </w:r>
    </w:p>
    <w:p>
      <w:pPr>
        <w:pStyle w:val="ListNumber"/>
      </w:pPr>
      <w:r>
        <w:t xml:space="preserve">Page MJ, McKenzie JE, Bossuyt PM, et al. The PRISMA 2020 statement: an updated guideline for reporting systematic reviews. </w:t>
      </w:r>
      <w:r>
        <w:rPr>
          <w:i/>
        </w:rPr>
        <w:t>BMJ</w:t>
      </w:r>
      <w:r>
        <w:t>. 2021;372\:n71.</w:t>
      </w:r>
    </w:p>
    <w:p>
      <w:pPr>
        <w:pStyle w:val="ListNumber"/>
      </w:pPr>
      <w:r>
        <w:t xml:space="preserve">American Diabetes Association Professional Practice Committee. Standards of Care in Diabetes—2026. </w:t>
      </w:r>
      <w:r>
        <w:rPr>
          <w:i/>
        </w:rPr>
        <w:t>Diabetes Care</w:t>
      </w:r>
      <w:r>
        <w:t>. 2026;49(Suppl 1)\:S1-S270.</w:t>
      </w:r>
    </w:p>
    <w:p>
      <w:pPr>
        <w:pStyle w:val="ListNumber"/>
      </w:pPr>
      <w:r>
        <w:t xml:space="preserve">Kidney Disease: Improving Global Outcomes (KDIGO) Diabetes Work Group. KDIGO 2023 Clinical Practice Guideline for Diabetes Management in Chronic Kidney Disease. </w:t>
      </w:r>
      <w:r>
        <w:rPr>
          <w:i/>
        </w:rPr>
        <w:t>Kidney Int</w:t>
      </w:r>
      <w:r>
        <w:t>. 2023;104(5S)\:S1-S127.</w:t>
      </w:r>
    </w:p>
    <w:p>
      <w:pPr>
        <w:pStyle w:val="ListNumber"/>
      </w:pPr>
      <w:r>
        <w:t xml:space="preserve">Drucker DJ. Mechanisms of Action and Physiological Effects of Glucagon-Like Peptide-1. </w:t>
      </w:r>
      <w:r>
        <w:rPr>
          <w:i/>
        </w:rPr>
        <w:t>Cell Metab</w:t>
      </w:r>
      <w:r>
        <w:t>. 2018;27(4):740-756.</w:t>
      </w:r>
    </w:p>
    <w:p>
      <w:pPr>
        <w:pStyle w:val="ListNumber"/>
      </w:pPr>
      <w:r>
        <w:t xml:space="preserve">Heerspink HJL, Sattar N, Pavo I, et al. Effects of tirzepatide versus dulaglutide on kidney outcomes in type 2 diabetes (SURPASS-4). </w:t>
      </w:r>
      <w:r>
        <w:rPr>
          <w:i/>
        </w:rPr>
        <w:t>Lancet Diabetes Endocrinol</w:t>
      </w:r>
      <w:r>
        <w:t>. 2022;10(11):774-785.</w:t>
      </w:r>
    </w:p>
    <w:p>
      <w:pPr>
        <w:pStyle w:val="ListNumber"/>
      </w:pPr>
      <w:r>
        <w:t xml:space="preserve">Buse JB, Wexler DJ, Tsapas A, et al. Management of Hyperglycemia in Type 2 Diabetes: A Consensus Report by the ADA and EASD. </w:t>
      </w:r>
      <w:r>
        <w:rPr>
          <w:i/>
        </w:rPr>
        <w:t>Diabetes Care</w:t>
      </w:r>
      <w:r>
        <w:t>. 2020;43(2):487-493.</w:t>
      </w:r>
    </w:p>
    <w:p>
      <w:pPr>
        <w:pStyle w:val="ListNumber"/>
      </w:pPr>
      <w:r>
        <w:t xml:space="preserve">Davies MJ, Aroda VR, Collins BS, et al. Management of Hyperglycemia in Type 2 Diabetes, 2022. A Consensus Report by ADA and EASD. </w:t>
      </w:r>
      <w:r>
        <w:rPr>
          <w:i/>
        </w:rPr>
        <w:t>Diabetologia</w:t>
      </w:r>
      <w:r>
        <w:t>. 2022;65(12):1925-1966.</w:t>
      </w:r>
    </w:p>
    <w:p>
      <w:pPr>
        <w:pStyle w:val="ListNumber"/>
      </w:pPr>
      <w:r>
        <w:t xml:space="preserve">Prattichizzo F, de Candia P, De Nigris V, et al. Incretin-based therapies and cardiovascular risk. </w:t>
      </w:r>
      <w:r>
        <w:rPr>
          <w:i/>
        </w:rPr>
        <w:t>Curr Med Chem</w:t>
      </w:r>
      <w:r>
        <w:t>. 2021;28(14):2720-2736.</w:t>
      </w:r>
    </w:p>
    <w:p>
      <w:pPr>
        <w:pStyle w:val="ListNumber"/>
      </w:pPr>
      <w:r>
        <w:t xml:space="preserve">Wilding JPH, Batterham RL, Calanna S, et al. Once-Weekly Semaglutide in Adults with Overweight or Obesity (STEP 1). </w:t>
      </w:r>
      <w:r>
        <w:rPr>
          <w:i/>
        </w:rPr>
        <w:t>N Engl J Med</w:t>
      </w:r>
      <w:r>
        <w:t>. 2021;384(11):991-1002.</w:t>
      </w:r>
    </w:p>
    <w:p>
      <w:pPr>
        <w:pStyle w:val="ListNumber"/>
      </w:pPr>
      <w:r>
        <w:t xml:space="preserve">Frias JP, Davies MJ, Rosenstock J, et al. Tirzepatide versus Semaglutide Once Weekly in Patients with Type 2 Diabetes (SURPASS-2). </w:t>
      </w:r>
      <w:r>
        <w:rPr>
          <w:i/>
        </w:rPr>
        <w:t>N Engl J Med</w:t>
      </w:r>
      <w:r>
        <w:t>. 2021;385(6):503-515.</w:t>
      </w:r>
    </w:p>
    <w:p>
      <w:pPr>
        <w:pStyle w:val="ListNumber"/>
      </w:pPr>
      <w:r>
        <w:t xml:space="preserve">Mann JFE, Ørsted DD, Brown-Frandsen K, et al. Liraglutide and Renal Outcomes in Type 2 Diabetes (LEADER). </w:t>
      </w:r>
      <w:r>
        <w:rPr>
          <w:i/>
        </w:rPr>
        <w:t>N Engl J Med</w:t>
      </w:r>
      <w:r>
        <w:t>. 2017;377(9):839-848.</w:t>
      </w:r>
    </w:p>
    <w:p>
      <w:pPr>
        <w:pStyle w:val="ListNumber"/>
      </w:pPr>
      <w:r>
        <w:t xml:space="preserve">Marso SP, Bain SC, Consoli A, et al. Semaglutide and Cardiovascular Outcomes in Patients with Type 2 Diabetes (SUSTAIN-6). </w:t>
      </w:r>
      <w:r>
        <w:rPr>
          <w:i/>
        </w:rPr>
        <w:t>N Engl J Med</w:t>
      </w:r>
      <w:r>
        <w:t>. 2016;375(19):1834-1844.</w:t>
      </w:r>
    </w:p>
    <w:p>
      <w:pPr>
        <w:pStyle w:val="ListNumber"/>
      </w:pPr>
      <w:r>
        <w:t xml:space="preserve">Gerstein HC, Colhoun HM, Dagenais GR, et al. Dulaglutide and cardiovascular outcomes in type 2 diabetes (REWIND). </w:t>
      </w:r>
      <w:r>
        <w:rPr>
          <w:i/>
        </w:rPr>
        <w:t>Lancet</w:t>
      </w:r>
      <w:r>
        <w:t>. 2019;394(10193):121-130.</w:t>
      </w:r>
    </w:p>
    <w:p>
      <w:pPr>
        <w:pStyle w:val="ListNumber"/>
      </w:pPr>
      <w:r>
        <w:t xml:space="preserve">Husain M, Birkenfeld AL, Donsmark M, et al. Oral Semaglutide and Cardiovascular Outcomes in Type 2 Diabetes (PIONEER 6). </w:t>
      </w:r>
      <w:r>
        <w:rPr>
          <w:i/>
        </w:rPr>
        <w:t>N Engl J Med</w:t>
      </w:r>
      <w:r>
        <w:t>. 2019;381(9):841-851.</w:t>
      </w:r>
    </w:p>
    <w:p>
      <w:pPr>
        <w:pStyle w:val="ListNumber"/>
      </w:pPr>
      <w:r>
        <w:t xml:space="preserve">Pfeffer MA, Claggett B, Diaz R, et al. Lixisenatide in Patients with Type 2 Diabetes and Acute Coronary Syndrome (ELIXA). </w:t>
      </w:r>
      <w:r>
        <w:rPr>
          <w:i/>
        </w:rPr>
        <w:t>N Engl J Med</w:t>
      </w:r>
      <w:r>
        <w:t>. 2015;373(23):2247-2257.</w:t>
      </w:r>
    </w:p>
    <w:p>
      <w:pPr>
        <w:pStyle w:val="ListNumber"/>
      </w:pPr>
      <w:r>
        <w:t xml:space="preserve">Holman RR, Bethel MA, Mentz RJ, et al. Effects of Once-Weekly Exenatide on Cardiovascular Outcomes in Type 2 Diabetes (EXSCEL). </w:t>
      </w:r>
      <w:r>
        <w:rPr>
          <w:i/>
        </w:rPr>
        <w:t>N Engl J Med</w:t>
      </w:r>
      <w:r>
        <w:t>. 2017;377(13):1228-1239.</w:t>
      </w:r>
    </w:p>
    <w:p>
      <w:pPr>
        <w:pStyle w:val="ListNumber"/>
      </w:pPr>
      <w:r>
        <w:t xml:space="preserve">Kristensen SL, Rørth R, Jhund PS, et al. Cardiovascular, mortality, and kidney outcomes with GLP-1 receptor agonists in patients with type 2 diabetes: a systematic review and meta-analysis. </w:t>
      </w:r>
      <w:r>
        <w:rPr>
          <w:i/>
        </w:rPr>
        <w:t>Lancet Diabetes Endocrinol</w:t>
      </w:r>
      <w:r>
        <w:t>. 2019;7(11):853-861.</w:t>
      </w:r>
    </w:p>
    <w:p>
      <w:pPr>
        <w:pStyle w:val="ListNumber"/>
      </w:pPr>
      <w:r>
        <w:t xml:space="preserve">Jastreboff AM, Kaplan LM, Frías JP, et al. Triple-hormone-receptor agonist retatrutide for obesity — a phase 2 trial. </w:t>
      </w:r>
      <w:r>
        <w:rPr>
          <w:i/>
        </w:rPr>
        <w:t>N Engl J Med</w:t>
      </w:r>
      <w:r>
        <w:t>. 2023;389(6):514-526.</w:t>
      </w:r>
    </w:p>
    <w:p>
      <w:pPr>
        <w:pStyle w:val="ListNumber"/>
      </w:pPr>
      <w:r>
        <w:t xml:space="preserve">Wharton S, Blevins T, Connery L, et al. Daily Oral Nonpeptide GLP-1 Receptor Agonist Orforglipron for Obesity. </w:t>
      </w:r>
      <w:r>
        <w:rPr>
          <w:i/>
        </w:rPr>
        <w:t>N Engl J Med</w:t>
      </w:r>
      <w:r>
        <w:t>. 2023;389(10):877-888.</w:t>
      </w:r>
    </w:p>
    <w:p>
      <w:pPr>
        <w:pStyle w:val="ListNumber"/>
      </w:pPr>
      <w:r>
        <w:t xml:space="preserve">Knop FK, Aroda VR, do Vale RD, et al. Oral semaglutide 50 mg taken once daily in adults with overweight or obesity (OASIS 1). </w:t>
      </w:r>
      <w:r>
        <w:rPr>
          <w:i/>
        </w:rPr>
        <w:t>Lancet</w:t>
      </w:r>
      <w:r>
        <w:t>. 2023;402(10403):705-719.</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Incretin-Based Therapeutics Research Summary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