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INSTRUCTIONAL DESIGN STRATEGY</w:t>
        <w:br/>
      </w:r>
      <w:r>
        <w:rPr>
          <w:b/>
          <w:sz w:val="40"/>
        </w:rPr>
        <w:t>Introduction to Project Management</w:t>
      </w:r>
    </w:p>
    <w:p>
      <w:pPr>
        <w:jc w:val="center"/>
      </w:pPr>
      <w:r>
        <w:rPr>
          <w:i/>
        </w:rPr>
        <w:br/>
        <w:t>Comprehensive Strategy for a Hypothetical Online Course</w:t>
      </w:r>
    </w:p>
    <w:p>
      <w:pPr>
        <w:jc w:val="center"/>
      </w:pPr>
      <w:r>
        <w:br/>
        <w:t>Prepared as an Instructional Design Project</w:t>
        <w:br/>
      </w:r>
      <w:r>
        <w:t>Focus: Learning Objectives • Target Audience • Instructional Methods &amp; Media • Assessment • Course Outline</w:t>
      </w:r>
    </w:p>
    <w:p>
      <w:r>
        <w:br w:type="page"/>
      </w:r>
    </w:p>
    <w:p>
      <w:pPr>
        <w:pStyle w:val="Heading1"/>
      </w:pPr>
      <w:r>
        <w:t>Executive Summary</w:t>
      </w:r>
    </w:p>
    <w:p>
      <w:r>
        <w:t>This instructional design strategy proposes an eight-week online course titled Introduction to Project Management. The course is designed for learners who need a practical foundation in project initiation, planning, execution, risk management, performance measurement, and closeout. The strategy prioritizes workplace relevance, manageable online learning experiences, active practice, and measurable assessment. Each instructional component is explicitly connected to course learning objectives so that learners move from understanding project-management concepts to applying them in realistic project situations.</w:t>
      </w:r>
    </w:p>
    <w:p>
      <w:pPr>
        <w:pStyle w:val="Heading1"/>
      </w:pPr>
      <w:r>
        <w:t>1. Course Purpose and Strategic Design Approach</w:t>
      </w:r>
    </w:p>
    <w:p>
      <w:r>
        <w:t>The course introduces the principles, tools, and decision-making practices needed to participate effectively in projects. Rather than relying primarily on lectures, the design combines short explanations with scenarios, templates, collaborative activities, software demonstrations, discussion, and a cumulative capstone. The course follows a practical ADDIE structure: analyze learner needs, design aligned learning experiences, develop learning assets, implement the online course, and evaluate results for continuous improvement.</w:t>
      </w:r>
    </w:p>
    <w:p>
      <w:r>
        <w:t>Design principles:</w:t>
      </w:r>
    </w:p>
    <w:p>
      <w:pPr>
        <w:pStyle w:val="ListBullet"/>
      </w:pPr>
      <w:r>
        <w:t>Alignment: learning activities and assessments directly measure stated objectives.</w:t>
      </w:r>
    </w:p>
    <w:p>
      <w:pPr>
        <w:pStyle w:val="ListBullet"/>
      </w:pPr>
      <w:r>
        <w:t>Application: learners repeatedly use project-management tools rather than only recalling definitions.</w:t>
      </w:r>
    </w:p>
    <w:p>
      <w:pPr>
        <w:pStyle w:val="ListBullet"/>
      </w:pPr>
      <w:r>
        <w:t>Accessibility: content is chunked into short units, supported by captions, transcripts, downloadable templates, and clear instructions.</w:t>
      </w:r>
    </w:p>
    <w:p>
      <w:pPr>
        <w:pStyle w:val="ListBullet"/>
      </w:pPr>
      <w:r>
        <w:t>Authenticity: examples reflect workplace situations such as scope changes, stakeholder conflict, scheduling pressure, and project risk.</w:t>
      </w:r>
    </w:p>
    <w:p>
      <w:pPr>
        <w:pStyle w:val="ListBullet"/>
      </w:pPr>
      <w:r>
        <w:t>Progression: learners move from foundational knowledge to application, analysis, evaluation, and creation.</w:t>
      </w:r>
    </w:p>
    <w:p>
      <w:pPr>
        <w:pStyle w:val="ListBullet"/>
      </w:pPr>
      <w:r>
        <w:t>Feedback: formative checks provide timely feedback before high-stakes submissions.</w:t>
      </w:r>
    </w:p>
    <w:p>
      <w:pPr>
        <w:pStyle w:val="Heading1"/>
      </w:pPr>
      <w:r>
        <w:t>2. Learning Objectives</w:t>
      </w:r>
    </w:p>
    <w:p>
      <w:r>
        <w:t>By the end of the course, learners will be able to:</w:t>
      </w:r>
    </w:p>
    <w:p>
      <w:r>
        <w:t>1. Explain the purpose of project management and distinguish project work from routine operational work.</w:t>
      </w:r>
    </w:p>
    <w:p>
      <w:r>
        <w:t>2. Identify stakeholders, analyze their influence and interests, and propose appropriate communication approaches.</w:t>
      </w:r>
    </w:p>
    <w:p>
      <w:r>
        <w:t>3. Develop a basic project charter, scope baseline, stakeholder register, and RACI matrix for a defined project.</w:t>
      </w:r>
    </w:p>
    <w:p>
      <w:r>
        <w:t>4. Construct a Work Breakdown Structure (WBS), identify activity dependencies, and calculate a basic critical path.</w:t>
      </w:r>
    </w:p>
    <w:p>
      <w:r>
        <w:t>5. Apply adaptive project-management practices by writing user stories, prioritizing a backlog, and organizing a sprint or Kanban workflow.</w:t>
      </w:r>
    </w:p>
    <w:p>
      <w:r>
        <w:t>6. Identify project risks, assess probability and impact, and recommend appropriate response and change-control actions.</w:t>
      </w:r>
    </w:p>
    <w:p>
      <w:r>
        <w:t>7. Interpret basic project performance measures, including cost/schedule variance, CPI, SPI, velocity, and burndown information.</w:t>
      </w:r>
    </w:p>
    <w:p>
      <w:r>
        <w:t>8. Integrate project artifacts into a professional capstone portfolio and explain lessons learned and project-closeout actions.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D9D9"/>
          </w:tcPr>
          <w:p>
            <w:r>
              <w:rPr>
                <w:b/>
                <w:sz w:val="18"/>
              </w:rPr>
              <w:t>Objective</w:t>
            </w:r>
          </w:p>
        </w:tc>
        <w:tc>
          <w:tcPr>
            <w:tcW w:type="dxa" w:w="3408"/>
            <w:shd w:fill="D9D9D9"/>
          </w:tcPr>
          <w:p>
            <w:r>
              <w:rPr>
                <w:b/>
                <w:sz w:val="18"/>
              </w:rPr>
              <w:t>Bloom's Level</w:t>
            </w:r>
          </w:p>
        </w:tc>
        <w:tc>
          <w:tcPr>
            <w:tcW w:type="dxa" w:w="3408"/>
            <w:shd w:fill="D9D9D9"/>
          </w:tcPr>
          <w:p>
            <w:r>
              <w:rPr>
                <w:b/>
                <w:sz w:val="18"/>
              </w:rPr>
              <w:t>Evidence of Achievement</w:t>
            </w:r>
          </w:p>
        </w:tc>
      </w:tr>
      <w:tr>
        <w:tc>
          <w:tcPr>
            <w:tcW w:type="dxa" w:w="3408"/>
            <w:vAlign w:val="top"/>
          </w:tcPr>
          <w:p>
            <w:r>
              <w:rPr>
                <w:sz w:val="17"/>
              </w:rPr>
              <w:t>1</w:t>
            </w:r>
          </w:p>
        </w:tc>
        <w:tc>
          <w:tcPr>
            <w:tcW w:type="dxa" w:w="3408"/>
            <w:vAlign w:val="top"/>
          </w:tcPr>
          <w:p>
            <w:r>
              <w:rPr>
                <w:sz w:val="17"/>
              </w:rPr>
              <w:t>Understand / Apply</w:t>
            </w:r>
          </w:p>
        </w:tc>
        <w:tc>
          <w:tcPr>
            <w:tcW w:type="dxa" w:w="3408"/>
            <w:vAlign w:val="top"/>
          </w:tcPr>
          <w:p>
            <w:r>
              <w:rPr>
                <w:sz w:val="17"/>
              </w:rPr>
              <w:t>Quiz and scenario activity</w:t>
            </w:r>
          </w:p>
        </w:tc>
      </w:tr>
      <w:tr>
        <w:tc>
          <w:tcPr>
            <w:tcW w:type="dxa" w:w="3408"/>
            <w:vAlign w:val="top"/>
          </w:tcPr>
          <w:p>
            <w:r>
              <w:rPr>
                <w:sz w:val="17"/>
              </w:rPr>
              <w:t>2</w:t>
            </w:r>
          </w:p>
        </w:tc>
        <w:tc>
          <w:tcPr>
            <w:tcW w:type="dxa" w:w="3408"/>
            <w:vAlign w:val="top"/>
          </w:tcPr>
          <w:p>
            <w:r>
              <w:rPr>
                <w:sz w:val="17"/>
              </w:rPr>
              <w:t>Apply / Analyze</w:t>
            </w:r>
          </w:p>
        </w:tc>
        <w:tc>
          <w:tcPr>
            <w:tcW w:type="dxa" w:w="3408"/>
            <w:vAlign w:val="top"/>
          </w:tcPr>
          <w:p>
            <w:r>
              <w:rPr>
                <w:sz w:val="17"/>
              </w:rPr>
              <w:t>Stakeholder map and communication plan</w:t>
            </w:r>
          </w:p>
        </w:tc>
      </w:tr>
      <w:tr>
        <w:tc>
          <w:tcPr>
            <w:tcW w:type="dxa" w:w="3408"/>
            <w:vAlign w:val="top"/>
          </w:tcPr>
          <w:p>
            <w:r>
              <w:rPr>
                <w:sz w:val="17"/>
              </w:rPr>
              <w:t>3</w:t>
            </w:r>
          </w:p>
        </w:tc>
        <w:tc>
          <w:tcPr>
            <w:tcW w:type="dxa" w:w="3408"/>
            <w:vAlign w:val="top"/>
          </w:tcPr>
          <w:p>
            <w:r>
              <w:rPr>
                <w:sz w:val="17"/>
              </w:rPr>
              <w:t>Apply / Create</w:t>
            </w:r>
          </w:p>
        </w:tc>
        <w:tc>
          <w:tcPr>
            <w:tcW w:type="dxa" w:w="3408"/>
            <w:vAlign w:val="top"/>
          </w:tcPr>
          <w:p>
            <w:r>
              <w:rPr>
                <w:sz w:val="17"/>
              </w:rPr>
              <w:t>Project charter, scope baseline and RACI</w:t>
            </w:r>
          </w:p>
        </w:tc>
      </w:tr>
      <w:tr>
        <w:tc>
          <w:tcPr>
            <w:tcW w:type="dxa" w:w="3408"/>
            <w:vAlign w:val="top"/>
          </w:tcPr>
          <w:p>
            <w:r>
              <w:rPr>
                <w:sz w:val="17"/>
              </w:rPr>
              <w:t>4</w:t>
            </w:r>
          </w:p>
        </w:tc>
        <w:tc>
          <w:tcPr>
            <w:tcW w:type="dxa" w:w="3408"/>
            <w:vAlign w:val="top"/>
          </w:tcPr>
          <w:p>
            <w:r>
              <w:rPr>
                <w:sz w:val="17"/>
              </w:rPr>
              <w:t>Apply / Analyze</w:t>
            </w:r>
          </w:p>
        </w:tc>
        <w:tc>
          <w:tcPr>
            <w:tcW w:type="dxa" w:w="3408"/>
            <w:vAlign w:val="top"/>
          </w:tcPr>
          <w:p>
            <w:r>
              <w:rPr>
                <w:sz w:val="17"/>
              </w:rPr>
              <w:t>WBS, network diagram and critical-path exercise</w:t>
            </w:r>
          </w:p>
        </w:tc>
      </w:tr>
      <w:tr>
        <w:tc>
          <w:tcPr>
            <w:tcW w:type="dxa" w:w="3408"/>
            <w:vAlign w:val="top"/>
          </w:tcPr>
          <w:p>
            <w:r>
              <w:rPr>
                <w:sz w:val="17"/>
              </w:rPr>
              <w:t>5</w:t>
            </w:r>
          </w:p>
        </w:tc>
        <w:tc>
          <w:tcPr>
            <w:tcW w:type="dxa" w:w="3408"/>
            <w:vAlign w:val="top"/>
          </w:tcPr>
          <w:p>
            <w:r>
              <w:rPr>
                <w:sz w:val="17"/>
              </w:rPr>
              <w:t>Apply / Analyze</w:t>
            </w:r>
          </w:p>
        </w:tc>
        <w:tc>
          <w:tcPr>
            <w:tcW w:type="dxa" w:w="3408"/>
            <w:vAlign w:val="top"/>
          </w:tcPr>
          <w:p>
            <w:r>
              <w:rPr>
                <w:sz w:val="17"/>
              </w:rPr>
              <w:t>User stories, prioritized backlog and board</w:t>
            </w:r>
          </w:p>
        </w:tc>
      </w:tr>
      <w:tr>
        <w:tc>
          <w:tcPr>
            <w:tcW w:type="dxa" w:w="3408"/>
            <w:vAlign w:val="top"/>
          </w:tcPr>
          <w:p>
            <w:r>
              <w:rPr>
                <w:sz w:val="17"/>
              </w:rPr>
              <w:t>6</w:t>
            </w:r>
          </w:p>
        </w:tc>
        <w:tc>
          <w:tcPr>
            <w:tcW w:type="dxa" w:w="3408"/>
            <w:vAlign w:val="top"/>
          </w:tcPr>
          <w:p>
            <w:r>
              <w:rPr>
                <w:sz w:val="17"/>
              </w:rPr>
              <w:t>Analyze / Evaluate</w:t>
            </w:r>
          </w:p>
        </w:tc>
        <w:tc>
          <w:tcPr>
            <w:tcW w:type="dxa" w:w="3408"/>
            <w:vAlign w:val="top"/>
          </w:tcPr>
          <w:p>
            <w:r>
              <w:rPr>
                <w:sz w:val="17"/>
              </w:rPr>
              <w:t>Risk register and change-control case</w:t>
            </w:r>
          </w:p>
        </w:tc>
      </w:tr>
      <w:tr>
        <w:tc>
          <w:tcPr>
            <w:tcW w:type="dxa" w:w="3408"/>
            <w:vAlign w:val="top"/>
          </w:tcPr>
          <w:p>
            <w:r>
              <w:rPr>
                <w:sz w:val="17"/>
              </w:rPr>
              <w:t>7</w:t>
            </w:r>
          </w:p>
        </w:tc>
        <w:tc>
          <w:tcPr>
            <w:tcW w:type="dxa" w:w="3408"/>
            <w:vAlign w:val="top"/>
          </w:tcPr>
          <w:p>
            <w:r>
              <w:rPr>
                <w:sz w:val="17"/>
              </w:rPr>
              <w:t>Analyze / Evaluate</w:t>
            </w:r>
          </w:p>
        </w:tc>
        <w:tc>
          <w:tcPr>
            <w:tcW w:type="dxa" w:w="3408"/>
            <w:vAlign w:val="top"/>
          </w:tcPr>
          <w:p>
            <w:r>
              <w:rPr>
                <w:sz w:val="17"/>
              </w:rPr>
              <w:t>EVM and agile analytics exercise</w:t>
            </w:r>
          </w:p>
        </w:tc>
      </w:tr>
      <w:tr>
        <w:tc>
          <w:tcPr>
            <w:tcW w:type="dxa" w:w="3408"/>
            <w:vAlign w:val="top"/>
          </w:tcPr>
          <w:p>
            <w:r>
              <w:rPr>
                <w:sz w:val="17"/>
              </w:rPr>
              <w:t>8</w:t>
            </w:r>
          </w:p>
        </w:tc>
        <w:tc>
          <w:tcPr>
            <w:tcW w:type="dxa" w:w="3408"/>
            <w:vAlign w:val="top"/>
          </w:tcPr>
          <w:p>
            <w:r>
              <w:rPr>
                <w:sz w:val="17"/>
              </w:rPr>
              <w:t>Evaluate / Create</w:t>
            </w:r>
          </w:p>
        </w:tc>
        <w:tc>
          <w:tcPr>
            <w:tcW w:type="dxa" w:w="3408"/>
            <w:vAlign w:val="top"/>
          </w:tcPr>
          <w:p>
            <w:r>
              <w:rPr>
                <w:sz w:val="17"/>
              </w:rPr>
              <w:t>Integrated capstone portfolio</w:t>
            </w:r>
          </w:p>
        </w:tc>
      </w:tr>
    </w:tbl>
    <w:p/>
    <w:p>
      <w:pPr>
        <w:pStyle w:val="Heading1"/>
      </w:pPr>
      <w:r>
        <w:t>3. Target Audience and Learner Needs</w:t>
      </w:r>
    </w:p>
    <w:p>
      <w:r>
        <w:t>The primary audience consists of adult learners who are new to formal project management. They may include early-career professionals, functional employees taking responsibility for cross-functional initiatives, technical specialists moving toward coordination or leadership roles, and students preparing for entry-level project work. The course assumes no advanced project-management experience.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D9D9"/>
          </w:tcPr>
          <w:p>
            <w:r>
              <w:rPr>
                <w:b/>
                <w:sz w:val="18"/>
              </w:rPr>
              <w:t>Learner Persona</w:t>
            </w:r>
          </w:p>
        </w:tc>
        <w:tc>
          <w:tcPr>
            <w:tcW w:type="dxa" w:w="3408"/>
            <w:shd w:fill="D9D9D9"/>
          </w:tcPr>
          <w:p>
            <w:r>
              <w:rPr>
                <w:b/>
                <w:sz w:val="18"/>
              </w:rPr>
              <w:t>Needs / Constraints</w:t>
            </w:r>
          </w:p>
        </w:tc>
        <w:tc>
          <w:tcPr>
            <w:tcW w:type="dxa" w:w="3408"/>
            <w:shd w:fill="D9D9D9"/>
          </w:tcPr>
          <w:p>
            <w:r>
              <w:rPr>
                <w:b/>
                <w:sz w:val="18"/>
              </w:rPr>
              <w:t>Design Response</w:t>
            </w:r>
          </w:p>
        </w:tc>
      </w:tr>
      <w:tr>
        <w:tc>
          <w:tcPr>
            <w:tcW w:type="dxa" w:w="3408"/>
            <w:vAlign w:val="top"/>
          </w:tcPr>
          <w:p>
            <w:r>
              <w:rPr>
                <w:sz w:val="17"/>
              </w:rPr>
              <w:t>Operational Manager (Priya)</w:t>
            </w:r>
          </w:p>
        </w:tc>
        <w:tc>
          <w:tcPr>
            <w:tcW w:type="dxa" w:w="3408"/>
            <w:vAlign w:val="top"/>
          </w:tcPr>
          <w:p>
            <w:r>
              <w:rPr>
                <w:sz w:val="17"/>
              </w:rPr>
              <w:t>3–5 years of functional experience; limited study time; needs practical governance and planning tools.</w:t>
            </w:r>
          </w:p>
        </w:tc>
        <w:tc>
          <w:tcPr>
            <w:tcW w:type="dxa" w:w="3408"/>
            <w:vAlign w:val="top"/>
          </w:tcPr>
          <w:p>
            <w:r>
              <w:rPr>
                <w:sz w:val="17"/>
              </w:rPr>
              <w:t>3–5 minute microlearning, downloadable templates, workplace cases and asynchronous activities.</w:t>
            </w:r>
          </w:p>
        </w:tc>
      </w:tr>
      <w:tr>
        <w:tc>
          <w:tcPr>
            <w:tcW w:type="dxa" w:w="3408"/>
            <w:vAlign w:val="top"/>
          </w:tcPr>
          <w:p>
            <w:r>
              <w:rPr>
                <w:sz w:val="17"/>
              </w:rPr>
              <w:t>Technical Specialist (Alex)</w:t>
            </w:r>
          </w:p>
        </w:tc>
        <w:tc>
          <w:tcPr>
            <w:tcW w:type="dxa" w:w="3408"/>
            <w:vAlign w:val="top"/>
          </w:tcPr>
          <w:p>
            <w:r>
              <w:rPr>
                <w:sz w:val="17"/>
              </w:rPr>
              <w:t>Strong technical knowledge but limited formal PM knowledge; may find abstract theory difficult.</w:t>
            </w:r>
          </w:p>
        </w:tc>
        <w:tc>
          <w:tcPr>
            <w:tcW w:type="dxa" w:w="3408"/>
            <w:vAlign w:val="top"/>
          </w:tcPr>
          <w:p>
            <w:r>
              <w:rPr>
                <w:sz w:val="17"/>
              </w:rPr>
              <w:t>Tool demonstrations, simulations, scenarios, user stories, Kanban activities and worked examples.</w:t>
            </w:r>
          </w:p>
        </w:tc>
      </w:tr>
      <w:tr>
        <w:tc>
          <w:tcPr>
            <w:tcW w:type="dxa" w:w="3408"/>
            <w:vAlign w:val="top"/>
          </w:tcPr>
          <w:p>
            <w:r>
              <w:rPr>
                <w:sz w:val="17"/>
              </w:rPr>
              <w:t>Academic / Career Starter</w:t>
            </w:r>
          </w:p>
        </w:tc>
        <w:tc>
          <w:tcPr>
            <w:tcW w:type="dxa" w:w="3408"/>
            <w:vAlign w:val="top"/>
          </w:tcPr>
          <w:p>
            <w:r>
              <w:rPr>
                <w:sz w:val="17"/>
              </w:rPr>
              <w:t>Limited workplace exposure; wants foundational competence and portfolio evidence.</w:t>
            </w:r>
          </w:p>
        </w:tc>
        <w:tc>
          <w:tcPr>
            <w:tcW w:type="dxa" w:w="3408"/>
            <w:vAlign w:val="top"/>
          </w:tcPr>
          <w:p>
            <w:r>
              <w:rPr>
                <w:sz w:val="17"/>
              </w:rPr>
              <w:t>Glossary support, guided examples, peer review, structured templates and a complete capstone.</w:t>
            </w:r>
          </w:p>
        </w:tc>
      </w:tr>
    </w:tbl>
    <w:p/>
    <w:p>
      <w:pPr>
        <w:pStyle w:val="Heading2"/>
      </w:pPr>
      <w:r>
        <w:t>Learner Needs Analysis</w:t>
      </w:r>
    </w:p>
    <w:p>
      <w:pPr>
        <w:pStyle w:val="ListBullet"/>
      </w:pPr>
      <w:r>
        <w:t>Time efficiency: activities should fit into approximately 3–5 hours per week.</w:t>
      </w:r>
    </w:p>
    <w:p>
      <w:pPr>
        <w:pStyle w:val="ListBullet"/>
      </w:pPr>
      <w:r>
        <w:t>Practical relevance: every major concept should connect to a workplace decision, artifact, or scenario.</w:t>
      </w:r>
    </w:p>
    <w:p>
      <w:pPr>
        <w:pStyle w:val="ListBullet"/>
      </w:pPr>
      <w:r>
        <w:t>Scaffolding: complex tasks should begin with worked examples before learners complete independent work.</w:t>
      </w:r>
    </w:p>
    <w:p>
      <w:pPr>
        <w:pStyle w:val="ListBullet"/>
      </w:pPr>
      <w:r>
        <w:t>Digital confidence: software activities should include step-by-step orientation before unguided practice.</w:t>
      </w:r>
    </w:p>
    <w:p>
      <w:pPr>
        <w:pStyle w:val="ListBullet"/>
      </w:pPr>
      <w:r>
        <w:t>Feedback: learners need frequent low-stakes checks so misconceptions are corrected early.</w:t>
      </w:r>
    </w:p>
    <w:p>
      <w:pPr>
        <w:pStyle w:val="ListBullet"/>
      </w:pPr>
      <w:r>
        <w:t>Different prior knowledge: optional reference material and extension activities should support both beginners and more experienced learners.</w:t>
      </w:r>
    </w:p>
    <w:p>
      <w:pPr>
        <w:pStyle w:val="Heading1"/>
      </w:pPr>
      <w:r>
        <w:t>4. Instructional Methods and Media Strategy</w:t>
      </w:r>
    </w:p>
    <w:p>
      <w:r>
        <w:t>The instructional approach combines asynchronous microlearning, scenario-based learning, demonstrations, guided practice, collaborative learning, discussion, and project-based learning. This combination supports knowledge acquisition while emphasizing transfer to practical project situations.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D9D9"/>
          </w:tcPr>
          <w:p>
            <w:r>
              <w:rPr>
                <w:b/>
                <w:sz w:val="18"/>
              </w:rPr>
              <w:t>Method / Media</w:t>
            </w:r>
          </w:p>
        </w:tc>
        <w:tc>
          <w:tcPr>
            <w:tcW w:type="dxa" w:w="2556"/>
            <w:shd w:fill="D9D9D9"/>
          </w:tcPr>
          <w:p>
            <w:r>
              <w:rPr>
                <w:b/>
                <w:sz w:val="18"/>
              </w:rPr>
              <w:t>Purpose</w:t>
            </w:r>
          </w:p>
        </w:tc>
        <w:tc>
          <w:tcPr>
            <w:tcW w:type="dxa" w:w="2556"/>
            <w:shd w:fill="D9D9D9"/>
          </w:tcPr>
          <w:p>
            <w:r>
              <w:rPr>
                <w:b/>
                <w:sz w:val="18"/>
              </w:rPr>
              <w:t>Learner Activity</w:t>
            </w:r>
          </w:p>
        </w:tc>
        <w:tc>
          <w:tcPr>
            <w:tcW w:type="dxa" w:w="2556"/>
            <w:shd w:fill="D9D9D9"/>
          </w:tcPr>
          <w:p>
            <w:r>
              <w:rPr>
                <w:b/>
                <w:sz w:val="18"/>
              </w:rPr>
              <w:t>Connection to Objectives</w:t>
            </w:r>
          </w:p>
        </w:tc>
      </w:tr>
      <w:tr>
        <w:tc>
          <w:tcPr>
            <w:tcW w:type="dxa" w:w="2556"/>
            <w:vAlign w:val="top"/>
          </w:tcPr>
          <w:p>
            <w:r>
              <w:rPr>
                <w:sz w:val="17"/>
              </w:rPr>
              <w:t>Microlearning videos</w:t>
            </w:r>
          </w:p>
        </w:tc>
        <w:tc>
          <w:tcPr>
            <w:tcW w:type="dxa" w:w="2556"/>
            <w:vAlign w:val="top"/>
          </w:tcPr>
          <w:p>
            <w:r>
              <w:rPr>
                <w:sz w:val="17"/>
              </w:rPr>
              <w:t>Explain one concept at a time.</w:t>
            </w:r>
          </w:p>
        </w:tc>
        <w:tc>
          <w:tcPr>
            <w:tcW w:type="dxa" w:w="2556"/>
            <w:vAlign w:val="top"/>
          </w:tcPr>
          <w:p>
            <w:r>
              <w:rPr>
                <w:sz w:val="17"/>
              </w:rPr>
              <w:t>Watch 3–5 minute segments and complete embedded checks.</w:t>
            </w:r>
          </w:p>
        </w:tc>
        <w:tc>
          <w:tcPr>
            <w:tcW w:type="dxa" w:w="2556"/>
            <w:vAlign w:val="top"/>
          </w:tcPr>
          <w:p>
            <w:r>
              <w:rPr>
                <w:sz w:val="17"/>
              </w:rPr>
              <w:t>1–8</w:t>
            </w:r>
          </w:p>
        </w:tc>
      </w:tr>
      <w:tr>
        <w:tc>
          <w:tcPr>
            <w:tcW w:type="dxa" w:w="2556"/>
            <w:vAlign w:val="top"/>
          </w:tcPr>
          <w:p>
            <w:r>
              <w:rPr>
                <w:sz w:val="17"/>
              </w:rPr>
              <w:t>Worked examples</w:t>
            </w:r>
          </w:p>
        </w:tc>
        <w:tc>
          <w:tcPr>
            <w:tcW w:type="dxa" w:w="2556"/>
            <w:vAlign w:val="top"/>
          </w:tcPr>
          <w:p>
            <w:r>
              <w:rPr>
                <w:sz w:val="17"/>
              </w:rPr>
              <w:t>Model professional project artifacts.</w:t>
            </w:r>
          </w:p>
        </w:tc>
        <w:tc>
          <w:tcPr>
            <w:tcW w:type="dxa" w:w="2556"/>
            <w:vAlign w:val="top"/>
          </w:tcPr>
          <w:p>
            <w:r>
              <w:rPr>
                <w:sz w:val="17"/>
              </w:rPr>
              <w:t>Review a completed charter, WBS, risk register or report.</w:t>
            </w:r>
          </w:p>
        </w:tc>
        <w:tc>
          <w:tcPr>
            <w:tcW w:type="dxa" w:w="2556"/>
            <w:vAlign w:val="top"/>
          </w:tcPr>
          <w:p>
            <w:r>
              <w:rPr>
                <w:sz w:val="17"/>
              </w:rPr>
              <w:t>3, 4, 6, 7</w:t>
            </w:r>
          </w:p>
        </w:tc>
      </w:tr>
      <w:tr>
        <w:tc>
          <w:tcPr>
            <w:tcW w:type="dxa" w:w="2556"/>
            <w:vAlign w:val="top"/>
          </w:tcPr>
          <w:p>
            <w:r>
              <w:rPr>
                <w:sz w:val="17"/>
              </w:rPr>
              <w:t>Scenario-based learning</w:t>
            </w:r>
          </w:p>
        </w:tc>
        <w:tc>
          <w:tcPr>
            <w:tcW w:type="dxa" w:w="2556"/>
            <w:vAlign w:val="top"/>
          </w:tcPr>
          <w:p>
            <w:r>
              <w:rPr>
                <w:sz w:val="17"/>
              </w:rPr>
              <w:t>Develop decision-making skills.</w:t>
            </w:r>
          </w:p>
        </w:tc>
        <w:tc>
          <w:tcPr>
            <w:tcW w:type="dxa" w:w="2556"/>
            <w:vAlign w:val="top"/>
          </w:tcPr>
          <w:p>
            <w:r>
              <w:rPr>
                <w:sz w:val="17"/>
              </w:rPr>
              <w:t>Choose actions in scope, stakeholder, risk and change scenarios.</w:t>
            </w:r>
          </w:p>
        </w:tc>
        <w:tc>
          <w:tcPr>
            <w:tcW w:type="dxa" w:w="2556"/>
            <w:vAlign w:val="top"/>
          </w:tcPr>
          <w:p>
            <w:r>
              <w:rPr>
                <w:sz w:val="17"/>
              </w:rPr>
              <w:t>2, 5, 6, 7</w:t>
            </w:r>
          </w:p>
        </w:tc>
      </w:tr>
      <w:tr>
        <w:tc>
          <w:tcPr>
            <w:tcW w:type="dxa" w:w="2556"/>
            <w:vAlign w:val="top"/>
          </w:tcPr>
          <w:p>
            <w:r>
              <w:rPr>
                <w:sz w:val="17"/>
              </w:rPr>
              <w:t>Miro / visual mapping</w:t>
            </w:r>
          </w:p>
        </w:tc>
        <w:tc>
          <w:tcPr>
            <w:tcW w:type="dxa" w:w="2556"/>
            <w:vAlign w:val="top"/>
          </w:tcPr>
          <w:p>
            <w:r>
              <w:rPr>
                <w:sz w:val="17"/>
              </w:rPr>
              <w:t>Support visual planning and collaboration.</w:t>
            </w:r>
          </w:p>
        </w:tc>
        <w:tc>
          <w:tcPr>
            <w:tcW w:type="dxa" w:w="2556"/>
            <w:vAlign w:val="top"/>
          </w:tcPr>
          <w:p>
            <w:r>
              <w:rPr>
                <w:sz w:val="17"/>
              </w:rPr>
              <w:t>Build stakeholder maps and WBS structures.</w:t>
            </w:r>
          </w:p>
        </w:tc>
        <w:tc>
          <w:tcPr>
            <w:tcW w:type="dxa" w:w="2556"/>
            <w:vAlign w:val="top"/>
          </w:tcPr>
          <w:p>
            <w:r>
              <w:rPr>
                <w:sz w:val="17"/>
              </w:rPr>
              <w:t>2, 4</w:t>
            </w:r>
          </w:p>
        </w:tc>
      </w:tr>
      <w:tr>
        <w:tc>
          <w:tcPr>
            <w:tcW w:type="dxa" w:w="2556"/>
            <w:vAlign w:val="top"/>
          </w:tcPr>
          <w:p>
            <w:r>
              <w:rPr>
                <w:sz w:val="17"/>
              </w:rPr>
              <w:t>Jira / Asana-style workflow practice</w:t>
            </w:r>
          </w:p>
        </w:tc>
        <w:tc>
          <w:tcPr>
            <w:tcW w:type="dxa" w:w="2556"/>
            <w:vAlign w:val="top"/>
          </w:tcPr>
          <w:p>
            <w:r>
              <w:rPr>
                <w:sz w:val="17"/>
              </w:rPr>
              <w:t>Apply adaptive planning concepts.</w:t>
            </w:r>
          </w:p>
        </w:tc>
        <w:tc>
          <w:tcPr>
            <w:tcW w:type="dxa" w:w="2556"/>
            <w:vAlign w:val="top"/>
          </w:tcPr>
          <w:p>
            <w:r>
              <w:rPr>
                <w:sz w:val="17"/>
              </w:rPr>
              <w:t>Create user stories, backlog items and workflow boards.</w:t>
            </w:r>
          </w:p>
        </w:tc>
        <w:tc>
          <w:tcPr>
            <w:tcW w:type="dxa" w:w="2556"/>
            <w:vAlign w:val="top"/>
          </w:tcPr>
          <w:p>
            <w:r>
              <w:rPr>
                <w:sz w:val="17"/>
              </w:rPr>
              <w:t>5</w:t>
            </w:r>
          </w:p>
        </w:tc>
      </w:tr>
      <w:tr>
        <w:tc>
          <w:tcPr>
            <w:tcW w:type="dxa" w:w="2556"/>
            <w:vAlign w:val="top"/>
          </w:tcPr>
          <w:p>
            <w:r>
              <w:rPr>
                <w:sz w:val="17"/>
              </w:rPr>
              <w:t>Discussion and peer review</w:t>
            </w:r>
          </w:p>
        </w:tc>
        <w:tc>
          <w:tcPr>
            <w:tcW w:type="dxa" w:w="2556"/>
            <w:vAlign w:val="top"/>
          </w:tcPr>
          <w:p>
            <w:r>
              <w:rPr>
                <w:sz w:val="17"/>
              </w:rPr>
              <w:t>Develop communication and reflective learning.</w:t>
            </w:r>
          </w:p>
        </w:tc>
        <w:tc>
          <w:tcPr>
            <w:tcW w:type="dxa" w:w="2556"/>
            <w:vAlign w:val="top"/>
          </w:tcPr>
          <w:p>
            <w:r>
              <w:rPr>
                <w:sz w:val="17"/>
              </w:rPr>
              <w:t>Analyze cases and provide rubric-based feedback.</w:t>
            </w:r>
          </w:p>
        </w:tc>
        <w:tc>
          <w:tcPr>
            <w:tcW w:type="dxa" w:w="2556"/>
            <w:vAlign w:val="top"/>
          </w:tcPr>
          <w:p>
            <w:r>
              <w:rPr>
                <w:sz w:val="17"/>
              </w:rPr>
              <w:t>2, 6, 8</w:t>
            </w:r>
          </w:p>
        </w:tc>
      </w:tr>
      <w:tr>
        <w:tc>
          <w:tcPr>
            <w:tcW w:type="dxa" w:w="2556"/>
            <w:vAlign w:val="top"/>
          </w:tcPr>
          <w:p>
            <w:r>
              <w:rPr>
                <w:sz w:val="17"/>
              </w:rPr>
              <w:t>Capstone project</w:t>
            </w:r>
          </w:p>
        </w:tc>
        <w:tc>
          <w:tcPr>
            <w:tcW w:type="dxa" w:w="2556"/>
            <w:vAlign w:val="top"/>
          </w:tcPr>
          <w:p>
            <w:r>
              <w:rPr>
                <w:sz w:val="17"/>
              </w:rPr>
              <w:t>Integrate learning into an authentic product.</w:t>
            </w:r>
          </w:p>
        </w:tc>
        <w:tc>
          <w:tcPr>
            <w:tcW w:type="dxa" w:w="2556"/>
            <w:vAlign w:val="top"/>
          </w:tcPr>
          <w:p>
            <w:r>
              <w:rPr>
                <w:sz w:val="17"/>
              </w:rPr>
              <w:t>Create and present a hybrid project portfolio.</w:t>
            </w:r>
          </w:p>
        </w:tc>
        <w:tc>
          <w:tcPr>
            <w:tcW w:type="dxa" w:w="2556"/>
            <w:vAlign w:val="top"/>
          </w:tcPr>
          <w:p>
            <w:r>
              <w:rPr>
                <w:sz w:val="17"/>
              </w:rPr>
              <w:t>3–8</w:t>
            </w:r>
          </w:p>
        </w:tc>
      </w:tr>
    </w:tbl>
    <w:p/>
    <w:p>
      <w:pPr>
        <w:pStyle w:val="Heading2"/>
      </w:pPr>
      <w:r>
        <w:t>Example Instructional Sequence: Scope Creep</w:t>
      </w:r>
    </w:p>
    <w:p>
      <w:r>
        <w:t>A short module begins with a realistic client request for additional features shortly before launch. The learner first identifies the original scope, reviews the effect of the request on cost and schedule, examines a worked change-impact analysis, chooses a response in a branching scenario, receives immediate feedback, and finally records the decision in the project's change log. This sequence moves from attention and recall to demonstration, application, feedback, assessment, and transfer.</w:t>
      </w:r>
    </w:p>
    <w:p>
      <w:pPr>
        <w:pStyle w:val="Heading1"/>
      </w:pPr>
      <w:r>
        <w:t>5. Assessment Strategy</w:t>
      </w:r>
    </w:p>
    <w:p>
      <w:r>
        <w:t>Assessment is designed to measure both knowledge and practical performance. Formative assessments are used throughout the course to identify misconceptions and provide feedback; summative assessment is concentrated in an integrated capstone.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D9D9"/>
          </w:tcPr>
          <w:p>
            <w:r>
              <w:rPr>
                <w:b/>
                <w:sz w:val="18"/>
              </w:rPr>
              <w:t>Assessment</w:t>
            </w:r>
          </w:p>
        </w:tc>
        <w:tc>
          <w:tcPr>
            <w:tcW w:type="dxa" w:w="2556"/>
            <w:shd w:fill="D9D9D9"/>
          </w:tcPr>
          <w:p>
            <w:r>
              <w:rPr>
                <w:b/>
                <w:sz w:val="18"/>
              </w:rPr>
              <w:t>Timing</w:t>
            </w:r>
          </w:p>
        </w:tc>
        <w:tc>
          <w:tcPr>
            <w:tcW w:type="dxa" w:w="2556"/>
            <w:shd w:fill="D9D9D9"/>
          </w:tcPr>
          <w:p>
            <w:r>
              <w:rPr>
                <w:b/>
                <w:sz w:val="18"/>
              </w:rPr>
              <w:t>Weight</w:t>
            </w:r>
          </w:p>
        </w:tc>
        <w:tc>
          <w:tcPr>
            <w:tcW w:type="dxa" w:w="2556"/>
            <w:shd w:fill="D9D9D9"/>
          </w:tcPr>
          <w:p>
            <w:r>
              <w:rPr>
                <w:b/>
                <w:sz w:val="18"/>
              </w:rPr>
              <w:t>Purpose / Evidence</w:t>
            </w:r>
          </w:p>
        </w:tc>
      </w:tr>
      <w:tr>
        <w:tc>
          <w:tcPr>
            <w:tcW w:type="dxa" w:w="2556"/>
            <w:vAlign w:val="top"/>
          </w:tcPr>
          <w:p>
            <w:r>
              <w:rPr>
                <w:sz w:val="17"/>
              </w:rPr>
              <w:t>Concept quizzes and scenario checks</w:t>
            </w:r>
          </w:p>
        </w:tc>
        <w:tc>
          <w:tcPr>
            <w:tcW w:type="dxa" w:w="2556"/>
            <w:vAlign w:val="top"/>
          </w:tcPr>
          <w:p>
            <w:r>
              <w:rPr>
                <w:sz w:val="17"/>
              </w:rPr>
              <w:t>Weekly</w:t>
            </w:r>
          </w:p>
        </w:tc>
        <w:tc>
          <w:tcPr>
            <w:tcW w:type="dxa" w:w="2556"/>
            <w:vAlign w:val="top"/>
          </w:tcPr>
          <w:p>
            <w:r>
              <w:rPr>
                <w:sz w:val="17"/>
              </w:rPr>
              <w:t>15%</w:t>
            </w:r>
          </w:p>
        </w:tc>
        <w:tc>
          <w:tcPr>
            <w:tcW w:type="dxa" w:w="2556"/>
            <w:vAlign w:val="top"/>
          </w:tcPr>
          <w:p>
            <w:r>
              <w:rPr>
                <w:sz w:val="17"/>
              </w:rPr>
              <w:t>Check foundational knowledge and decision-making.</w:t>
            </w:r>
          </w:p>
        </w:tc>
      </w:tr>
      <w:tr>
        <w:tc>
          <w:tcPr>
            <w:tcW w:type="dxa" w:w="2556"/>
            <w:vAlign w:val="top"/>
          </w:tcPr>
          <w:p>
            <w:r>
              <w:rPr>
                <w:sz w:val="17"/>
              </w:rPr>
              <w:t>Tool/application exercises</w:t>
            </w:r>
          </w:p>
        </w:tc>
        <w:tc>
          <w:tcPr>
            <w:tcW w:type="dxa" w:w="2556"/>
            <w:vAlign w:val="top"/>
          </w:tcPr>
          <w:p>
            <w:r>
              <w:rPr>
                <w:sz w:val="17"/>
              </w:rPr>
              <w:t>Modules 2, 4, 6</w:t>
            </w:r>
          </w:p>
        </w:tc>
        <w:tc>
          <w:tcPr>
            <w:tcW w:type="dxa" w:w="2556"/>
            <w:vAlign w:val="top"/>
          </w:tcPr>
          <w:p>
            <w:r>
              <w:rPr>
                <w:sz w:val="17"/>
              </w:rPr>
              <w:t>20%</w:t>
            </w:r>
          </w:p>
        </w:tc>
        <w:tc>
          <w:tcPr>
            <w:tcW w:type="dxa" w:w="2556"/>
            <w:vAlign w:val="top"/>
          </w:tcPr>
          <w:p>
            <w:r>
              <w:rPr>
                <w:sz w:val="17"/>
              </w:rPr>
              <w:t>Verify ability to create and use project artifacts and workflows.</w:t>
            </w:r>
          </w:p>
        </w:tc>
      </w:tr>
      <w:tr>
        <w:tc>
          <w:tcPr>
            <w:tcW w:type="dxa" w:w="2556"/>
            <w:vAlign w:val="top"/>
          </w:tcPr>
          <w:p>
            <w:r>
              <w:rPr>
                <w:sz w:val="17"/>
              </w:rPr>
              <w:t>Peer-reviewed drafts</w:t>
            </w:r>
          </w:p>
        </w:tc>
        <w:tc>
          <w:tcPr>
            <w:tcW w:type="dxa" w:w="2556"/>
            <w:vAlign w:val="top"/>
          </w:tcPr>
          <w:p>
            <w:r>
              <w:rPr>
                <w:sz w:val="17"/>
              </w:rPr>
              <w:t>Modules 3 and 5</w:t>
            </w:r>
          </w:p>
        </w:tc>
        <w:tc>
          <w:tcPr>
            <w:tcW w:type="dxa" w:w="2556"/>
            <w:vAlign w:val="top"/>
          </w:tcPr>
          <w:p>
            <w:r>
              <w:rPr>
                <w:sz w:val="17"/>
              </w:rPr>
              <w:t>15%</w:t>
            </w:r>
          </w:p>
        </w:tc>
        <w:tc>
          <w:tcPr>
            <w:tcW w:type="dxa" w:w="2556"/>
            <w:vAlign w:val="top"/>
          </w:tcPr>
          <w:p>
            <w:r>
              <w:rPr>
                <w:sz w:val="17"/>
              </w:rPr>
              <w:t>Improve WBS, backlog and project decisions through structured feedback.</w:t>
            </w:r>
          </w:p>
        </w:tc>
      </w:tr>
      <w:tr>
        <w:tc>
          <w:tcPr>
            <w:tcW w:type="dxa" w:w="2556"/>
            <w:vAlign w:val="top"/>
          </w:tcPr>
          <w:p>
            <w:r>
              <w:rPr>
                <w:sz w:val="17"/>
              </w:rPr>
              <w:t>Reflection and discussion</w:t>
            </w:r>
          </w:p>
        </w:tc>
        <w:tc>
          <w:tcPr>
            <w:tcW w:type="dxa" w:w="2556"/>
            <w:vAlign w:val="top"/>
          </w:tcPr>
          <w:p>
            <w:r>
              <w:rPr>
                <w:sz w:val="17"/>
              </w:rPr>
              <w:t>Weekly</w:t>
            </w:r>
          </w:p>
        </w:tc>
        <w:tc>
          <w:tcPr>
            <w:tcW w:type="dxa" w:w="2556"/>
            <w:vAlign w:val="top"/>
          </w:tcPr>
          <w:p>
            <w:r>
              <w:rPr>
                <w:sz w:val="17"/>
              </w:rPr>
              <w:t>10%</w:t>
            </w:r>
          </w:p>
        </w:tc>
        <w:tc>
          <w:tcPr>
            <w:tcW w:type="dxa" w:w="2556"/>
            <w:vAlign w:val="top"/>
          </w:tcPr>
          <w:p>
            <w:r>
              <w:rPr>
                <w:sz w:val="17"/>
              </w:rPr>
              <w:t>Promote metacognition, communication and workplace transfer.</w:t>
            </w:r>
          </w:p>
        </w:tc>
      </w:tr>
      <w:tr>
        <w:tc>
          <w:tcPr>
            <w:tcW w:type="dxa" w:w="2556"/>
            <w:vAlign w:val="top"/>
          </w:tcPr>
          <w:p>
            <w:r>
              <w:rPr>
                <w:sz w:val="17"/>
              </w:rPr>
              <w:t>Final capstone portfolio</w:t>
            </w:r>
          </w:p>
        </w:tc>
        <w:tc>
          <w:tcPr>
            <w:tcW w:type="dxa" w:w="2556"/>
            <w:vAlign w:val="top"/>
          </w:tcPr>
          <w:p>
            <w:r>
              <w:rPr>
                <w:sz w:val="17"/>
              </w:rPr>
              <w:t>Module 8</w:t>
            </w:r>
          </w:p>
        </w:tc>
        <w:tc>
          <w:tcPr>
            <w:tcW w:type="dxa" w:w="2556"/>
            <w:vAlign w:val="top"/>
          </w:tcPr>
          <w:p>
            <w:r>
              <w:rPr>
                <w:sz w:val="17"/>
              </w:rPr>
              <w:t>40%</w:t>
            </w:r>
          </w:p>
        </w:tc>
        <w:tc>
          <w:tcPr>
            <w:tcW w:type="dxa" w:w="2556"/>
            <w:vAlign w:val="top"/>
          </w:tcPr>
          <w:p>
            <w:r>
              <w:rPr>
                <w:sz w:val="17"/>
              </w:rPr>
              <w:t>Demonstrate integrated mastery across project initiation, planning, adaptive execution, risk, measurement and closeout.</w:t>
            </w:r>
          </w:p>
        </w:tc>
      </w:tr>
    </w:tbl>
    <w:p/>
    <w:p>
      <w:pPr>
        <w:pStyle w:val="Heading2"/>
      </w:pPr>
      <w:r>
        <w:t>Capstone Single-Point Rubric</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D9D9"/>
          </w:tcPr>
          <w:p>
            <w:r>
              <w:rPr>
                <w:b/>
                <w:sz w:val="18"/>
              </w:rPr>
              <w:t>Criterion</w:t>
            </w:r>
          </w:p>
        </w:tc>
        <w:tc>
          <w:tcPr>
            <w:tcW w:type="dxa" w:w="3408"/>
            <w:shd w:fill="D9D9D9"/>
          </w:tcPr>
          <w:p>
            <w:r>
              <w:rPr>
                <w:b/>
                <w:sz w:val="18"/>
              </w:rPr>
              <w:t>Proficient Standard</w:t>
            </w:r>
          </w:p>
        </w:tc>
        <w:tc>
          <w:tcPr>
            <w:tcW w:type="dxa" w:w="3408"/>
            <w:shd w:fill="D9D9D9"/>
          </w:tcPr>
          <w:p>
            <w:r>
              <w:rPr>
                <w:b/>
                <w:sz w:val="18"/>
              </w:rPr>
              <w:t>Feedback / Advanced Evidence</w:t>
            </w:r>
          </w:p>
        </w:tc>
      </w:tr>
      <w:tr>
        <w:tc>
          <w:tcPr>
            <w:tcW w:type="dxa" w:w="3408"/>
            <w:vAlign w:val="top"/>
          </w:tcPr>
          <w:p>
            <w:r>
              <w:rPr>
                <w:sz w:val="17"/>
              </w:rPr>
              <w:t>Charter &amp; Scope</w:t>
            </w:r>
          </w:p>
        </w:tc>
        <w:tc>
          <w:tcPr>
            <w:tcW w:type="dxa" w:w="3408"/>
            <w:vAlign w:val="top"/>
          </w:tcPr>
          <w:p>
            <w:r>
              <w:rPr>
                <w:sz w:val="17"/>
              </w:rPr>
              <w:t>Defines at least 3 measurable objectives, success criteria, constraints and key stakeholders.</w:t>
            </w:r>
          </w:p>
        </w:tc>
        <w:tc>
          <w:tcPr>
            <w:tcW w:type="dxa" w:w="3408"/>
            <w:vAlign w:val="top"/>
          </w:tcPr>
          <w:p>
            <w:r>
              <w:rPr>
                <w:sz w:val="17"/>
              </w:rPr>
              <w:t>Feedback identifies scope gaps; advanced work shows strong strategic alignment.</w:t>
            </w:r>
          </w:p>
        </w:tc>
      </w:tr>
      <w:tr>
        <w:tc>
          <w:tcPr>
            <w:tcW w:type="dxa" w:w="3408"/>
            <w:vAlign w:val="top"/>
          </w:tcPr>
          <w:p>
            <w:r>
              <w:rPr>
                <w:sz w:val="17"/>
              </w:rPr>
              <w:t>WBS &amp; Schedule</w:t>
            </w:r>
          </w:p>
        </w:tc>
        <w:tc>
          <w:tcPr>
            <w:tcW w:type="dxa" w:w="3408"/>
            <w:vAlign w:val="top"/>
          </w:tcPr>
          <w:p>
            <w:r>
              <w:rPr>
                <w:sz w:val="17"/>
              </w:rPr>
              <w:t>Provides a multi-level WBS, logical dependencies and an accurate critical path.</w:t>
            </w:r>
          </w:p>
        </w:tc>
        <w:tc>
          <w:tcPr>
            <w:tcW w:type="dxa" w:w="3408"/>
            <w:vAlign w:val="top"/>
          </w:tcPr>
          <w:p>
            <w:r>
              <w:rPr>
                <w:sz w:val="17"/>
              </w:rPr>
              <w:t>Feedback targets missing work packages or dependencies; advanced work demonstrates strong scheduling logic.</w:t>
            </w:r>
          </w:p>
        </w:tc>
      </w:tr>
      <w:tr>
        <w:tc>
          <w:tcPr>
            <w:tcW w:type="dxa" w:w="3408"/>
            <w:vAlign w:val="top"/>
          </w:tcPr>
          <w:p>
            <w:r>
              <w:rPr>
                <w:sz w:val="17"/>
              </w:rPr>
              <w:t>Adaptive Execution</w:t>
            </w:r>
          </w:p>
        </w:tc>
        <w:tc>
          <w:tcPr>
            <w:tcW w:type="dxa" w:w="3408"/>
            <w:vAlign w:val="top"/>
          </w:tcPr>
          <w:p>
            <w:r>
              <w:rPr>
                <w:sz w:val="17"/>
              </w:rPr>
              <w:t>Includes at least 8 clear user stories with acceptance criteria and a functional prioritized workflow.</w:t>
            </w:r>
          </w:p>
        </w:tc>
        <w:tc>
          <w:tcPr>
            <w:tcW w:type="dxa" w:w="3408"/>
            <w:vAlign w:val="top"/>
          </w:tcPr>
          <w:p>
            <w:r>
              <w:rPr>
                <w:sz w:val="17"/>
              </w:rPr>
              <w:t>Feedback targets vague stories or prioritization; advanced work demonstrates effective prioritization logic.</w:t>
            </w:r>
          </w:p>
        </w:tc>
      </w:tr>
      <w:tr>
        <w:tc>
          <w:tcPr>
            <w:tcW w:type="dxa" w:w="3408"/>
            <w:vAlign w:val="top"/>
          </w:tcPr>
          <w:p>
            <w:r>
              <w:rPr>
                <w:sz w:val="17"/>
              </w:rPr>
              <w:t>Risk &amp; Change</w:t>
            </w:r>
          </w:p>
        </w:tc>
        <w:tc>
          <w:tcPr>
            <w:tcW w:type="dxa" w:w="3408"/>
            <w:vAlign w:val="top"/>
          </w:tcPr>
          <w:p>
            <w:r>
              <w:rPr>
                <w:sz w:val="17"/>
              </w:rPr>
              <w:t>Identifies at least 6 risks, assesses probability/impact and provides response actions and change-control logic.</w:t>
            </w:r>
          </w:p>
        </w:tc>
        <w:tc>
          <w:tcPr>
            <w:tcW w:type="dxa" w:w="3408"/>
            <w:vAlign w:val="top"/>
          </w:tcPr>
          <w:p>
            <w:r>
              <w:rPr>
                <w:sz w:val="17"/>
              </w:rPr>
              <w:t>Feedback targets weak quantification; advanced work demonstrates stronger contingency and opportunity planning.</w:t>
            </w:r>
          </w:p>
        </w:tc>
      </w:tr>
      <w:tr>
        <w:tc>
          <w:tcPr>
            <w:tcW w:type="dxa" w:w="3408"/>
            <w:vAlign w:val="top"/>
          </w:tcPr>
          <w:p>
            <w:r>
              <w:rPr>
                <w:sz w:val="17"/>
              </w:rPr>
              <w:t>Measurement &amp; Closeout</w:t>
            </w:r>
          </w:p>
        </w:tc>
        <w:tc>
          <w:tcPr>
            <w:tcW w:type="dxa" w:w="3408"/>
            <w:vAlign w:val="top"/>
          </w:tcPr>
          <w:p>
            <w:r>
              <w:rPr>
                <w:sz w:val="17"/>
              </w:rPr>
              <w:t>Uses appropriate performance measures and provides status, lessons learned and closeout documentation.</w:t>
            </w:r>
          </w:p>
        </w:tc>
        <w:tc>
          <w:tcPr>
            <w:tcW w:type="dxa" w:w="3408"/>
            <w:vAlign w:val="top"/>
          </w:tcPr>
          <w:p>
            <w:r>
              <w:rPr>
                <w:sz w:val="17"/>
              </w:rPr>
              <w:t>Feedback targets unclear metrics; advanced work communicates project health clearly.</w:t>
            </w:r>
          </w:p>
        </w:tc>
      </w:tr>
    </w:tbl>
    <w:p/>
    <w:p>
      <w:pPr>
        <w:pStyle w:val="Heading1"/>
      </w:pPr>
      <w:r>
        <w:t>6. Eight-Week Course Outline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D9D9"/>
          </w:tcPr>
          <w:p>
            <w:r>
              <w:rPr>
                <w:b/>
                <w:sz w:val="18"/>
              </w:rPr>
              <w:t>Week</w:t>
            </w:r>
          </w:p>
        </w:tc>
        <w:tc>
          <w:tcPr>
            <w:tcW w:type="dxa" w:w="2556"/>
            <w:shd w:fill="D9D9D9"/>
          </w:tcPr>
          <w:p>
            <w:r>
              <w:rPr>
                <w:b/>
                <w:sz w:val="18"/>
              </w:rPr>
              <w:t>Topic</w:t>
            </w:r>
          </w:p>
        </w:tc>
        <w:tc>
          <w:tcPr>
            <w:tcW w:type="dxa" w:w="2556"/>
            <w:shd w:fill="D9D9D9"/>
          </w:tcPr>
          <w:p>
            <w:r>
              <w:rPr>
                <w:b/>
                <w:sz w:val="18"/>
              </w:rPr>
              <w:t>Key Learning Activities</w:t>
            </w:r>
          </w:p>
        </w:tc>
        <w:tc>
          <w:tcPr>
            <w:tcW w:type="dxa" w:w="2556"/>
            <w:shd w:fill="D9D9D9"/>
          </w:tcPr>
          <w:p>
            <w:r>
              <w:rPr>
                <w:b/>
                <w:sz w:val="18"/>
              </w:rPr>
              <w:t>Main Deliverable</w:t>
            </w:r>
          </w:p>
        </w:tc>
      </w:tr>
      <w:tr>
        <w:tc>
          <w:tcPr>
            <w:tcW w:type="dxa" w:w="2556"/>
            <w:vAlign w:val="top"/>
          </w:tcPr>
          <w:p>
            <w:r>
              <w:rPr>
                <w:sz w:val="17"/>
              </w:rPr>
              <w:t>1</w:t>
            </w:r>
          </w:p>
        </w:tc>
        <w:tc>
          <w:tcPr>
            <w:tcW w:type="dxa" w:w="2556"/>
            <w:vAlign w:val="top"/>
          </w:tcPr>
          <w:p>
            <w:r>
              <w:rPr>
                <w:sz w:val="17"/>
              </w:rPr>
              <w:t>Foundations &amp; Stakeholders</w:t>
            </w:r>
          </w:p>
        </w:tc>
        <w:tc>
          <w:tcPr>
            <w:tcW w:type="dxa" w:w="2556"/>
            <w:vAlign w:val="top"/>
          </w:tcPr>
          <w:p>
            <w:r>
              <w:rPr>
                <w:sz w:val="17"/>
              </w:rPr>
              <w:t>Project vs. operations; project roles; stakeholder mapping; communication planning.</w:t>
            </w:r>
          </w:p>
        </w:tc>
        <w:tc>
          <w:tcPr>
            <w:tcW w:type="dxa" w:w="2556"/>
            <w:vAlign w:val="top"/>
          </w:tcPr>
          <w:p>
            <w:r>
              <w:rPr>
                <w:sz w:val="17"/>
              </w:rPr>
              <w:t>Stakeholder register and matrix</w:t>
            </w:r>
          </w:p>
        </w:tc>
      </w:tr>
      <w:tr>
        <w:tc>
          <w:tcPr>
            <w:tcW w:type="dxa" w:w="2556"/>
            <w:vAlign w:val="top"/>
          </w:tcPr>
          <w:p>
            <w:r>
              <w:rPr>
                <w:sz w:val="17"/>
              </w:rPr>
              <w:t>2</w:t>
            </w:r>
          </w:p>
        </w:tc>
        <w:tc>
          <w:tcPr>
            <w:tcW w:type="dxa" w:w="2556"/>
            <w:vAlign w:val="top"/>
          </w:tcPr>
          <w:p>
            <w:r>
              <w:rPr>
                <w:sz w:val="17"/>
              </w:rPr>
              <w:t>Initiation, Scope &amp; Teams</w:t>
            </w:r>
          </w:p>
        </w:tc>
        <w:tc>
          <w:tcPr>
            <w:tcW w:type="dxa" w:w="2556"/>
            <w:vAlign w:val="top"/>
          </w:tcPr>
          <w:p>
            <w:r>
              <w:rPr>
                <w:sz w:val="17"/>
              </w:rPr>
              <w:t>Project vision; charter; scope baseline; RACI and team structures.</w:t>
            </w:r>
          </w:p>
        </w:tc>
        <w:tc>
          <w:tcPr>
            <w:tcW w:type="dxa" w:w="2556"/>
            <w:vAlign w:val="top"/>
          </w:tcPr>
          <w:p>
            <w:r>
              <w:rPr>
                <w:sz w:val="17"/>
              </w:rPr>
              <w:t>Draft project charter and RACI</w:t>
            </w:r>
          </w:p>
        </w:tc>
      </w:tr>
      <w:tr>
        <w:tc>
          <w:tcPr>
            <w:tcW w:type="dxa" w:w="2556"/>
            <w:vAlign w:val="top"/>
          </w:tcPr>
          <w:p>
            <w:r>
              <w:rPr>
                <w:sz w:val="17"/>
              </w:rPr>
              <w:t>3</w:t>
            </w:r>
          </w:p>
        </w:tc>
        <w:tc>
          <w:tcPr>
            <w:tcW w:type="dxa" w:w="2556"/>
            <w:vAlign w:val="top"/>
          </w:tcPr>
          <w:p>
            <w:r>
              <w:rPr>
                <w:sz w:val="17"/>
              </w:rPr>
              <w:t>Predictive Planning</w:t>
            </w:r>
          </w:p>
        </w:tc>
        <w:tc>
          <w:tcPr>
            <w:tcW w:type="dxa" w:w="2556"/>
            <w:vAlign w:val="top"/>
          </w:tcPr>
          <w:p>
            <w:r>
              <w:rPr>
                <w:sz w:val="17"/>
              </w:rPr>
              <w:t>WBS; 100% Rule; dependencies; duration estimates; critical path.</w:t>
            </w:r>
          </w:p>
        </w:tc>
        <w:tc>
          <w:tcPr>
            <w:tcW w:type="dxa" w:w="2556"/>
            <w:vAlign w:val="top"/>
          </w:tcPr>
          <w:p>
            <w:r>
              <w:rPr>
                <w:sz w:val="17"/>
              </w:rPr>
              <w:t>WBS and network diagram</w:t>
            </w:r>
          </w:p>
        </w:tc>
      </w:tr>
      <w:tr>
        <w:tc>
          <w:tcPr>
            <w:tcW w:type="dxa" w:w="2556"/>
            <w:vAlign w:val="top"/>
          </w:tcPr>
          <w:p>
            <w:r>
              <w:rPr>
                <w:sz w:val="17"/>
              </w:rPr>
              <w:t>4</w:t>
            </w:r>
          </w:p>
        </w:tc>
        <w:tc>
          <w:tcPr>
            <w:tcW w:type="dxa" w:w="2556"/>
            <w:vAlign w:val="top"/>
          </w:tcPr>
          <w:p>
            <w:r>
              <w:rPr>
                <w:sz w:val="17"/>
              </w:rPr>
              <w:t>Adaptive Project Management</w:t>
            </w:r>
          </w:p>
        </w:tc>
        <w:tc>
          <w:tcPr>
            <w:tcW w:type="dxa" w:w="2556"/>
            <w:vAlign w:val="top"/>
          </w:tcPr>
          <w:p>
            <w:r>
              <w:rPr>
                <w:sz w:val="17"/>
              </w:rPr>
              <w:t>Predictive vs. adaptive vs. hybrid; user stories; backlog; sprint/Kanban workflow.</w:t>
            </w:r>
          </w:p>
        </w:tc>
        <w:tc>
          <w:tcPr>
            <w:tcW w:type="dxa" w:w="2556"/>
            <w:vAlign w:val="top"/>
          </w:tcPr>
          <w:p>
            <w:r>
              <w:rPr>
                <w:sz w:val="17"/>
              </w:rPr>
              <w:t>Prioritized backlog and workflow board</w:t>
            </w:r>
          </w:p>
        </w:tc>
      </w:tr>
      <w:tr>
        <w:tc>
          <w:tcPr>
            <w:tcW w:type="dxa" w:w="2556"/>
            <w:vAlign w:val="top"/>
          </w:tcPr>
          <w:p>
            <w:r>
              <w:rPr>
                <w:sz w:val="17"/>
              </w:rPr>
              <w:t>5</w:t>
            </w:r>
          </w:p>
        </w:tc>
        <w:tc>
          <w:tcPr>
            <w:tcW w:type="dxa" w:w="2556"/>
            <w:vAlign w:val="top"/>
          </w:tcPr>
          <w:p>
            <w:r>
              <w:rPr>
                <w:sz w:val="17"/>
              </w:rPr>
              <w:t>Execution, Quality &amp; Scope Control</w:t>
            </w:r>
          </w:p>
        </w:tc>
        <w:tc>
          <w:tcPr>
            <w:tcW w:type="dxa" w:w="2556"/>
            <w:vAlign w:val="top"/>
          </w:tcPr>
          <w:p>
            <w:r>
              <w:rPr>
                <w:sz w:val="17"/>
              </w:rPr>
              <w:t>Execution workflows; quality checks; client expectations; scope creep and change requests.</w:t>
            </w:r>
          </w:p>
        </w:tc>
        <w:tc>
          <w:tcPr>
            <w:tcW w:type="dxa" w:w="2556"/>
            <w:vAlign w:val="top"/>
          </w:tcPr>
          <w:p>
            <w:r>
              <w:rPr>
                <w:sz w:val="17"/>
              </w:rPr>
              <w:t>Execution / quality case analysis</w:t>
            </w:r>
          </w:p>
        </w:tc>
      </w:tr>
      <w:tr>
        <w:tc>
          <w:tcPr>
            <w:tcW w:type="dxa" w:w="2556"/>
            <w:vAlign w:val="top"/>
          </w:tcPr>
          <w:p>
            <w:r>
              <w:rPr>
                <w:sz w:val="17"/>
              </w:rPr>
              <w:t>6</w:t>
            </w:r>
          </w:p>
        </w:tc>
        <w:tc>
          <w:tcPr>
            <w:tcW w:type="dxa" w:w="2556"/>
            <w:vAlign w:val="top"/>
          </w:tcPr>
          <w:p>
            <w:r>
              <w:rPr>
                <w:sz w:val="17"/>
              </w:rPr>
              <w:t>Risk &amp; Uncertainty</w:t>
            </w:r>
          </w:p>
        </w:tc>
        <w:tc>
          <w:tcPr>
            <w:tcW w:type="dxa" w:w="2556"/>
            <w:vAlign w:val="top"/>
          </w:tcPr>
          <w:p>
            <w:r>
              <w:rPr>
                <w:sz w:val="17"/>
              </w:rPr>
              <w:t>Risk identification; probability/impact; responses; change control.</w:t>
            </w:r>
          </w:p>
        </w:tc>
        <w:tc>
          <w:tcPr>
            <w:tcW w:type="dxa" w:w="2556"/>
            <w:vAlign w:val="top"/>
          </w:tcPr>
          <w:p>
            <w:r>
              <w:rPr>
                <w:sz w:val="17"/>
              </w:rPr>
              <w:t>Risk register and change-impact analysis</w:t>
            </w:r>
          </w:p>
        </w:tc>
      </w:tr>
      <w:tr>
        <w:tc>
          <w:tcPr>
            <w:tcW w:type="dxa" w:w="2556"/>
            <w:vAlign w:val="top"/>
          </w:tcPr>
          <w:p>
            <w:r>
              <w:rPr>
                <w:sz w:val="17"/>
              </w:rPr>
              <w:t>7</w:t>
            </w:r>
          </w:p>
        </w:tc>
        <w:tc>
          <w:tcPr>
            <w:tcW w:type="dxa" w:w="2556"/>
            <w:vAlign w:val="top"/>
          </w:tcPr>
          <w:p>
            <w:r>
              <w:rPr>
                <w:sz w:val="17"/>
              </w:rPr>
              <w:t>Performance Measurement</w:t>
            </w:r>
          </w:p>
        </w:tc>
        <w:tc>
          <w:tcPr>
            <w:tcW w:type="dxa" w:w="2556"/>
            <w:vAlign w:val="top"/>
          </w:tcPr>
          <w:p>
            <w:r>
              <w:rPr>
                <w:sz w:val="17"/>
              </w:rPr>
              <w:t>EVM basics; CV, SV, CPI, SPI; velocity and burndown; status reporting.</w:t>
            </w:r>
          </w:p>
        </w:tc>
        <w:tc>
          <w:tcPr>
            <w:tcW w:type="dxa" w:w="2556"/>
            <w:vAlign w:val="top"/>
          </w:tcPr>
          <w:p>
            <w:r>
              <w:rPr>
                <w:sz w:val="17"/>
              </w:rPr>
              <w:t>Performance analysis and status report</w:t>
            </w:r>
          </w:p>
        </w:tc>
      </w:tr>
      <w:tr>
        <w:tc>
          <w:tcPr>
            <w:tcW w:type="dxa" w:w="2556"/>
            <w:vAlign w:val="top"/>
          </w:tcPr>
          <w:p>
            <w:r>
              <w:rPr>
                <w:sz w:val="17"/>
              </w:rPr>
              <w:t>8</w:t>
            </w:r>
          </w:p>
        </w:tc>
        <w:tc>
          <w:tcPr>
            <w:tcW w:type="dxa" w:w="2556"/>
            <w:vAlign w:val="top"/>
          </w:tcPr>
          <w:p>
            <w:r>
              <w:rPr>
                <w:sz w:val="17"/>
              </w:rPr>
              <w:t>Closeout &amp; Capstone</w:t>
            </w:r>
          </w:p>
        </w:tc>
        <w:tc>
          <w:tcPr>
            <w:tcW w:type="dxa" w:w="2556"/>
            <w:vAlign w:val="top"/>
          </w:tcPr>
          <w:p>
            <w:r>
              <w:rPr>
                <w:sz w:val="17"/>
              </w:rPr>
              <w:t>Closeout; lessons learned; knowledge transfer; portfolio synthesis.</w:t>
            </w:r>
          </w:p>
        </w:tc>
        <w:tc>
          <w:tcPr>
            <w:tcW w:type="dxa" w:w="2556"/>
            <w:vAlign w:val="top"/>
          </w:tcPr>
          <w:p>
            <w:r>
              <w:rPr>
                <w:sz w:val="17"/>
              </w:rPr>
              <w:t>Final integrated project-management portfolio</w:t>
            </w:r>
          </w:p>
        </w:tc>
      </w:tr>
    </w:tbl>
    <w:p/>
    <w:p>
      <w:pPr>
        <w:pStyle w:val="Heading2"/>
      </w:pPr>
      <w:r>
        <w:t>Weekly Learning Pattern</w:t>
      </w:r>
    </w:p>
    <w:p>
      <w:r>
        <w:t>Each week follows a predictable structure: (1) short introduction and learning objectives, (2) microlearning content, (3) worked example, (4) interactive practice, (5) formative knowledge check, (6) discussion or peer activity where appropriate, and (7) a practical deliverable. This predictable structure reduces navigation burden and helps learners manage limited study time.</w:t>
      </w:r>
    </w:p>
    <w:p>
      <w:pPr>
        <w:pStyle w:val="Heading1"/>
      </w:pPr>
      <w:r>
        <w:t>7. Alignment of Course Components</w:t>
      </w:r>
    </w:p>
    <w:p>
      <w:r>
        <w:t>The strategy is intentionally constructive: objectives determine the learning activities, activities prepare learners for assessment, and assessments provide evidence that objectives have been achieved.</w:t>
      </w:r>
    </w:p>
    <w:tbl>
      <w:tblPr>
        <w:tblStyle w:val="TableGrid"/>
        <w:tblW w:type="auto" w:w="0"/>
        <w:jc w:val="center"/>
        <w:tblLook w:firstColumn="1" w:firstRow="1" w:lastColumn="0" w:lastRow="0" w:noHBand="0" w:noVBand="1" w:val="04A0"/>
      </w:tblPr>
      <w:tblGrid>
        <w:gridCol w:w="5112"/>
        <w:gridCol w:w="5112"/>
      </w:tblGrid>
      <w:tr>
        <w:tc>
          <w:tcPr>
            <w:tcW w:type="dxa" w:w="5112"/>
            <w:shd w:fill="D9D9D9"/>
          </w:tcPr>
          <w:p>
            <w:r>
              <w:rPr>
                <w:b/>
                <w:sz w:val="18"/>
              </w:rPr>
              <w:t>Course Component</w:t>
            </w:r>
          </w:p>
        </w:tc>
        <w:tc>
          <w:tcPr>
            <w:tcW w:type="dxa" w:w="5112"/>
            <w:shd w:fill="D9D9D9"/>
          </w:tcPr>
          <w:p>
            <w:r>
              <w:rPr>
                <w:b/>
                <w:sz w:val="18"/>
              </w:rPr>
              <w:t>Contribution to Learning</w:t>
            </w:r>
          </w:p>
        </w:tc>
      </w:tr>
      <w:tr>
        <w:tc>
          <w:tcPr>
            <w:tcW w:type="dxa" w:w="5112"/>
            <w:vAlign w:val="top"/>
          </w:tcPr>
          <w:p>
            <w:r>
              <w:rPr>
                <w:sz w:val="17"/>
              </w:rPr>
              <w:t>Learning objectives</w:t>
            </w:r>
          </w:p>
        </w:tc>
        <w:tc>
          <w:tcPr>
            <w:tcW w:type="dxa" w:w="5112"/>
            <w:vAlign w:val="top"/>
          </w:tcPr>
          <w:p>
            <w:r>
              <w:rPr>
                <w:sz w:val="17"/>
              </w:rPr>
              <w:t>Define observable knowledge and skills learners must demonstrate.</w:t>
            </w:r>
          </w:p>
        </w:tc>
      </w:tr>
      <w:tr>
        <w:tc>
          <w:tcPr>
            <w:tcW w:type="dxa" w:w="5112"/>
            <w:vAlign w:val="top"/>
          </w:tcPr>
          <w:p>
            <w:r>
              <w:rPr>
                <w:sz w:val="17"/>
              </w:rPr>
              <w:t>Learner analysis</w:t>
            </w:r>
          </w:p>
        </w:tc>
        <w:tc>
          <w:tcPr>
            <w:tcW w:type="dxa" w:w="5112"/>
            <w:vAlign w:val="top"/>
          </w:tcPr>
          <w:p>
            <w:r>
              <w:rPr>
                <w:sz w:val="17"/>
              </w:rPr>
              <w:t>Determines the level of scaffolding, pacing and workplace relevance required.</w:t>
            </w:r>
          </w:p>
        </w:tc>
      </w:tr>
      <w:tr>
        <w:tc>
          <w:tcPr>
            <w:tcW w:type="dxa" w:w="5112"/>
            <w:vAlign w:val="top"/>
          </w:tcPr>
          <w:p>
            <w:r>
              <w:rPr>
                <w:sz w:val="17"/>
              </w:rPr>
              <w:t>Instructional methods</w:t>
            </w:r>
          </w:p>
        </w:tc>
        <w:tc>
          <w:tcPr>
            <w:tcW w:type="dxa" w:w="5112"/>
            <w:vAlign w:val="top"/>
          </w:tcPr>
          <w:p>
            <w:r>
              <w:rPr>
                <w:sz w:val="17"/>
              </w:rPr>
              <w:t>Provide explanation, modeling, practice, feedback and application.</w:t>
            </w:r>
          </w:p>
        </w:tc>
      </w:tr>
      <w:tr>
        <w:tc>
          <w:tcPr>
            <w:tcW w:type="dxa" w:w="5112"/>
            <w:vAlign w:val="top"/>
          </w:tcPr>
          <w:p>
            <w:r>
              <w:rPr>
                <w:sz w:val="17"/>
              </w:rPr>
              <w:t>Media and technology</w:t>
            </w:r>
          </w:p>
        </w:tc>
        <w:tc>
          <w:tcPr>
            <w:tcW w:type="dxa" w:w="5112"/>
            <w:vAlign w:val="top"/>
          </w:tcPr>
          <w:p>
            <w:r>
              <w:rPr>
                <w:sz w:val="17"/>
              </w:rPr>
              <w:t>Make project artifacts and workflows visible and interactive.</w:t>
            </w:r>
          </w:p>
        </w:tc>
      </w:tr>
      <w:tr>
        <w:tc>
          <w:tcPr>
            <w:tcW w:type="dxa" w:w="5112"/>
            <w:vAlign w:val="top"/>
          </w:tcPr>
          <w:p>
            <w:r>
              <w:rPr>
                <w:sz w:val="17"/>
              </w:rPr>
              <w:t>Formative assessment</w:t>
            </w:r>
          </w:p>
        </w:tc>
        <w:tc>
          <w:tcPr>
            <w:tcW w:type="dxa" w:w="5112"/>
            <w:vAlign w:val="top"/>
          </w:tcPr>
          <w:p>
            <w:r>
              <w:rPr>
                <w:sz w:val="17"/>
              </w:rPr>
              <w:t>Identifies gaps before learners attempt the capstone.</w:t>
            </w:r>
          </w:p>
        </w:tc>
      </w:tr>
      <w:tr>
        <w:tc>
          <w:tcPr>
            <w:tcW w:type="dxa" w:w="5112"/>
            <w:vAlign w:val="top"/>
          </w:tcPr>
          <w:p>
            <w:r>
              <w:rPr>
                <w:sz w:val="17"/>
              </w:rPr>
              <w:t>Summative assessment</w:t>
            </w:r>
          </w:p>
        </w:tc>
        <w:tc>
          <w:tcPr>
            <w:tcW w:type="dxa" w:w="5112"/>
            <w:vAlign w:val="top"/>
          </w:tcPr>
          <w:p>
            <w:r>
              <w:rPr>
                <w:sz w:val="17"/>
              </w:rPr>
              <w:t>Demonstrates integrated project-management competence.</w:t>
            </w:r>
          </w:p>
        </w:tc>
      </w:tr>
      <w:tr>
        <w:tc>
          <w:tcPr>
            <w:tcW w:type="dxa" w:w="5112"/>
            <w:vAlign w:val="top"/>
          </w:tcPr>
          <w:p>
            <w:r>
              <w:rPr>
                <w:sz w:val="17"/>
              </w:rPr>
              <w:t>Course outline</w:t>
            </w:r>
          </w:p>
        </w:tc>
        <w:tc>
          <w:tcPr>
            <w:tcW w:type="dxa" w:w="5112"/>
            <w:vAlign w:val="top"/>
          </w:tcPr>
          <w:p>
            <w:r>
              <w:rPr>
                <w:sz w:val="17"/>
              </w:rPr>
              <w:t>Sequences skills from foundational concepts to independent application.</w:t>
            </w:r>
          </w:p>
        </w:tc>
      </w:tr>
    </w:tbl>
    <w:p/>
    <w:p>
      <w:pPr>
        <w:pStyle w:val="Heading1"/>
      </w:pPr>
      <w:r>
        <w:t>8. Evaluation and Continuous Improvement</w:t>
      </w:r>
    </w:p>
    <w:p>
      <w:r>
        <w:t>Course effectiveness will be reviewed using a practical four-level evaluation approach. Learner reaction data will examine usability and perceived relevance; learning data will examine quiz and artifact performance; transfer data will examine whether learners use project-management practices after the course; and longer-term evidence may examine portfolio quality, continued use of project tools, or progression into project-related responsibilities.</w:t>
      </w:r>
    </w:p>
    <w:p>
      <w:pPr>
        <w:pStyle w:val="ListBullet"/>
      </w:pPr>
      <w:r>
        <w:t>Review weekly quiz and activity results to identify difficult concepts.</w:t>
      </w:r>
    </w:p>
    <w:p>
      <w:pPr>
        <w:pStyle w:val="ListBullet"/>
      </w:pPr>
      <w:r>
        <w:t>Monitor video completion and activity participation to identify unnecessary content or confusing instructions.</w:t>
      </w:r>
    </w:p>
    <w:p>
      <w:pPr>
        <w:pStyle w:val="ListBullet"/>
      </w:pPr>
      <w:r>
        <w:t>Collect learner feedback at the midpoint and end of the course.</w:t>
      </w:r>
    </w:p>
    <w:p>
      <w:pPr>
        <w:pStyle w:val="ListBullet"/>
      </w:pPr>
      <w:r>
        <w:t>Review capstone submissions for recurring weaknesses in scope, scheduling, risk or measurement.</w:t>
      </w:r>
    </w:p>
    <w:p>
      <w:pPr>
        <w:pStyle w:val="ListBullet"/>
      </w:pPr>
      <w:r>
        <w:t>Revise examples, templates, instructions and assessments before the next course offering.</w:t>
      </w:r>
    </w:p>
    <w:p>
      <w:pPr>
        <w:pStyle w:val="ListBullet"/>
      </w:pPr>
      <w:r>
        <w:t>Periodically review professional project-management guidance and software practices so course examples remain relevant.</w:t>
      </w:r>
    </w:p>
    <w:p>
      <w:pPr>
        <w:pStyle w:val="Heading1"/>
      </w:pPr>
      <w:r>
        <w:t>9. Conclusion</w:t>
      </w:r>
    </w:p>
    <w:p>
      <w:r>
        <w:t>This instructional design strategy provides a complete, learner-centered plan for an online Introduction to Project Management course. It addresses the required elements of the project: clearly defined learning objectives, a target-audience and needs analysis, appropriate instructional methods and media, a balanced assessment strategy, and a structured course outline. The central design principle is alignment: learners are introduced to project-management concepts, shown how those concepts work, given opportunities to practice them, assessed through authentic project artifacts, and finally asked to integrate the skills into a coherent capstone portfolio. This approach supports both academic learning and practical workplace application while remaining manageable for online adult learners.</w:t>
      </w:r>
    </w:p>
    <w:p>
      <w:pPr>
        <w:pStyle w:val="Heading1"/>
      </w:pPr>
      <w:r>
        <w:t>Appendix A: Sample Capstone Portfolio Contents</w:t>
      </w:r>
    </w:p>
    <w:p>
      <w:pPr>
        <w:pStyle w:val="ListBullet"/>
      </w:pPr>
      <w:r>
        <w:t>Project charter and scope baseline</w:t>
      </w:r>
    </w:p>
    <w:p>
      <w:pPr>
        <w:pStyle w:val="ListBullet"/>
      </w:pPr>
      <w:r>
        <w:t>Stakeholder register and communication approach</w:t>
      </w:r>
    </w:p>
    <w:p>
      <w:pPr>
        <w:pStyle w:val="ListBullet"/>
      </w:pPr>
      <w:r>
        <w:t>RACI / team responsibility matrix</w:t>
      </w:r>
    </w:p>
    <w:p>
      <w:pPr>
        <w:pStyle w:val="ListBullet"/>
      </w:pPr>
      <w:r>
        <w:t>Three-level Work Breakdown Structure</w:t>
      </w:r>
    </w:p>
    <w:p>
      <w:pPr>
        <w:pStyle w:val="ListBullet"/>
      </w:pPr>
      <w:r>
        <w:t>Network diagram and critical-path analysis</w:t>
      </w:r>
    </w:p>
    <w:p>
      <w:pPr>
        <w:pStyle w:val="ListBullet"/>
      </w:pPr>
      <w:r>
        <w:t>Prioritized user-story backlog and workflow board</w:t>
      </w:r>
    </w:p>
    <w:p>
      <w:pPr>
        <w:pStyle w:val="ListBullet"/>
      </w:pPr>
      <w:r>
        <w:t>Risk register and change-impact analysis</w:t>
      </w:r>
    </w:p>
    <w:p>
      <w:pPr>
        <w:pStyle w:val="ListBullet"/>
      </w:pPr>
      <w:r>
        <w:t>Performance measurement / status report</w:t>
      </w:r>
    </w:p>
    <w:p>
      <w:pPr>
        <w:pStyle w:val="ListBullet"/>
      </w:pPr>
      <w:r>
        <w:t>Project closeout and lessons-learned document</w:t>
      </w:r>
    </w:p>
    <w:p>
      <w:pPr>
        <w:pStyle w:val="ListBullet"/>
      </w:pPr>
      <w:r>
        <w:t>Individual reflection on learning and workplace transfer</w:t>
      </w:r>
    </w:p>
    <w:p>
      <w:pPr>
        <w:pStyle w:val="Heading1"/>
      </w:pPr>
      <w:r>
        <w:t>Appendix B: Recommended Digital Accessibility Practices</w:t>
      </w:r>
    </w:p>
    <w:p>
      <w:pPr>
        <w:pStyle w:val="ListBullet"/>
      </w:pPr>
      <w:r>
        <w:t>Caption all instructional videos and provide searchable transcripts.</w:t>
      </w:r>
    </w:p>
    <w:p>
      <w:pPr>
        <w:pStyle w:val="ListBullet"/>
      </w:pPr>
      <w:r>
        <w:t>Use readable headings, consistent navigation, descriptive link text and accessible document templates.</w:t>
      </w:r>
    </w:p>
    <w:p>
      <w:pPr>
        <w:pStyle w:val="ListBullet"/>
      </w:pPr>
      <w:r>
        <w:t>Provide downloadable versions of key templates for learners with limited connectivity.</w:t>
      </w:r>
    </w:p>
    <w:p>
      <w:pPr>
        <w:pStyle w:val="ListBullet"/>
      </w:pPr>
      <w:r>
        <w:t>Do not make color the only method of communicating status or risk.</w:t>
      </w:r>
    </w:p>
    <w:p>
      <w:pPr>
        <w:pStyle w:val="ListBullet"/>
      </w:pPr>
      <w:r>
        <w:t>Give clear time estimates and submission instructions for each activity.</w:t>
      </w:r>
    </w:p>
    <w:p>
      <w:pPr>
        <w:pStyle w:val="ListBullet"/>
      </w:pPr>
      <w:r>
        <w:t>Provide alternative formats or equivalent activities when a software tool creates an accessibility barrier.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