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Psychometric Properties Analysis and Comparative Evaluation Report</w:t>
      </w:r>
    </w:p>
    <w:p>
      <w:pPr>
        <w:pStyle w:val="Heading1"/>
      </w:pPr>
      <w:r>
        <w:t>Executive Summary (approximately 200 words)</w:t>
      </w:r>
    </w:p>
    <w:p>
      <w:r>
        <w:t>This report examines the reliability and validity of psychological tests and explains why both are essential for responsible assessment. Reliability concerns the consistency and precision of scores, while validity concerns whether evidence supports the interpretation and use of those scores. The report reviews methods such as internal consistency, test–retest reliability, inter-rater agreement, and split-half reliability, alongside content, construct, convergent, discriminant, and criterion-related validity. It also discusses the standard error of measurement and the importance of considering sample characteristics, cultural context, and administration conditions when interpreting results.</w:t>
      </w:r>
    </w:p>
    <w:p>
      <w:r>
        <w:t>To broaden the comparison of published instruments, three additional measures are reviewed: the Beck Depression Inventory–II (BDI-II), the Beck Anxiety Inventory (BAI), and the Rosenberg Self-Esteem Scale (RSES). They assess different constructs—depressive symptoms, anxiety symptoms, and global self-esteem—so they illustrate why test selection must match the purpose of an assessment. Published studies report encouraging reliability evidence for these measures, although coefficients vary across populations, languages, and testing intervals. Reliability alone does not establish validity, and no questionnaire should be treated as a diagnosis in isolation. A sound evaluation combines psychometric evidence with appropriate norms, the person’s context, and other relevant information. The report therefore emphasizes cautious interpretation, transparent sourcing, and the need to distinguish evidence from one sample from claims about all populations.</w:t>
      </w:r>
    </w:p>
    <w:p>
      <w:pPr>
        <w:pStyle w:val="Heading1"/>
      </w:pPr>
      <w:r>
        <w:t>1. Theoretical Foundations of Psychometric Reliability and Validity</w:t>
      </w:r>
    </w:p>
    <w:p>
      <w:r>
        <w:t>Psychometric measurement provides the quantitative backbone for evaluating human behavior, cognitive abilities, and personality structures. In clinical decision-making, forensic expert testimony, and standardized psychological testing, the scientific credibility of an evaluation rests entirely upon the psychometric integrity of the instruments employed. Establishing robust measurement properties ensures that test scores reflect true variance in the underlying constructs rather than random measurement error or systematic administrative bias. Without rigorous quantification of test performance, diagnostic conclusions risk invalidation, clinical interventions may be misplaced, and legal testimony fails to satisfy evidentiary standards.</w:t>
      </w:r>
    </w:p>
    <w:p>
      <w:pPr>
        <w:pStyle w:val="Heading2"/>
      </w:pPr>
      <w:r>
        <w:t>1.1 Core Dimensions and Mechanisms of Reliability</w:t>
      </w:r>
    </w:p>
    <w:p>
      <w:r>
        <w:t>Measurement reliability defines the consistency, precision, and replicability of test scores across different operational contexts, time intervals, and administrative conditions. Evaluated through distinct quantitative mechanisms, reliability serves as an upper bound for test validity:</w:t>
      </w:r>
    </w:p>
    <w:p>
      <w:pPr>
        <w:pStyle w:val="ListBullet"/>
      </w:pPr>
      <w:r>
        <w:t>Internal Consistency: This evaluates the degree to which items within a test or subscale homogeneously measure a single underlying construct. It is frequently quantified using Cronbach’s alpha (\alpha). When subtests are grouped into composite scores, composite reliability formulas—such as the framework established by Tellegen &amp; Briggs (1967)—are utilized to calculate the precision of the combined scale based on the individual subtests' variances and intercorrelations.</w:t>
      </w:r>
    </w:p>
    <w:p>
      <w:pPr>
        <w:pStyle w:val="ListBullet"/>
      </w:pPr>
      <w:r>
        <w:t>Test-Retest Stability: This measures the temporal stability of scores when the identical instrument is administered to the same population across distinct time intervals, gauging the extent to which test scores remain uncorrupted by temporary state fluctuations.</w:t>
      </w:r>
    </w:p>
    <w:p>
      <w:pPr>
        <w:pStyle w:val="ListBullet"/>
      </w:pPr>
      <w:r>
        <w:t>Inter-Rater Agreement: This assesses the scoring consistency across independent examiners or clinicians evaluating identical test protocols, mitigating subjective rater bias.</w:t>
      </w:r>
    </w:p>
    <w:p>
      <w:pPr>
        <w:pStyle w:val="ListBullet"/>
      </w:pPr>
      <w:r>
        <w:t>Split-Half Methods: This approach divides a test into equal, balanced halves (such as odd-even item splits) to estimate internal consistency. Because halving test length artificially depresses the resulting correlation coefficient, the Spearman-Brown prophecy formula is applied to correct the coefficient to represent the full length of the test:</w:t>
      </w:r>
    </w:p>
    <w:p>
      <w:r>
        <w:t>r_{sb} = \frac{2 r_{hh}}{1 + r_{hh}}</w:t>
      </w:r>
    </w:p>
    <w:p>
      <w:r>
        <w:t>where r_{hh} represents the correlation between the two half-tests.</w:t>
      </w:r>
    </w:p>
    <w:p>
      <w:r>
        <w:t>The applicability of specific reliability estimation methods depends heavily on task structure. For instance, in power-based cognitive assessments like the Wechsler Intelligence Scale for Children–Fourth Edition (WISC-IV), split-half procedures corrected via Spearman-Brown formulas are highly effective for non-speeded subtests such as Block Design, Matrix Reasoning, or Vocabulary. Conversely, split-half methods are fundamentally inappropriate for highly speeded tasks—such as the WISC-IV Coding, Symbol Search, and Cancellation subtests—where item completion rates are dictated by processing rate rather than item difficulty, necessitating alternative stability metrics.</w:t>
      </w:r>
    </w:p>
    <w:p>
      <w:r>
        <w:t>Evaluating score precision in applied practice requires translating abstract reliability coefficients into the Standard Error of Measurement (SEM). The SEM quantifies the observed score variability attributable to measurement error around a theoretical true score, directly influencing the calculation of confidence intervals:</w:t>
      </w:r>
    </w:p>
    <w:p>
      <w:r>
        <w:t>SEM = SD \times \sqrt{1 - r_{xx}}</w:t>
      </w:r>
    </w:p>
    <w:p>
      <w:r>
        <w:t>where SD is the standard deviation of the test scores and r_{xx} is the reliability coefficient. To evaluate whether two independent reliability coefficients differ significantly across distinct samples, Feldt’s (1969) F-test ratio is calculated:</w:t>
      </w:r>
    </w:p>
    <w:p>
      <w:r>
        <w:t>F = \frac{1 - r_2}{1 - r_1}</w:t>
      </w:r>
    </w:p>
    <w:p>
      <w:r>
        <w:t>where r_1 and r_2 represent the internal consistency coefficients of the respective comparison groups. The interplay between SEM, sample variability, and score precision is characterized by several core principles:</w:t>
      </w:r>
    </w:p>
    <w:p>
      <w:pPr>
        <w:pStyle w:val="ListBullet"/>
      </w:pPr>
      <w:r>
        <w:t>Inverse Relationship to Reliability Coefficients: Because SEM varies inversely with r_{xx}, higher reliability coefficients yield narrower SEM values, signifying greater measurement precision and tighter confidence intervals around observed scores.</w:t>
      </w:r>
    </w:p>
    <w:p>
      <w:pPr>
        <w:pStyle w:val="ListBullet"/>
      </w:pPr>
      <w:r>
        <w:t>Sample Variability and Restricted Range Effects: Reliability estimates are highly sensitive to score variance within the evaluated sample. When an assessment is administered to a homogeneous group with a restricted range of scores (e.g., high-ability private school students or specific clinical samples), calculated reliability coefficients (such as Cronbach's alpha) tend to be artificially depressed due to reduced variance. However, because the sample SD is correspondingly smaller, the resulting SEM often remains small, preserving score precision despite a lower alpha coefficient.</w:t>
      </w:r>
    </w:p>
    <w:p>
      <w:pPr>
        <w:pStyle w:val="ListBullet"/>
      </w:pPr>
      <w:r>
        <w:t>Scale Score Variance and Cutoff Adjustments: In scales exhibiting wider score variances or larger absolute SEM values—as is frequently observed in clinical validity scales measuring symptom over-reporting—higher T-score cutoffs are required to demonstrate significant, true-score deviations from normative baseline behavior.</w:t>
      </w:r>
    </w:p>
    <w:p>
      <w:pPr>
        <w:pStyle w:val="Heading2"/>
      </w:pPr>
      <w:r>
        <w:t>1.2 Structural Frameworks of Psychometric Validity</w:t>
      </w:r>
    </w:p>
    <w:p>
      <w:r>
        <w:t>Validity refers to the degree to which empirical evidence and theoretical rationale support the adequacy and appropriateness of interpretations derived from test scores. Structural frameworks for validity encompass three primary, interrelated domains:</w:t>
      </w:r>
    </w:p>
    <w:p>
      <w:pPr>
        <w:pStyle w:val="ListBullet"/>
      </w:pPr>
      <w:r>
        <w:t>Content Validity: Evaluates the thoroughness and relevance with which test items cover the targeted domain. Establishing content validity requires item analysis, expert domain review, and empirical examination of item-construct relationships to prevent construct underrepresentation or construct-irrelevant variance.</w:t>
      </w:r>
    </w:p>
    <w:p>
      <w:pPr>
        <w:pStyle w:val="ListBullet"/>
      </w:pPr>
      <w:r>
        <w:t>Construct and Structural Validity: Evaluates how accurately an assessment maps onto the theoretical framework of the construct being measured. Structural validity is established via advanced quantitative techniques, including Exploratory Factor Analysis (EFA), Confirmatory Factor Analysis (CFA), and Mokken Scaling Analysis (a non-parametric item response theory framework). A prominent contemporary application includes mapping personality and psychopathology scales—such as those of the Minnesota Multiphasic Personality Inventory-3 (MMPI-3)—onto structural models like the Hierarchical Taxonomy of Psychopathology (HiTOP) or the diagnostic criteria of the DSM-5.</w:t>
      </w:r>
    </w:p>
    <w:p>
      <w:pPr>
        <w:pStyle w:val="ListBullet"/>
      </w:pPr>
      <w:r>
        <w:t>Criterion-Related Validity: Evaluates the extent to which test scores correlate with external benchmarks, categorized into:</w:t>
      </w:r>
    </w:p>
    <w:p>
      <w:pPr>
        <w:pStyle w:val="ListBullet"/>
      </w:pPr>
      <w:r>
        <w:t>Convergent Validity: Demonstrating strong associations between the scale and established measures of the same or conceptually similar constructs.</w:t>
      </w:r>
    </w:p>
    <w:p>
      <w:pPr>
        <w:pStyle w:val="ListBullet"/>
      </w:pPr>
      <w:r>
        <w:t>Discriminant Validity: Demonstrating weak or negligible associations with measures of conceptually distinct constructs.</w:t>
      </w:r>
    </w:p>
    <w:p>
      <w:pPr>
        <w:pStyle w:val="ListBullet"/>
      </w:pPr>
      <w:r>
        <w:t>Incremental Validity: Demonstrating that the instrument accounts for unique variance in an external criterion above and beyond existing assessment tools or demographic indicators.</w:t>
      </w:r>
    </w:p>
    <w:p>
      <w:r>
        <w:t>In applied research, structural and criterion validity can be demonstrated through specialized scaling layers or specialized criteria. For example, Naghsh &amp; Eskandari (2024) evaluated the internal structure of 43 Competency Evaluative Indicators derived as a second-layer profile from the MMPI-3 in an Iranian sample (N = 3,000). Utilizing Mokken Scaling Analysis and Structural Equation Modeling (SEM), the items demonstrated unidimensional functioning, strong item-construct relationships, no differential item functioning, and robust associations with external performance constructs. Similarly, in public safety contexts, the criterion validity of MMPI-3 scores is demonstrated through empirical associations with supervisor ratings and behavioral ratings across California Commission on Peace Officer Standards and Training (POST-10) dimensions.</w:t>
      </w:r>
    </w:p>
    <w:p>
      <w:r>
        <w:t>In clinical and diagnostic contexts, validity is further operationalized via sensitivity and clarity coefficients to establish diagnostic threshold accuracy. Sensitivity coefficients evaluate the true-positive rate—the test's ability to correctly identify individuals meeting specific diagnostic criteria (e.g., distinguishing patients with Borderline Personality Disorder from normal controls). Clarity coefficients evaluate the extent to which scale scores unequivocally differentiate specific symptom manifestations without diagnostic ambiguity. Sensitivity and clarity values exceeding 0.60 establish sufficient diagnostic validity, whereas values below 0.40 highlight significant diagnostic limitations for specific subscales.</w:t>
      </w:r>
    </w:p>
    <w:p>
      <w:r>
        <w:t>Integrating formal reliability equations with structural validity models establishes the baseline standard required to audit the empirical performance of published, standardized psychological tests.</w:t>
      </w:r>
    </w:p>
    <w:p>
      <w:pPr>
        <w:pStyle w:val="Heading1"/>
      </w:pPr>
      <w:r>
        <w:t>2. Empirical Analysis of Published Psychological Tests</w:t>
      </w:r>
    </w:p>
    <w:p>
      <w:r>
        <w:t>This section evaluates published standardized tests using reliability, validity, sample, and limitations evidence.</w:t>
      </w:r>
    </w:p>
    <w:p>
      <w:r>
        <w:t>Systematic evaluation of published, standardized psychological tests requires auditing their empirical performance data against rigorous psychometric metrics. Evaluating normative updating processes, internal consistency ranges, SEM profiles, and diagnostic accuracy statistics across diverse clinical, forensic, and educational samples ensures that clinical decisions rest on valid, empirical foundations.</w:t>
      </w:r>
    </w:p>
    <w:p>
      <w:pPr>
        <w:pStyle w:val="Heading2"/>
      </w:pPr>
      <w:r>
        <w:t>2.1 Empirical Evaluation of the Minnesota Multiphasic Personality Inventory-3 (MMPI-3)</w:t>
      </w:r>
    </w:p>
    <w:p>
      <w:r>
        <w:t>The MMPI-3 (Ben-Porath &amp; Tellegen, 2020) represents the latest iteration of the Minnesota Multiphasic Personality Inventory framework, engineered to assess personality traits and psychopathology.</w:t>
      </w:r>
    </w:p>
    <w:p>
      <w:r>
        <w:t>Structural Architecture and Item Pool Modifications</w:t>
      </w:r>
    </w:p>
    <w:p>
      <w:r>
        <w:t>The MMPI-3 comprises 335 items written at a Grade 4.5 Flesch-Kincaid reading level. This structure reflects the addition of 72 new items and the removal of 75 items from its predecessor, the MMPI-2 Restructured Form (MMPI-2-RF). The instrument organizes 52 clinical and validity scales across a hierarchical architecture:</w:t>
      </w:r>
    </w:p>
    <w:p>
      <w:pPr>
        <w:pStyle w:val="ListBullet"/>
      </w:pPr>
      <w:r>
        <w:t>10 Validity Scales: Measuring content non-responsiveness (VRIN, TRIN, CRIN), over-reporting (F, Fp, Fs, FBS, RBS), and under-reporting (L, K).</w:t>
      </w:r>
    </w:p>
    <w:p>
      <w:pPr>
        <w:pStyle w:val="ListBullet"/>
      </w:pPr>
      <w:r>
        <w:t>3 Higher-Order (H-O) Scales: Capturing broad dimensions of emotional, thought, and behavioral dysfunction (EID, THD, BXD).</w:t>
      </w:r>
    </w:p>
    <w:p>
      <w:pPr>
        <w:pStyle w:val="ListBullet"/>
      </w:pPr>
      <w:r>
        <w:t>8 Restructured Clinical (RC) Scales: Providing core psychopathology indicators (RCd, RC1, RC2, RC4, RC6, RC7, RC8, RC9).</w:t>
      </w:r>
    </w:p>
    <w:p>
      <w:pPr>
        <w:pStyle w:val="ListBullet"/>
      </w:pPr>
      <w:r>
        <w:t>26 Specific Problems (SP) Scales: Divided across somatic/cognitive (4 scales), internalizing/emotional dysfunction (10 scales), externalizing/behavioral dysfunction (7 scales), and interpersonal domains (5 scales).</w:t>
      </w:r>
    </w:p>
    <w:p>
      <w:pPr>
        <w:pStyle w:val="ListBullet"/>
      </w:pPr>
      <w:r>
        <w:t>5 Personality Psychopathology Five (PSY-5) Scales: Assessing fundamental personality dimensions (AGGR, PSYC, DISC, NEGE, INTR).</w:t>
      </w:r>
    </w:p>
    <w:p>
      <w:r>
        <w:t>Normative Updating and Demographic Alignment</w:t>
      </w:r>
    </w:p>
    <w:p>
      <w:r>
        <w:t>The normative standardization sample was collected between 2017 and 2018 (N = 1,620; 810 men, 810 women), matched to 2017/2018 U.S. Census projections across age, education, race/ethnicity, and geographic region. Notably, whereas 81.8% of the older MMPI-2/MMPI-2-RF normative sample identified as White, the MMPI-3 normative sample is 60.3% White, accurately mirroring contemporary demographic distributions and modern social environments.</w:t>
      </w:r>
    </w:p>
    <w:p>
      <w:r>
        <w:t>International and Specialized Standardization Studies</w:t>
      </w:r>
    </w:p>
    <w:p>
      <w:r>
        <w:t>The adaptation of the MMPI-3 in non-U.S. populations requires rigorous cross-cultural validation. Naghsh &amp; Eskandari (2024) conducted a large-scale construction and normalization study in Iran (N = 3,000 Persian-speaking individuals aged &gt;18; 1,794 men, 1,206 women). Using the MMPI-3 item pool, the authors constructed and validated 43 Competency Evaluative Indicators designed to serve as a secondary interpretive layer to the primary MMPI-3 profile. Goodness-of-fit evaluations across these 43 scales demonstrated strong structural integrity:</w:t>
      </w:r>
    </w:p>
    <w:p>
      <w:pPr>
        <w:pStyle w:val="ListBullet"/>
      </w:pPr>
      <w:r>
        <w:t>\chi^2 ratios ranged from 1.02 (Patience, Flexibility/Adaptability) to 3.25 (Time Management).</w:t>
      </w:r>
    </w:p>
    <w:p>
      <w:pPr>
        <w:pStyle w:val="ListBullet"/>
      </w:pPr>
      <w:r>
        <w:t>Root Mean Residual (RMR) values reached down to 0.00 (e.g., Analytical Thinking, Motivating Others).</w:t>
      </w:r>
    </w:p>
    <w:p>
      <w:pPr>
        <w:pStyle w:val="ListBullet"/>
      </w:pPr>
      <w:r>
        <w:t>Goodness of Fit Index (GFI) scores consistently ranged between 0.87 and 0.97.</w:t>
      </w:r>
    </w:p>
    <w:p>
      <w:pPr>
        <w:pStyle w:val="ListBullet"/>
      </w:pPr>
      <w:r>
        <w:t>Adjusted Goodness of Fit Index (AGFI) scores ranged between 0.87 and 0.97.</w:t>
      </w:r>
    </w:p>
    <w:p>
      <w:r>
        <w:t>Correlation analyses between the 43 constructed competency indicators and the MMPI-3 PSY-5 scales (Table 2 of Naghsh &amp; Eskandari, 2024) confirmed strong, theoretically expected inverse relationships:</w:t>
      </w:r>
    </w:p>
    <w:p>
      <w:pPr>
        <w:pStyle w:val="ListBullet"/>
      </w:pPr>
      <w:r>
        <w:t>Responsibility correlated -.89 with Disconstraint (Factor 2/4) and -.82 with Negative Emotionality/Neuroticism (Factor 5).</w:t>
      </w:r>
    </w:p>
    <w:p>
      <w:pPr>
        <w:pStyle w:val="ListBullet"/>
      </w:pPr>
      <w:r>
        <w:t>Ethics correlated -.71 with Disconstraint and -.85 with Negative Emotionality.</w:t>
      </w:r>
    </w:p>
    <w:p>
      <w:pPr>
        <w:pStyle w:val="ListBullet"/>
      </w:pPr>
      <w:r>
        <w:t>Patience correlated -.88 with Negative Emotionality.</w:t>
      </w:r>
    </w:p>
    <w:p>
      <w:pPr>
        <w:pStyle w:val="ListBullet"/>
      </w:pPr>
      <w:r>
        <w:t>Responsiveness correlated -.39 with Aggressiveness (Factor 1), -.70 with Psychoticism/Disconstraint dimensions, -.71 with Introversion/Low Positive Emotionality, -.91 with Disconstraint, and -.89 with Negative Emotionality.</w:t>
      </w:r>
    </w:p>
    <w:p>
      <w:pPr>
        <w:pStyle w:val="ListBullet"/>
      </w:pPr>
      <w:r>
        <w:t>Discipline correlated -.89 with Disconstraint and -.89 with Negative Emotionality.</w:t>
      </w:r>
    </w:p>
    <w:p>
      <w:r>
        <w:t>Specialized Population Normative Data</w:t>
      </w:r>
    </w:p>
    <w:p>
      <w:r>
        <w:t>In evaluating specialized and gender-diverse populations, Bryant et al. (in press) examined MMPI-3 scale profiles across Transgender and Gender Diverse (TGD) individuals. Non-treatment-seeking TGD individuals scored within 5 T-score points of the MMPI-3 normative sample across most substantive scales. However, they exhibited markedly elevated baseline scores on Suicidal/Death Ideation (SUI) (M = 59.24T in non-treatment TGD individuals; M = 68.40T in treatment-seeking TGD individuals, compared to M = 58.32T in general outpatient mental health samples). These empirical shifts demonstrate that risk assessments in TGD populations require population-specific baseline awareness to prevent misinterpreting elevated distress as generalized characterological instability.</w:t>
      </w:r>
    </w:p>
    <w:p>
      <w:r>
        <w:t>Diagnostic Validity, Validity Scales, and Error Rates</w:t>
      </w:r>
    </w:p>
    <w:p>
      <w:r>
        <w:t>The MMPI-3 incorporates ten validity scales to detect response bias:</w:t>
      </w:r>
    </w:p>
    <w:p>
      <w:pPr>
        <w:pStyle w:val="ListBullet"/>
      </w:pPr>
      <w:r>
        <w:t>Content Non-Responsiveness: Variable Response Inconsistency (VRIN), True Response Inconsistency (TRIN), and Combined Response Inconsistency (CRIN).</w:t>
      </w:r>
    </w:p>
    <w:p>
      <w:pPr>
        <w:pStyle w:val="ListBullet"/>
      </w:pPr>
      <w:r>
        <w:t>Over-Reporting: Infrequent Responses (F), Infrequent Psychopathology Responses (Fp), Infrequent Somatic Responses (Fs), Symptom Validity (FBS), and Response Bias Scale (RBS).</w:t>
      </w:r>
    </w:p>
    <w:p>
      <w:pPr>
        <w:pStyle w:val="ListBullet"/>
      </w:pPr>
      <w:r>
        <w:t>Under-Reporting: Uncommon Virtues (L) and Adjustment Validity (K).</w:t>
      </w:r>
    </w:p>
    <w:p>
      <w:r>
        <w:t>In an evaluation of diagnostic validity at the national level comparing 60 individuals with Borderline Personality Disorder (BPD) to 60 normal controls (Emami Doust et al., 2024), the majority of MMPI-3 subscales demonstrated robust diagnostic clarity (&gt;0.60). However, sensitivity coefficients fell below 0.40 for a broad array of subscales. Specifically, critical internalizing, emotional, externalizing, and risk-related subscales exhibited sensitivity below 0.40 when differentiating BPD from normal controls, including: Death and Suicidal Ideation (SUI), Helplessness-Hopelessness, Ineffectiveness, Inner Anger, Limiting Fears of Behavior, Family Problems, Adolescent Conduct Problems, Substance Abuse, Aggression, Behavioral Dysfunction, Antisocial Behaviors, Hypomanic Activism, Cognitive Complaints, Pessimism, Grandiosity, Dominance, Social Avoidance, Shyness, Aggressiveness, Irresponsibility, and Negative/Neurotic Emotions. Furthermore, clarity coefficients fell below 0.60 for Hypomanic Activism and Limiting Fears of Behavior. This demonstrates that diagnostic sensitivity is construct-specific and cannot be assumed uniformly across all substantive scales in personality disorder evaluations.</w:t>
      </w:r>
    </w:p>
    <w:p>
      <w:r>
        <w:t>In forensic and disability evaluations, classification accuracy statistics—including Positive Predictive Power (PPP), Negative Predictive Power (NPP), sensitivity, and specificity—provide lower-bound estimates of error rates when evaluating simulated or known-groups malingering.</w:t>
      </w:r>
    </w:p>
    <w:p>
      <w:pPr>
        <w:pStyle w:val="Heading2"/>
      </w:pPr>
      <w:r>
        <w:t>2.2 Empirical Evaluation of the Wechsler Intelligence Scale for Children–Fourth Edition (WISC-IV)</w:t>
      </w:r>
    </w:p>
    <w:p>
      <w:r>
        <w:t>The WISC-IV is an individually administered intelligence test for children aged 6:0 through 16:11. It consists of 10 core subtests yielding four Composite Index scores—Verbal Comprehension (VCI), Perceptual Reasoning (PRI), Working Memory (WMI), and Processing Speed (PSI)—which combine to yield a Full Scale IQ (FSIQ). Five supplemental subtests are also available for substitution or secondary assessment.</w:t>
      </w:r>
    </w:p>
    <w:p>
      <w:r>
        <w:t>Comparative Empirical Evaluation: Sample vs. Normative Data</w:t>
      </w:r>
    </w:p>
    <w:p>
      <w:r>
        <w:t>Ryan, Glass, &amp; Bartels (2009) evaluated the internal consistency reliabilities, SEM values, and Feldt F-ratios of the WISC-IV subtests and composite indexes in a sample of 76 healthy private school primary students (mean age = 8.2 years, SD = 2.3; mean FSIQ = 110.5, SD = 11.7). These sample metrics were systematically contrasted against the WISC-IV normative standardization sample (N = 200 for age 8).</w:t>
      </w:r>
    </w:p>
    <w:p>
      <w:r>
        <w:t>The table below presents the full empirical comparison between the private school sample (N = 76) and the normative age-matched standardization sample (N = 200):</w:t>
      </w:r>
    </w:p>
    <w:p>
      <w:r>
        <w:rPr>
          <w:b/>
        </w:rPr>
        <w:t>Subtest / Composite Index</w:t>
        <w:tab/>
        <w:t>Sample M</w:t>
        <w:tab/>
        <w:t>Sample SD</w:t>
        <w:tab/>
        <w:t>Sample r_{xx}</w:t>
        <w:tab/>
        <w:t>Sample SEM</w:t>
        <w:tab/>
        <w:t>Normative r_{xx}</w:t>
        <w:tab/>
        <w:t>Normative SEM</w:t>
        <w:tab/>
        <w:t>Feldt F-Ratio</w:t>
      </w:r>
    </w:p>
    <w:p>
      <w:r>
        <w:t>Block Design</w:t>
        <w:tab/>
        <w:t>11.18</w:t>
        <w:tab/>
        <w:t>2.90</w:t>
        <w:tab/>
        <w:t>.92</w:t>
        <w:tab/>
        <w:t>0.82</w:t>
        <w:tab/>
        <w:t>.86</w:t>
        <w:tab/>
        <w:t>1.12</w:t>
        <w:tab/>
        <w:t>1.75**</w:t>
      </w:r>
    </w:p>
    <w:p>
      <w:r>
        <w:t>Similarities</w:t>
        <w:tab/>
        <w:t>11.24</w:t>
        <w:tab/>
        <w:t>2.67</w:t>
        <w:tab/>
        <w:t>.93</w:t>
        <w:tab/>
        <w:t>0.71</w:t>
        <w:tab/>
        <w:t>.86</w:t>
        <w:tab/>
        <w:t>1.12</w:t>
        <w:tab/>
        <w:t>2.00**</w:t>
      </w:r>
    </w:p>
    <w:p>
      <w:r>
        <w:t>Digit Span</w:t>
        <w:tab/>
        <w:t>11.03</w:t>
        <w:tab/>
        <w:t>2.82</w:t>
        <w:tab/>
        <w:t>.88</w:t>
        <w:tab/>
        <w:t>0.98</w:t>
        <w:tab/>
        <w:t>.84</w:t>
        <w:tab/>
        <w:t>1.20</w:t>
        <w:tab/>
        <w:t>1.33</w:t>
      </w:r>
    </w:p>
    <w:p>
      <w:r>
        <w:t>Picture Concepts</w:t>
        <w:tab/>
        <w:t>11.86</w:t>
        <w:tab/>
        <w:t>2.58</w:t>
        <w:tab/>
        <w:t>.76</w:t>
        <w:tab/>
        <w:t>1.26</w:t>
        <w:tab/>
        <w:t>.81</w:t>
        <w:tab/>
        <w:t>1.31</w:t>
        <w:tab/>
        <w:t>1.26</w:t>
      </w:r>
    </w:p>
    <w:p>
      <w:r>
        <w:t>Vocabulary</w:t>
        <w:tab/>
        <w:t>11.41</w:t>
        <w:tab/>
        <w:t>2.58</w:t>
        <w:tab/>
        <w:t>.91</w:t>
        <w:tab/>
        <w:t>0.77</w:t>
        <w:tab/>
        <w:t>.86</w:t>
        <w:tab/>
        <w:t>1.12</w:t>
        <w:tab/>
        <w:t>1.56*</w:t>
      </w:r>
    </w:p>
    <w:p>
      <w:r>
        <w:t>Letter–Number Seq.</w:t>
        <w:tab/>
        <w:t>11.75</w:t>
        <w:tab/>
        <w:t>2.54</w:t>
        <w:tab/>
        <w:t>.93</w:t>
        <w:tab/>
        <w:t>0.67</w:t>
        <w:tab/>
        <w:t>.90</w:t>
        <w:tab/>
        <w:t>0.95</w:t>
        <w:tab/>
        <w:t>1.43*</w:t>
      </w:r>
    </w:p>
    <w:p>
      <w:r>
        <w:t>Matrix Reasoning</w:t>
        <w:tab/>
        <w:t>11.92</w:t>
        <w:tab/>
        <w:t>2.73</w:t>
        <w:tab/>
        <w:t>.93</w:t>
        <w:tab/>
        <w:t>0.72</w:t>
        <w:tab/>
        <w:t>.92</w:t>
        <w:tab/>
        <w:t>0.85</w:t>
        <w:tab/>
        <w:t>1.14</w:t>
      </w:r>
    </w:p>
    <w:p>
      <w:r>
        <w:t>Comprehension</w:t>
        <w:tab/>
        <w:t>11.70</w:t>
        <w:tab/>
        <w:t>2.99</w:t>
        <w:tab/>
        <w:t>.89</w:t>
        <w:tab/>
        <w:t>0.99</w:t>
        <w:tab/>
        <w:t>.78</w:t>
        <w:tab/>
        <w:t>1.41</w:t>
        <w:tab/>
        <w:t>2.00**</w:t>
      </w:r>
    </w:p>
    <w:p>
      <w:r>
        <w:t>Picture Completion</w:t>
        <w:tab/>
        <w:t>11.14</w:t>
        <w:tab/>
        <w:t>2.82</w:t>
        <w:tab/>
        <w:t>.82</w:t>
        <w:tab/>
        <w:t>1.20</w:t>
        <w:tab/>
        <w:t>.84</w:t>
        <w:tab/>
        <w:t>1.20</w:t>
        <w:tab/>
        <w:t>1.13</w:t>
      </w:r>
    </w:p>
    <w:p>
      <w:r>
        <w:t>Information</w:t>
        <w:tab/>
        <w:t>11.57</w:t>
        <w:tab/>
        <w:t>2.31</w:t>
        <w:tab/>
        <w:t>.92</w:t>
        <w:tab/>
        <w:t>0.65</w:t>
        <w:tab/>
        <w:t>.83</w:t>
        <w:tab/>
        <w:t>1.24</w:t>
        <w:tab/>
        <w:t>2.13**</w:t>
      </w:r>
    </w:p>
    <w:p>
      <w:r>
        <w:t>Arithmetic</w:t>
        <w:tab/>
        <w:t>11.70</w:t>
        <w:tab/>
        <w:t>2.39</w:t>
        <w:tab/>
        <w:t>.94</w:t>
        <w:tab/>
        <w:t>0.59</w:t>
        <w:tab/>
        <w:t>.85</w:t>
        <w:tab/>
        <w:t>1.16</w:t>
        <w:tab/>
        <w:t>2.50**</w:t>
      </w:r>
    </w:p>
    <w:p>
      <w:r>
        <w:t>Word Reasoning</w:t>
        <w:tab/>
        <w:t>12.75</w:t>
        <w:tab/>
        <w:t>2.52</w:t>
        <w:tab/>
        <w:t>.86</w:t>
        <w:tab/>
        <w:t>0.94</w:t>
        <w:tab/>
        <w:t>.83</w:t>
        <w:tab/>
        <w:t>1.24</w:t>
        <w:tab/>
        <w:t>1.21</w:t>
      </w:r>
    </w:p>
    <w:p>
      <w:r>
        <w:t>Verbal Comprehension (VCI)</w:t>
        <w:tab/>
        <w:t>107.68</w:t>
        <w:tab/>
        <w:t>13.65</w:t>
        <w:tab/>
        <w:t>.96</w:t>
        <w:tab/>
        <w:t>2.73</w:t>
        <w:tab/>
        <w:t>.92</w:t>
        <w:tab/>
        <w:t>4.24</w:t>
        <w:tab/>
        <w:t>2.00**</w:t>
      </w:r>
    </w:p>
    <w:p>
      <w:r>
        <w:t>Perceptual Reasoning (PRI)</w:t>
        <w:tab/>
        <w:t>110.36</w:t>
        <w:tab/>
        <w:t>12.82</w:t>
        <w:tab/>
        <w:t>.92</w:t>
        <w:tab/>
        <w:t>3.63</w:t>
        <w:tab/>
        <w:t>.93</w:t>
        <w:tab/>
        <w:t>3.97</w:t>
        <w:tab/>
        <w:t>1.14</w:t>
      </w:r>
    </w:p>
    <w:p>
      <w:r>
        <w:t>Working Memory (WMI)</w:t>
        <w:tab/>
        <w:t>107.25</w:t>
        <w:tab/>
        <w:t>13.71</w:t>
        <w:tab/>
        <w:t>.94</w:t>
        <w:tab/>
        <w:t>3.36</w:t>
        <w:tab/>
        <w:t>.91</w:t>
        <w:tab/>
        <w:t>4.50</w:t>
        <w:tab/>
        <w:t>1.50*</w:t>
      </w:r>
    </w:p>
    <w:p>
      <w:r>
        <w:t>Full Scale IQ (FSIQ)</w:t>
        <w:tab/>
        <w:t>110.45</w:t>
        <w:tab/>
        <w:t>11.73</w:t>
        <w:tab/>
        <w:t>.96</w:t>
        <w:tab/>
        <w:t>2.36</w:t>
        <w:tab/>
        <w:t>.97</w:t>
        <w:tab/>
        <w:t>2.60</w:t>
        <w:tab/>
        <w:t>1.33</w:t>
      </w:r>
    </w:p>
    <w:p>
      <w:pPr>
        <w:pStyle w:val="ListBullet"/>
      </w:pPr>
      <w:r>
        <w:t>p &lt; .05; ** p &lt; .01. Note: Processing Speed subtests (Coding, Symbol Search) and Cancellation were excluded from split-half internal consistency analyses due to speeded administrative constraints.</w:t>
      </w:r>
    </w:p>
    <w:p>
      <w:r>
        <w:t>Methodological and Sample Variability Critique</w:t>
      </w:r>
    </w:p>
    <w:p>
      <w:r>
        <w:t>The split-half method was omitted for the Processing Speed subtests (Coding, Symbol Search) and the supplemental Cancellation subtest because split-half metrics artificially inflate reliability estimates when applied to speeded tasks.</w:t>
      </w:r>
    </w:p>
    <w:p>
      <w:r>
        <w:t>Feldt’s F-test demonstrated that internal consistency coefficients for Block Design, Similarities, Vocabulary, Letter-Number Sequencing, Comprehension, Information, Arithmetic, VCI, and WMI were significantly higher in the private school sample than in the standardization sample. This elevated reliability, paired with slightly reduced subtest standard deviations, resulted in consistently smaller SEM values across almost all subtests for the private school sample. Reduced variability in student performance likely reflects the homogeneous nature of the private school sample, driven by academic selection, above-average baseline cognitive capability (FSIQ = 110.5), and a shared educational curriculum and culture.</w:t>
      </w:r>
    </w:p>
    <w:p>
      <w:pPr>
        <w:pStyle w:val="Heading2"/>
      </w:pPr>
      <w:r>
        <w:t>2.3 Empirical Evaluation of the Minnesota Multiphasic Personality Inventory-2 Restructured Form (MMPI-2-RF)</w:t>
      </w:r>
    </w:p>
    <w:p>
      <w:r>
        <w:t>The MMPI-2-RF was developed to address limitations of the legacy MMPI-2, such as item overlap, high scale intercorrelations, and pervasive demoralization variance across clinical scales.</w:t>
      </w:r>
    </w:p>
    <w:p>
      <w:r>
        <w:t>Structural Evolution and Item Pool Modifications</w:t>
      </w:r>
    </w:p>
    <w:p>
      <w:r>
        <w:t>The transition from the MMPI-2-RF to the MMPI-3 involved structural modifications designed to expand construct coverage while refining internal scale integrity. Specifically, the MMPI-3 added 5 entirely new scales:</w:t>
      </w:r>
    </w:p>
    <w:p>
      <w:pPr>
        <w:pStyle w:val="Heading1"/>
      </w:pPr>
      <w:r>
        <w:t>1. Combined Response Inconsistency (CRIN): Enhancing content non-responsiveness detection.</w:t>
      </w:r>
    </w:p>
    <w:p>
      <w:pPr>
        <w:pStyle w:val="Heading1"/>
      </w:pPr>
      <w:r>
        <w:t>2. Eating Concerns (EAT): Capturing disordered eating behaviors.</w:t>
      </w:r>
    </w:p>
    <w:p>
      <w:pPr>
        <w:pStyle w:val="Heading1"/>
      </w:pPr>
      <w:r>
        <w:t>3. Compulsivity (CMP): Assessing obsessive-compulsive routines.</w:t>
      </w:r>
    </w:p>
    <w:p>
      <w:pPr>
        <w:pStyle w:val="Heading1"/>
      </w:pPr>
      <w:r>
        <w:t>4. Impulsivity (IMP): Evaluating behavioral dysregulation.</w:t>
      </w:r>
    </w:p>
    <w:p>
      <w:pPr>
        <w:pStyle w:val="Heading1"/>
      </w:pPr>
      <w:r>
        <w:t>5. Self-Importance (SFI): Measuring grandiose self-appraisals.</w:t>
      </w:r>
    </w:p>
    <w:p>
      <w:r>
        <w:t>Additionally, 3 scales underwent major structural revisions:</w:t>
      </w:r>
    </w:p>
    <w:p>
      <w:pPr>
        <w:pStyle w:val="Heading1"/>
      </w:pPr>
      <w:r>
        <w:t>1. Anxiety-Related Experiences (ARX): Revised from MMPI-2-RF Anxiety (AXY).</w:t>
      </w:r>
    </w:p>
    <w:p>
      <w:pPr>
        <w:pStyle w:val="Heading1"/>
      </w:pPr>
      <w:r>
        <w:t>2. Stress (STR) and Worry (WRY): Split into two distinct scales from MMPI-2-RF Stress/Worry (STW).</w:t>
      </w:r>
    </w:p>
    <w:p>
      <w:pPr>
        <w:pStyle w:val="Heading1"/>
      </w:pPr>
      <w:r>
        <w:t>3. Dominance (DOM): Revised and reverse-scored from MMPI-2-RF Interpersonal Passivity (IPP).</w:t>
      </w:r>
    </w:p>
    <w:p>
      <w:r>
        <w:t>To maintain clinical efficiency, 4 obsolete or redundant scales were retired: Gastrointestinal Complaints (GIC), Head Pain Complaints (HPC), Multiple Specific Fears (MSF), and the two vocational interest scales (AES and MEC).</w:t>
      </w:r>
    </w:p>
    <w:p>
      <w:r>
        <w:t>Cross-Version Comparability and Legacy Transferability</w:t>
      </w:r>
    </w:p>
    <w:p>
      <w:r>
        <w:t>Despite these structural updates, high cross-version correlations permit the direct transfer of legacy research from the MMPI-2-RF to the MMPI-3. Cross-version correlations between substantive scales range from r = .80 to .99 across clinical, forensic, and normative samples. For Validity Scales, over-reporting scale correlations range from .84 to .99 (with FBS and RBS reaching 1.00 due to identical item content), while under-reporting scales (L/L-r, K/K-r) range from .87 to .98. These high correlations establish psychometric interchangeability, allowing practitioners to generalize legacy MMPI-2-RF research—including over 570 peer-reviewed studies and 54,000 empirical correlates—to MMPI-3 interpretations without compromising construct validity.</w:t>
      </w:r>
    </w:p>
    <w:p>
      <w:r>
        <w:t>Applied Utility in Pre-Surgical, Forensic, and Medical Settings</w:t>
      </w:r>
    </w:p>
    <w:p>
      <w:r>
        <w:t>The MMPI-2-RF maintains extensive empirical support across specialized clinical and legal domains:</w:t>
      </w:r>
    </w:p>
    <w:p>
      <w:pPr>
        <w:pStyle w:val="ListBullet"/>
      </w:pPr>
      <w:r>
        <w:t>Pre-Surgical Evaluations: Pre-operative scale profiles reliably predict outcomes in spine surgery, spinal cord stimulator implants, and bariatric surgery candidates (Marek et al.; Block et al.). Scale elevations in somatic and emotional domains correlate with surgical readmission risks, pain patient activation, and long-term weight loss maintenance.</w:t>
      </w:r>
    </w:p>
    <w:p>
      <w:pPr>
        <w:pStyle w:val="ListBullet"/>
      </w:pPr>
      <w:r>
        <w:t>Medical Differential Diagnosis: In epilepsy monitoring units, MMPI-2-RF scale profiles assist in differentiating epileptic seizures from Psychogenic Nonepileptic Seizures (PNES). Patients diagnosed with PNES demonstrate significantly higher odds (2 to 5 times greater) of reporting somatic complaints relative to patients with epilepsy (Del Bene et al., 2017; Duncan et al., 2018), with somatization serving as a key diagnostic marker across sexes.</w:t>
      </w:r>
    </w:p>
    <w:p>
      <w:pPr>
        <w:pStyle w:val="ListBullet"/>
      </w:pPr>
      <w:r>
        <w:t>Forensic Practice: The test exhibits robust stability across child custody evaluations, parental fitness evaluations, disability claimant evaluations, and public safety pre-employment screenings.</w:t>
      </w:r>
    </w:p>
    <w:p>
      <w:r>
        <w:t>Auditing these empirical parameters across instruments provides the requisite baseline data to perform a structured side-by-side psychometric comparison.</w:t>
      </w:r>
    </w:p>
    <w:p>
      <w:pPr>
        <w:pStyle w:val="Heading1"/>
      </w:pPr>
      <w:r>
        <w:t>3. Cross-Instrument Psychometric Comparison</w:t>
      </w:r>
    </w:p>
    <w:p>
      <w:r>
        <w:t>Evaluating psychological assessments requires direct comparative analysis across structural, normative, and legal dimensions. Systematic cross-instrument comparison guides test selection, ensuring that chosen instruments align with evaluation goals and withstand legal scrutiny.</w:t>
      </w:r>
    </w:p>
    <w:p>
      <w:pPr>
        <w:pStyle w:val="Heading2"/>
      </w:pPr>
      <w:r>
        <w:t>3.1 Comprehensive Psychometric Comparison Matrix</w:t>
      </w:r>
    </w:p>
    <w:p>
      <w:r>
        <w:t>The table below provides a structured side-by-side comparative analysis of the MMPI-3, WISC-IV, and MMPI-2-RF across fundamental psychometric dimensions:</w:t>
      </w:r>
    </w:p>
    <w:p>
      <w:r>
        <w:rPr>
          <w:b/>
        </w:rPr>
        <w:t>Comparison Dimension</w:t>
        <w:tab/>
        <w:t>MMPI-3</w:t>
        <w:tab/>
        <w:t>WISC-IV</w:t>
        <w:tab/>
        <w:t>MMPI-2-RF</w:t>
      </w:r>
    </w:p>
    <w:p>
      <w:pPr>
        <w:pStyle w:val="Heading1"/>
      </w:pPr>
      <w:r>
        <w:t>1. Target Population &amp; Age Range</w:t>
        <w:tab/>
        <w:t>Adults aged 18 years and older.</w:t>
        <w:tab/>
        <w:t>Children aged 6:0 through 16:11 years.</w:t>
        <w:tab/>
        <w:t>Adults aged 18 years and older.</w:t>
      </w:r>
    </w:p>
    <w:p>
      <w:pPr>
        <w:pStyle w:val="Heading1"/>
      </w:pPr>
      <w:r>
        <w:t>2. Primary Measurement Construct</w:t>
        <w:tab/>
        <w:t>Personality traits, psychopathology, and emotional/behavioral dysfunction.</w:t>
        <w:tab/>
        <w:t>General cognitive ability (FSIQ) and four domain index abilities (VCI, PRI, WMI, PSI).</w:t>
        <w:tab/>
        <w:t>Personality traits, psychopathology, and restructured clinical dimensions.</w:t>
      </w:r>
    </w:p>
    <w:p>
      <w:pPr>
        <w:pStyle w:val="Heading1"/>
      </w:pPr>
      <w:r>
        <w:t>3. Reading Level &amp; Administration Requirements</w:t>
        <w:tab/>
        <w:t>Grade 4.5 Flesch-Kincaid reading level; 335 items; computer or booklet administration.</w:t>
        <w:tab/>
        <w:t>Requires spoken language comprehension and visual/motor processing; individually administered.</w:t>
        <w:tab/>
        <w:t>Grade 5.0 Flesch-Kincaid reading level; 338 items; computer or booklet administration.</w:t>
      </w:r>
    </w:p>
    <w:p>
      <w:pPr>
        <w:pStyle w:val="Heading1"/>
      </w:pPr>
      <w:r>
        <w:t>4. Internal Consistency Reliability Ranges</w:t>
        <w:tab/>
        <w:t>Substantive &amp; Validity scales generally .70 - .90+; restricted sample scales (e.g., Low Positive Emotions in homogeneous groups) drop to \sim .59.</w:t>
        <w:tab/>
        <w:t>Subtests: .76 (Picture Concepts) to .94 (Arithmetic); Composites: .92 (PRI) to .96-.97 (VCI, FSIQ).</w:t>
        <w:tab/>
        <w:t>Substantive &amp; Validity scales generally .70 - .90+; demonstrates strong internal consistency across clinical/medical samples.</w:t>
      </w:r>
    </w:p>
    <w:p>
      <w:pPr>
        <w:pStyle w:val="Heading1"/>
      </w:pPr>
      <w:r>
        <w:t>5. Structural &amp; Criterion Validity Frameworks</w:t>
        <w:tab/>
        <w:t>52 scales (HO, RC, SP, PSY-5); maps onto HiTOP and DSM-5 PDs; validated via Mokken scaling and criterion correlations.</w:t>
        <w:tab/>
        <w:t>10 core / 5 supplemental subtests yielding 4 factor indexes &amp; FSIQ; validated via factor analysis and developmental progression.</w:t>
        <w:tab/>
        <w:t>50 scales (HO, RC, SP, PSY-5); structural reorganization isolating demoralization; extensive convergent/criterion validity.</w:t>
      </w:r>
    </w:p>
    <w:p>
      <w:pPr>
        <w:pStyle w:val="Heading1"/>
      </w:pPr>
      <w:r>
        <w:t>6. Normative Sample Characteristics</w:t>
        <w:tab/>
        <w:t>N=1,620 (2017–2018 US Census-matched: 60.3% White, age, education, geographic, and gender balance); Spanish supplement available.</w:t>
        <w:tab/>
        <w:t>N=2,200 (U.S. standardization sample representative of demographic variables across age brackets).</w:t>
        <w:tab/>
        <w:t>N=2,279 (1980s MMPI-2 normative sample: 81.8% White, matched to historical census data).</w:t>
      </w:r>
    </w:p>
    <w:p>
      <w:pPr>
        <w:pStyle w:val="Heading1"/>
      </w:pPr>
      <w:r>
        <w:t>7. Error Rates &amp; SEM Benchmarks</w:t>
        <w:tab/>
        <w:t>SEM ranges from 2.0 to 5.5 T-score points across substantive scales; detailed classification statistics (sensitivity, specificity, PPP, NPP) reported.</w:t>
        <w:tab/>
        <w:t>Subtest SEMs range from 0.59 to 1.26 scaled score units; Index SEMs: 2.73 - 3.63; FSIQ SEM: 2.36 (sample) to 2.60 (normative).</w:t>
        <w:tab/>
        <w:t>SEM ranges from 2.0 to 5.5 T-score points across substantive scales; extensive classification accuracy data for cutoffs.</w:t>
      </w:r>
    </w:p>
    <w:p>
      <w:pPr>
        <w:pStyle w:val="Heading1"/>
      </w:pPr>
      <w:r>
        <w:t>8. Primary Administration Contexts</w:t>
        <w:tab/>
        <w:t>Clinical, forensic, public safety screening, medical presurgical evaluations.</w:t>
        <w:tab/>
        <w:t>Educational classification, pediatric neuropsychology, clinical child evaluations.</w:t>
        <w:tab/>
        <w:t>Clinical, forensic, public safety screening, medical presurgical, disability evaluation.</w:t>
      </w:r>
    </w:p>
    <w:p>
      <w:pPr>
        <w:pStyle w:val="Heading2"/>
      </w:pPr>
      <w:r>
        <w:t>3.2 Methodological Critique and Evidentiary Admissibility (Daubert Factors)</w:t>
      </w:r>
    </w:p>
    <w:p>
      <w:r>
        <w:t>In federal courts and many state jurisdictions, the legal admissibility of expert testimony based on psychological tests is governed by the standard established in Daubert v. Merrell Dow Pharmaceuticals, Inc. (1993). Evaluating the MMPI-3 against the five Daubert criteria demonstrates its scientific foundation and legal defensibility:</w:t>
      </w:r>
    </w:p>
    <w:p>
      <w:pPr>
        <w:pStyle w:val="ListBullet"/>
      </w:pPr>
      <w:r>
        <w:t>Empirical Testing and Falsifiability: The MMPI-3 is supported by extensive empirical testing detailed in its Technical Manual (18,872 internal scale correlations across 5,643 individuals; 37,968 external criterion correlates across &gt;3,000 individuals). Independent empirical research confirms that test scores are psychometrically interchangeable regardless of whether administered via the standalone MMPI-3 booklet or the expanded trial booklet (MMPI-2-RF-EX; Hall et al., 2022).</w:t>
      </w:r>
    </w:p>
    <w:p>
      <w:pPr>
        <w:pStyle w:val="ListBullet"/>
      </w:pPr>
      <w:r>
        <w:t>Peer Review and Publication: The scientific foundation of the MMPI family includes over 570 peer-reviewed articles on the MMPI-2-RF (which directly inform MMPI-3 scales carried over with identical or near-identical content) and a rapidly growing body of peer-reviewed MMPI-3 literature (exceeding 47 articles as of late 2023). Studies cover diverse domains, including over-reporting detection, parental fitness evaluations, public safety pre-employment assessments, and psychiatric inpatient monitoring.</w:t>
      </w:r>
    </w:p>
    <w:p>
      <w:pPr>
        <w:pStyle w:val="ListBullet"/>
      </w:pPr>
      <w:r>
        <w:t>Known or Potential Error Rates: The MMPI-3 Technical Manual and peer-reviewed literature publish comprehensive SEM values and Cronbach's alpha reliability estimates across normative, clinical, and specialty samples. For dichotomous decisions (such as detecting malingering or non-credible presentation), classification accuracy statistics—including sensitivity, specificity, PPP, and NPP—provide decision-error estimates across varying base rates. Crucially, these classification accuracy metrics represent lower-bound estimates of true test accuracy. Because external criterion anchors for malingering (such as the Slick et al. criteria for Malingered Neurocognitive Dysfunction) are themselves imperfect, any measurement error or misclassification in the external criterion artificially depresses the calculated sensitivity and specificity of the MMPI-3 validity scales.</w:t>
      </w:r>
    </w:p>
    <w:p>
      <w:pPr>
        <w:pStyle w:val="ListBullet"/>
      </w:pPr>
      <w:r>
        <w:t>Standardized Administrative Controls: Standardized procedures for administration, scoring, and interpretation are detailed in the MMPI-3 Manual for Administration, Scoring, and Interpretation. Standardized automated platforms (such as Pearson’s Q Local) enforce uniform scoring protocols, ensuring high inter-examiner reliability.</w:t>
      </w:r>
    </w:p>
    <w:p>
      <w:pPr>
        <w:pStyle w:val="ListBullet"/>
      </w:pPr>
      <w:r>
        <w:t>General Acceptance and Legal Precedent: The MMPI framework is widely accepted within scientific and legal domains. In the first half of 2023, the MMPI-3 accounted for 56% of adult MMPI sales. Surveys of APA-accredited clinical psychology doctoral programs indicate that 94% to 96% teach the MMPI-2-RF or MMPI-3. Furthermore, over 29 professional organizations (including the American Academy of Forensic Psychology and the American Psychological Association) offer continuing education workshops on the MMPI-3. Legally, an analysis of 64 appellate court cases from 1971 to 2019 (Ben-Porath et al., 2021) established firm precedent supporting the broader MMPI instrument family (MMPI/MMPI-2/MMPI-2-RF) in forensic assessments. This continuous legal framework directly supports MMPI-3 admissibility under structural equivalence and legacy research transferability.</w:t>
      </w:r>
    </w:p>
    <w:p>
      <w:r>
        <w:t>Methodological Limitations, Cultural Mistrust, and Minoritized Populations</w:t>
      </w:r>
    </w:p>
    <w:p>
      <w:r>
        <w:t>While objective instruments meet legal admissibility standards, practitioners must account for specific psychometric limitations across tools:</w:t>
      </w:r>
    </w:p>
    <w:p>
      <w:pPr>
        <w:pStyle w:val="ListBullet"/>
      </w:pPr>
      <w:r>
        <w:t>Sample Size and Generalizability Constraints: Smaller specialized research studies—such as the WISC-IV primary school sample (N = 76) evaluated by Ryan et al. (2009)—demonstrate high internal consistency but possess restricted generalizability due to academic self-selection and homogeneous cognitive capability.</w:t>
      </w:r>
    </w:p>
    <w:p>
      <w:pPr>
        <w:pStyle w:val="ListBullet"/>
      </w:pPr>
      <w:r>
        <w:t>Cultural Mistrust and Item-Level Endorsement: On self-report personality inventories like the MMPI-3, researchers must distinguish true psychopathology from cultural mistrust or reactions to systematic discrimination. Dixon et al. (2023) evaluated Cultural Mistrust Critical Items (CMCI) on the MMPI-3, which are heavily concentrated on Thought Dysfunction scales like Ideas of Persecution (RC6). Black and Latina/o examinees endorsed CMCI items at significantly higher rates than White peers in non-clinical college samples, reflecting valid, non-pathological adaptation to systemic discrimination rather than persecutory ideation. Notably, these endorsement differences attenuated in forensic inpatient settings, where mistrust of the legal system becomes generalized across all demographic groups. Practitioners must account for CMCI concentrations when interpreting RC6 elevations in minoritized evaluatees.</w:t>
      </w:r>
    </w:p>
    <w:p>
      <w:pPr>
        <w:pStyle w:val="ListBullet"/>
      </w:pPr>
      <w:r>
        <w:t>Cross-Cultural Translation and Range Restrictions: When administering translated versions (such as the Spanish-language MMPI-3 evaluated in Puerto Rican parental fitness settings; Whitman et al., 2022), practitioners must interpret scores within the context of sample-specific score ranges and potential range restrictions, particularly on subscales like Low Positive Emotions (RC2).</w:t>
      </w:r>
    </w:p>
    <w:p>
      <w:r>
        <w:t>Quantifying these methodological trade-offs and legal precedents enables practitioners to formulate defensible assessment guidelines for professional practice.</w:t>
      </w:r>
    </w:p>
    <w:p>
      <w:pPr>
        <w:pStyle w:val="Heading1"/>
      </w:pPr>
      <w:r>
        <w:t>4. Strategic Synthesis and Recommendations for Professional Practice</w:t>
      </w:r>
    </w:p>
    <w:p>
      <w:r>
        <w:t>Translating psychometric theory and empirical data into professional practice requires clear operational protocols. Clinicians, psychometrists, and forensic experts must follow systematic guidelines for test selection, profile interpretation, and legal defensibility to maintain assessment integrity.</w:t>
      </w:r>
    </w:p>
    <w:p>
      <w:pPr>
        <w:pStyle w:val="Heading2"/>
      </w:pPr>
      <w:r>
        <w:t>4.1 Framework for Test Selection and Interpretation</w:t>
      </w:r>
    </w:p>
    <w:p>
      <w:r>
        <w:t>Selecting an appropriate psychological test requires matching the instrument's normative and psychometric strengths to the examinee's demographic background, cultural context, reading capability, and the specific evaluation context.</w:t>
      </w:r>
    </w:p>
    <w:p>
      <w:r>
        <w:t>When interpreting test profiles, practitioners should adhere to the following sequence:</w:t>
      </w:r>
    </w:p>
    <w:p>
      <w:pPr>
        <w:pStyle w:val="Heading1"/>
      </w:pPr>
      <w:r>
        <w:t>1. Evaluate Protocol Validity First: Prior to interpreting substantive clinical or cognitive scales, assess validity indicators to verify protocol acceptability. On the MMPI-3, evaluate content non-responsiveness (VRIN, TRIN, CRIN), over-reporting (F, Fp, Fs, FBS, RBS), and under-reporting (L, K). If non-credible responding or excessive inconsistency is identified, substantive scale scores cannot be interpreted standardly.</w:t>
      </w:r>
    </w:p>
    <w:p>
      <w:pPr>
        <w:pStyle w:val="Heading1"/>
      </w:pPr>
      <w:r>
        <w:t>2. Apply Standard Error of Measurement (SEM) Confidence Intervals: Never interpret point scores in isolation. Always apply SEM-based confidence intervals (e.g., 90% or 95% CI) around observed scores to reflect measurement error, particularly when evaluatees belong to homogeneous groups exhibiting restricted range effects.</w:t>
      </w:r>
    </w:p>
    <w:p>
      <w:pPr>
        <w:pStyle w:val="Heading1"/>
      </w:pPr>
      <w:r>
        <w:t>3. Incorporate Base-Rate Contextualization in Validity Cutoffs: Validity scale cutoffs must be interpreted in light of baseline prevalence rates across settings. In personal injury or disability evaluations—where base rates of symptom over-reporting are high—higher validity scale cutoffs (e.g., Fp \ge 80T or FS \ge 100T) are applied to preserve high Positive Predictive Power (PPP) and prevent false-positive malingering classifications. Conversely, in public safety pre-employment screenings—where base rates of under-reporting (defensiveness) are exceptionally high—lower under-reporting cutoffs (e.g., L \ge 60T or K \ge 60T) are required to identify subtle, defensive presentation that would otherwise compromise substantive risk prediction.</w:t>
      </w:r>
    </w:p>
    <w:p>
      <w:pPr>
        <w:pStyle w:val="Heading1"/>
      </w:pPr>
      <w:r>
        <w:t>4. Integrate Multi-Method Assessment Contexts: Objective test scores must never serve as the sole foundation for complex clinical or legal determinations. In competency evaluations, public safety screenings, or pre-surgical risk assessments, test scores must be integrated with clinical interviews, behavioral observations, cognitive data, and collateral records.</w:t>
      </w:r>
    </w:p>
    <w:p>
      <w:pPr>
        <w:pStyle w:val="Heading1"/>
      </w:pPr>
      <w:r>
        <w:t>5. Contextualize Cultural and Demographic Variables: Interpret scale elevations with an understanding of normative sample characteristics and cultural factors. When evaluating minoritized examinees, differentiate item endorsement driven by cultural mistrust or systemic discrimination (e.g., CMCI endorsement on scale RC6) from active persecutory psychopathology, maintaining standardized administration while contextualizing score meaning.</w:t>
      </w:r>
    </w:p>
    <w:p>
      <w:pPr>
        <w:pStyle w:val="Heading2"/>
      </w:pPr>
      <w:r>
        <w:t>4.2 Protocol for Legal and Forensic Defensibility</w:t>
      </w:r>
    </w:p>
    <w:p>
      <w:r>
        <w:t>To ensure expert testimony and interpretive reports withstand legal challenges or rigorous cross-examination under Daubert standards, practitioners should implement the following defensibility protocol:</w:t>
      </w:r>
    </w:p>
    <w:p>
      <w:pPr>
        <w:pStyle w:val="ListBullet"/>
      </w:pPr>
      <w:r>
        <w:t>Maintain Strict Administrative Integrity: Administer and score assessments in complete accordance with standardized test manuals. Verify that the examinee meets requisite baseline requirements (e.g., confirming the examinee possesses the 4.5 Grade reading level required for the MMPI-3 via standardized reading screeners like the WRAT-4).</w:t>
      </w:r>
    </w:p>
    <w:p>
      <w:pPr>
        <w:pStyle w:val="ListBullet"/>
      </w:pPr>
      <w:r>
        <w:t>Document Environmental and Administrative Conditions: Formally record test settings, administration formats (e.g., booklet vs. computer-administered via Q Local), and any external accommodations or disruptions.</w:t>
      </w:r>
    </w:p>
    <w:p>
      <w:pPr>
        <w:pStyle w:val="ListBullet"/>
      </w:pPr>
      <w:r>
        <w:t>Justify Normative Reference Group Selection: Articulate clearly in written reports why the selected test norms (e.g., the 2017–2018 Census-matched MMPI-3 normative sample or specialized international adaptations) are appropriate for the evaluatee.</w:t>
      </w:r>
    </w:p>
    <w:p>
      <w:pPr>
        <w:pStyle w:val="ListBullet"/>
      </w:pPr>
      <w:r>
        <w:t>Prepare Empirical Defense Mapped to Daubert Criteria: Retain and cite specific peer-reviewed literature establishing the empirical validity, reliability, SEM metrics, and lower-bound classification accuracy of the chosen scales for the specific referral question.</w:t>
      </w:r>
    </w:p>
    <w:p>
      <w:pPr>
        <w:pStyle w:val="ListBullet"/>
      </w:pPr>
      <w:r>
        <w:t>Avoid Over-Extension and Unsupported Claims: Limit interpretive conclusions strictly to validated scale constructs. For example, avoid using personality inventories as standalone measures of legal competency without incorporating required multi-method legal and clinical data.</w:t>
      </w:r>
    </w:p>
    <w:p>
      <w:r>
        <w:t>Rigorous adherence to psychometric principles and standardized administrative protocols ensures both clinical utility and legal admissibility.</w:t>
      </w:r>
    </w:p>
    <w:p>
      <w:r>
        <w:br w:type="page"/>
      </w:r>
    </w:p>
    <w:p>
      <w:pPr>
        <w:pStyle w:val="Heading1"/>
      </w:pPr>
      <w:r>
        <w:t>Appendix A. Three Additional Published Psychological Tests</w:t>
      </w:r>
    </w:p>
    <w:p>
      <w:r>
        <w:t>The following supplement adds three measures and research links to the original comparison. The reported coefficients are study-specific examples, not universal properties.</w:t>
      </w:r>
    </w:p>
    <w:p>
      <w:r>
        <w:t>To complement the instruments discussed above, this section reviews three widely studied measures that assess different psychological constructs. The figures below are examples from published studies and should not be interpreted as universal values; reliability and validity evidence can differ by sample, language, setting, and administration interval.</w:t>
      </w:r>
    </w:p>
    <w:p>
      <w:pPr>
        <w:pStyle w:val="Heading2"/>
      </w:pPr>
      <w:r>
        <w:t>A. Beck Depression Inventory–II (BDI-II)</w:t>
      </w:r>
    </w:p>
    <w:p>
      <w:r>
        <w:t>Purpose and construct: The BDI-II is a self-report measure used to assess the severity of depressive symptoms. It is commonly studied in clinical and research settings.</w:t>
      </w:r>
    </w:p>
    <w:p>
      <w:r>
        <w:t>Reliability evidence: A review of 118 studies reported internal consistency around .90 and test–retest reliability estimates ranging from .73 to .96. These results suggest that the instrument can show strong consistency, while the range also illustrates that stability depends on the sample and retesting conditions.</w:t>
      </w:r>
    </w:p>
    <w:p>
      <w:r>
        <w:t>Validity evidence: Validity is examined through relationships with other depression measures, clinical ratings, and theoretically relevant symptoms. Such associations support interpretation but do not make the questionnaire a standalone diagnostic tool.</w:t>
      </w:r>
    </w:p>
    <w:p>
      <w:r>
        <w:t>Research link: https://pubmed.ncbi.nlm.nih.gov/24402217/</w:t>
      </w:r>
    </w:p>
    <w:p>
      <w:pPr>
        <w:pStyle w:val="Heading2"/>
      </w:pPr>
      <w:r>
        <w:t>B. Beck Anxiety Inventory (BAI)</w:t>
      </w:r>
    </w:p>
    <w:p>
      <w:r>
        <w:t>Purpose and construct: The BAI is a self-report measure designed to assess anxiety symptoms, with an emphasis on symptoms commonly associated with anxiety.</w:t>
      </w:r>
    </w:p>
    <w:p>
      <w:r>
        <w:t>Reliability evidence: One study of psychiatric outpatients reported internal consistency of .94 and test–retest reliability of .67 over an average interval of 11 days. The difference between these coefficients illustrates that items can be internally consistent while scores may be less stable over time, particularly when symptoms change.</w:t>
      </w:r>
    </w:p>
    <w:p>
      <w:r>
        <w:t>Validity evidence: Researchers examine whether BAI scores relate to other anxiety measures and distinguish anxiety-related symptoms from other constructs. Because some symptoms overlap with physical or medical experiences, context matters when interpreting scores.</w:t>
      </w:r>
    </w:p>
    <w:p>
      <w:r>
        <w:t>Research link: https://www.sciencedirect.com/science/article/abs/pii/0887618592900264</w:t>
      </w:r>
    </w:p>
    <w:p>
      <w:pPr>
        <w:pStyle w:val="Heading2"/>
      </w:pPr>
      <w:r>
        <w:t>C. Rosenberg Self-Esteem Scale (RSES)</w:t>
      </w:r>
    </w:p>
    <w:p>
      <w:r>
        <w:t>Purpose and construct: The RSES measures global self-esteem, or a person’s overall evaluation of their own worth. It is commonly used in psychological and social research.</w:t>
      </w:r>
    </w:p>
    <w:p>
      <w:r>
        <w:t>Reliability evidence: Published studies generally report acceptable internal consistency, though estimates vary across language versions and populations. A study involving 851 university students examined the scale’s structure and supported its reliability, while also finding that model fit could improve with a revised structure.</w:t>
      </w:r>
    </w:p>
    <w:p>
      <w:r>
        <w:t>Validity evidence: Construct validity is examined by testing whether the scale behaves as expected in relation to self-esteem theory and related psychological variables. Researchers should also check whether the scale’s factor structure is appropriate for the population being assessed.</w:t>
      </w:r>
    </w:p>
    <w:p>
      <w:r>
        <w:t>Research link: https://pmc.ncbi.nlm.nih.gov/articles/PMC3285741/</w:t>
      </w:r>
    </w:p>
    <w:p>
      <w:pPr>
        <w:pStyle w:val="Heading2"/>
      </w:pPr>
      <w:r>
        <w:t>Comparison of the three additional tests</w:t>
      </w:r>
    </w:p>
    <w:p>
      <w:pPr>
        <w:pStyle w:val="ListBullet"/>
      </w:pPr>
      <w:r>
        <w:t>BDI-II: assesses depressive symptoms; useful when the assessment question concerns depression-related symptom severity.</w:t>
      </w:r>
    </w:p>
    <w:p>
      <w:pPr>
        <w:pStyle w:val="ListBullet"/>
      </w:pPr>
      <w:r>
        <w:t>BAI: assesses anxiety symptoms; useful when the question concerns anxiety-related symptom severity.</w:t>
      </w:r>
    </w:p>
    <w:p>
      <w:pPr>
        <w:pStyle w:val="ListBullet"/>
      </w:pPr>
      <w:r>
        <w:t>RSES: assesses global self-esteem; useful for research on self-evaluation and self-worth.</w:t>
      </w:r>
    </w:p>
    <w:p>
      <w:r>
        <w:t>The three instruments cannot be ranked solely by one reliability coefficient because they measure different constructs and the cited estimates come from different samples and study designs. A fair comparison should report the sample, language, coefficient type, retest interval (where relevant), and validity evidence for each study.</w:t>
      </w:r>
    </w:p>
    <w:p>
      <w:pPr>
        <w:pStyle w:val="Heading2"/>
      </w:pPr>
      <w:r>
        <w:t>Research websites and how to use them</w:t>
      </w:r>
    </w:p>
    <w:p>
      <w:r>
        <w:t>1. PubMed (https://pubmed.ncbi.nlm.nih.gov/) — search for published study records and abstracts, including reliability and validity reviews.</w:t>
      </w:r>
    </w:p>
    <w:p>
      <w:r>
        <w:t>2. PubMed Central (https://pmc.ncbi.nlm.nih.gov/) — search for free full-text research papers.</w:t>
      </w:r>
    </w:p>
    <w:p>
      <w:r>
        <w:t>3. Google Scholar (https://scholar.google.com/) — discover articles, citation trails, and alternative versions of papers.</w:t>
      </w:r>
    </w:p>
    <w:p>
      <w:r>
        <w:t>4. American Psychological Association (https://www.apa.org/) — consult professional guidance on psychological assessment and interpretation.</w:t>
      </w:r>
    </w:p>
    <w:p>
      <w:r>
        <w:t>5. Pearson Assessments (https://www.pearsonassessments.com/) — consult official information about assessment products and manuals; some resources require purchase or professional access.</w:t>
      </w:r>
    </w:p>
    <w:p>
      <w:r>
        <w:t>Suggested search phrases include “BDI-II reliability validity review,” “Beck Anxiety Inventory test-retest reliability validity,” and “Rosenberg Self-Esteem Scale psychometric properties.” In the final report, cite the original articles and state clearly which sample each coefficient came from. Test manuals and item content may be copyrighted or restricted, so focus on published psychometric findings rather than reproducing proprietary questions.</w:t>
      </w:r>
    </w:p>
    <w:p>
      <w:pPr>
        <w:pStyle w:val="Heading1"/>
      </w:pPr>
      <w:r>
        <w:t>References and Research Websites</w:t>
      </w:r>
    </w:p>
    <w:p>
      <w:pPr>
        <w:pStyle w:val="ListBullet"/>
      </w:pPr>
      <w:r>
        <w:t>BDI-II psychometric review: https://pubmed.ncbi.nlm.nih.gov/24402217/</w:t>
      </w:r>
    </w:p>
    <w:p>
      <w:pPr>
        <w:pStyle w:val="ListBullet"/>
      </w:pPr>
      <w:r>
        <w:t>Beck Anxiety Inventory study: https://www.sciencedirect.com/science/article/abs/pii/0887618592900264</w:t>
      </w:r>
    </w:p>
    <w:p>
      <w:pPr>
        <w:pStyle w:val="ListBullet"/>
      </w:pPr>
      <w:r>
        <w:t>Rosenberg Self-Esteem Scale study: https://pmc.ncbi.nlm.nih.gov/articles/PMC3285741/</w:t>
      </w:r>
    </w:p>
    <w:p>
      <w:pPr>
        <w:pStyle w:val="ListBullet"/>
      </w:pPr>
      <w:r>
        <w:t>PubMed: https://pubmed.ncbi.nlm.nih.gov/</w:t>
      </w:r>
    </w:p>
    <w:p>
      <w:pPr>
        <w:pStyle w:val="ListBullet"/>
      </w:pPr>
      <w:r>
        <w:t>PubMed Central: https://pmc.ncbi.nlm.nih.gov/</w:t>
      </w:r>
    </w:p>
    <w:p>
      <w:pPr>
        <w:pStyle w:val="ListBullet"/>
      </w:pPr>
      <w:r>
        <w:t>Google Scholar: https://scholar.google.com/</w:t>
      </w:r>
    </w:p>
    <w:p>
      <w:pPr>
        <w:pStyle w:val="ListBullet"/>
      </w:pPr>
      <w:r>
        <w:t>American Psychological Association assessment resources: https://www.apa.org/depression-guideline/assessment</w:t>
      </w:r>
    </w:p>
    <w:p>
      <w:pPr>
        <w:pStyle w:val="ListBullet"/>
      </w:pPr>
      <w:r>
        <w:t>Pearson Assessments: https://www.pearsonassessments.com/</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Psychometric Properties Analysis and Comparative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PSYCHOMETRIC PROPERTIES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64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