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1B365D"/>
          <w:sz w:val="44"/>
        </w:rPr>
        <w:t>RETAIL MARKET ANALYSIS AND FORECASTING</w:t>
      </w:r>
    </w:p>
    <w:p>
      <w:pPr>
        <w:spacing w:before="0" w:after="360"/>
        <w:jc w:val="center"/>
      </w:pPr>
      <w:r>
        <w:rPr>
          <w:rFonts w:ascii="Arial" w:hAnsi="Arial"/>
          <w:i/>
          <w:color w:val="5C768D"/>
          <w:sz w:val="24"/>
        </w:rPr>
        <w:t>Python-Based Business Analytics &amp; Time Series Forecasting Report</w:t>
        <w:br/>
        <w:t>U.S. Retail and Food Services Sales | January 2020 – September 2026</w:t>
      </w:r>
    </w:p>
    <w:p>
      <w:pPr>
        <w:spacing w:after="240"/>
        <w:pBdr>
          <w:bottom w:val="single" w:sz="12" w:space="1" w:color="1B365D"/>
        </w:pBdr>
      </w:pPr>
    </w:p>
    <w:p>
      <w:pPr>
        <w:keepNext/>
        <w:spacing w:before="360" w:after="120"/>
      </w:pPr>
      <w:r>
        <w:rPr>
          <w:rFonts w:ascii="Arial" w:hAnsi="Arial"/>
          <w:b/>
          <w:color w:val="1B365D"/>
          <w:sz w:val="32"/>
        </w:rPr>
        <w:t>1. Executive Summary &amp; Task Objective</w:t>
      </w:r>
    </w:p>
    <w:p>
      <w:pPr>
        <w:spacing w:before="0" w:after="120" w:line="276" w:lineRule="auto"/>
      </w:pPr>
      <w:r>
        <w:rPr>
          <w:rFonts w:ascii="Calibri" w:hAnsi="Calibri"/>
          <w:i w:val="0"/>
          <w:color w:val="333333"/>
          <w:sz w:val="22"/>
        </w:rPr>
        <w:t>This comprehensive retail market analysis and forecasting report applies quantitative business analytics methods using Python to examine publicly available U.S. Retail and Food Services Sales data (spanning January 2020 through September 2026, comprising 81 monthly observations). The core objective is to evaluate macro-level retail trends, model historical seasonal variations and pandemic-era disruptions, and generate high-accuracy time-series forecasts to guide strategic decision-making.</w:t>
      </w:r>
    </w:p>
    <w:p>
      <w:pPr>
        <w:spacing w:before="0" w:after="120" w:line="276" w:lineRule="auto"/>
      </w:pPr>
      <w:r>
        <w:rPr>
          <w:rFonts w:ascii="Calibri" w:hAnsi="Calibri"/>
          <w:i w:val="0"/>
          <w:color w:val="333333"/>
          <w:sz w:val="22"/>
        </w:rPr>
        <w:t>Key analytical highlights and findings include:</w:t>
      </w:r>
    </w:p>
    <w:p>
      <w:pPr>
        <w:pStyle w:val="ListBullet"/>
        <w:spacing w:before="0" w:after="60" w:line="276" w:lineRule="auto"/>
      </w:pPr>
      <w:r>
        <w:rPr>
          <w:rFonts w:ascii="Calibri" w:hAnsi="Calibri"/>
          <w:b/>
          <w:color w:val="333333"/>
          <w:sz w:val="22"/>
        </w:rPr>
        <w:t xml:space="preserve">Market Scale &amp; Growth: </w:t>
      </w:r>
      <w:r>
        <w:rPr>
          <w:rFonts w:ascii="Calibri" w:hAnsi="Calibri"/>
          <w:color w:val="333333"/>
          <w:sz w:val="22"/>
        </w:rPr>
        <w:t>The total nominal market volume expanded from $515,417 million (Jan 2020) to $745,021 million (Sep 2026), representing a 44.5% cumulative nominal increase.</w:t>
      </w:r>
    </w:p>
    <w:p>
      <w:pPr>
        <w:pStyle w:val="ListBullet"/>
        <w:spacing w:before="0" w:after="60" w:line="276" w:lineRule="auto"/>
      </w:pPr>
      <w:r>
        <w:rPr>
          <w:rFonts w:ascii="Calibri" w:hAnsi="Calibri"/>
          <w:b/>
          <w:color w:val="333333"/>
          <w:sz w:val="22"/>
        </w:rPr>
        <w:t xml:space="preserve">Trend Stability: </w:t>
      </w:r>
      <w:r>
        <w:rPr>
          <w:rFonts w:ascii="Calibri" w:hAnsi="Calibri"/>
          <w:color w:val="333333"/>
          <w:sz w:val="22"/>
        </w:rPr>
        <w:t>Historical volatility peaked during Q2 2020 before recovering rapidly. YoY growth rates stabilized in the 2.0% – 6.5% corridor during 2025–2026.</w:t>
      </w:r>
    </w:p>
    <w:p>
      <w:pPr>
        <w:pStyle w:val="ListBullet"/>
        <w:spacing w:before="0" w:after="60" w:line="276" w:lineRule="auto"/>
      </w:pPr>
      <w:r>
        <w:rPr>
          <w:rFonts w:ascii="Calibri" w:hAnsi="Calibri"/>
          <w:b/>
          <w:color w:val="333333"/>
          <w:sz w:val="22"/>
        </w:rPr>
        <w:t xml:space="preserve">Forecasting Model Validation: </w:t>
      </w:r>
      <w:r>
        <w:rPr>
          <w:rFonts w:ascii="Calibri" w:hAnsi="Calibri"/>
          <w:color w:val="333333"/>
          <w:sz w:val="22"/>
        </w:rPr>
        <w:t>An additive Holt-Winters Exponential Smoothing model was evaluated against a Seasonal-Naive benchmark across a 12-month chronological holdout, achieving a superior MAE of $7,912 million vs $28,930 million.</w:t>
      </w:r>
    </w:p>
    <w:p>
      <w:pPr>
        <w:pStyle w:val="ListBullet"/>
        <w:spacing w:before="0" w:after="60" w:line="276" w:lineRule="auto"/>
      </w:pPr>
      <w:r>
        <w:rPr>
          <w:rFonts w:ascii="Calibri" w:hAnsi="Calibri"/>
          <w:b/>
          <w:color w:val="333333"/>
          <w:sz w:val="22"/>
        </w:rPr>
        <w:t xml:space="preserve">Out-of-Sample Horizon: </w:t>
      </w:r>
      <w:r>
        <w:rPr>
          <w:rFonts w:ascii="Calibri" w:hAnsi="Calibri"/>
          <w:color w:val="333333"/>
          <w:sz w:val="22"/>
        </w:rPr>
        <w:t>The six-month out-of-sample forecast indicates sustained upward momentum, reaching $770.6 billion by March 2027.</w:t>
      </w:r>
    </w:p>
    <w:p>
      <w:pPr>
        <w:keepNext/>
        <w:spacing w:before="360" w:after="120"/>
      </w:pPr>
      <w:r>
        <w:rPr>
          <w:rFonts w:ascii="Arial" w:hAnsi="Arial"/>
          <w:b/>
          <w:color w:val="1B365D"/>
          <w:sz w:val="32"/>
        </w:rPr>
        <w:t>2. Data Source and Variables</w:t>
      </w:r>
    </w:p>
    <w:p>
      <w:pPr>
        <w:spacing w:before="0" w:after="120" w:line="276" w:lineRule="auto"/>
      </w:pPr>
      <w:r>
        <w:rPr>
          <w:rFonts w:ascii="Calibri" w:hAnsi="Calibri"/>
          <w:i w:val="0"/>
          <w:color w:val="333333"/>
          <w:sz w:val="22"/>
        </w:rPr>
        <w:t>The dataset is sourced from the U.S. Census Bureau Monthly Retail Trade Survey (MRTS) and Monthly Advance Retail Trade Survey (MARTS). Sales values are expressed in millions of current U.S. dollars and are seasonally and trading-day adjusted, though unadjusted for price changes (inflation).</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Pr>
          <w:p>
            <w:pPr>
              <w:jc w:val="left"/>
            </w:pPr>
            <w:r>
              <w:rPr>
                <w:rFonts w:ascii="Arial" w:hAnsi="Arial"/>
                <w:b/>
                <w:color w:val="FFFFFF"/>
                <w:sz w:val="20"/>
              </w:rPr>
              <w:t>Field Name</w:t>
            </w:r>
          </w:p>
        </w:tc>
        <w:tc>
          <w:tcPr>
            <w:tcW w:type="dxa" w:w="2592"/>
            <w:shd w:fill="1B365D"/>
          </w:tcPr>
          <w:p>
            <w:pPr>
              <w:jc w:val="left"/>
            </w:pPr>
            <w:r>
              <w:rPr>
                <w:rFonts w:ascii="Arial" w:hAnsi="Arial"/>
                <w:b/>
                <w:color w:val="FFFFFF"/>
                <w:sz w:val="20"/>
              </w:rPr>
              <w:t>Data Type / Format</w:t>
            </w:r>
          </w:p>
        </w:tc>
        <w:tc>
          <w:tcPr>
            <w:tcW w:type="dxa" w:w="4176"/>
            <w:shd w:fill="1B365D"/>
          </w:tcPr>
          <w:p>
            <w:pPr>
              <w:jc w:val="left"/>
            </w:pPr>
            <w:r>
              <w:rPr>
                <w:rFonts w:ascii="Arial" w:hAnsi="Arial"/>
                <w:b/>
                <w:color w:val="FFFFFF"/>
                <w:sz w:val="20"/>
              </w:rPr>
              <w:t>Business Analytics Role</w:t>
            </w:r>
          </w:p>
        </w:tc>
      </w:tr>
      <w:tr>
        <w:tc>
          <w:tcPr>
            <w:tcW w:type="dxa" w:w="2592"/>
            <w:shd w:fill="FFFFFF"/>
          </w:tcPr>
          <w:p>
            <w:r>
              <w:rPr>
                <w:rFonts w:ascii="Calibri" w:hAnsi="Calibri"/>
                <w:color w:val="333333"/>
                <w:sz w:val="19"/>
              </w:rPr>
              <w:t>date</w:t>
            </w:r>
          </w:p>
        </w:tc>
        <w:tc>
          <w:tcPr>
            <w:tcW w:type="dxa" w:w="2592"/>
            <w:shd w:fill="FFFFFF"/>
          </w:tcPr>
          <w:p>
            <w:r>
              <w:rPr>
                <w:rFonts w:ascii="Calibri" w:hAnsi="Calibri"/>
                <w:color w:val="333333"/>
                <w:sz w:val="19"/>
              </w:rPr>
              <w:t>Datetime (YYYY-MM-01)</w:t>
            </w:r>
          </w:p>
        </w:tc>
        <w:tc>
          <w:tcPr>
            <w:tcW w:type="dxa" w:w="4176"/>
            <w:shd w:fill="FFFFFF"/>
          </w:tcPr>
          <w:p>
            <w:r>
              <w:rPr>
                <w:rFonts w:ascii="Calibri" w:hAnsi="Calibri"/>
                <w:color w:val="333333"/>
                <w:sz w:val="19"/>
              </w:rPr>
              <w:t>Time-series indexing, chronological sorting, and frequency enforcement.</w:t>
            </w:r>
          </w:p>
        </w:tc>
      </w:tr>
      <w:tr>
        <w:tc>
          <w:tcPr>
            <w:tcW w:type="dxa" w:w="2592"/>
            <w:shd w:fill="F4F6F9"/>
          </w:tcPr>
          <w:p>
            <w:r>
              <w:rPr>
                <w:rFonts w:ascii="Calibri" w:hAnsi="Calibri"/>
                <w:color w:val="333333"/>
                <w:sz w:val="19"/>
              </w:rPr>
              <w:t>year / month</w:t>
            </w:r>
          </w:p>
        </w:tc>
        <w:tc>
          <w:tcPr>
            <w:tcW w:type="dxa" w:w="2592"/>
            <w:shd w:fill="F4F6F9"/>
          </w:tcPr>
          <w:p>
            <w:r>
              <w:rPr>
                <w:rFonts w:ascii="Calibri" w:hAnsi="Calibri"/>
                <w:color w:val="333333"/>
                <w:sz w:val="19"/>
              </w:rPr>
              <w:t>Integer / Categorical</w:t>
            </w:r>
          </w:p>
        </w:tc>
        <w:tc>
          <w:tcPr>
            <w:tcW w:type="dxa" w:w="4176"/>
            <w:shd w:fill="F4F6F9"/>
          </w:tcPr>
          <w:p>
            <w:r>
              <w:rPr>
                <w:rFonts w:ascii="Calibri" w:hAnsi="Calibri"/>
                <w:color w:val="333333"/>
                <w:sz w:val="19"/>
              </w:rPr>
              <w:t>Seasonal grouping, year-over-year cohort comparison, and holdout splitting.</w:t>
            </w:r>
          </w:p>
        </w:tc>
      </w:tr>
      <w:tr>
        <w:tc>
          <w:tcPr>
            <w:tcW w:type="dxa" w:w="2592"/>
            <w:shd w:fill="FFFFFF"/>
          </w:tcPr>
          <w:p>
            <w:r>
              <w:rPr>
                <w:rFonts w:ascii="Calibri" w:hAnsi="Calibri"/>
                <w:color w:val="333333"/>
                <w:sz w:val="19"/>
              </w:rPr>
              <w:t>retail_food_services_sales_usd_millions</w:t>
            </w:r>
          </w:p>
        </w:tc>
        <w:tc>
          <w:tcPr>
            <w:tcW w:type="dxa" w:w="2592"/>
            <w:shd w:fill="FFFFFF"/>
          </w:tcPr>
          <w:p>
            <w:r>
              <w:rPr>
                <w:rFonts w:ascii="Calibri" w:hAnsi="Calibri"/>
                <w:color w:val="333333"/>
                <w:sz w:val="19"/>
              </w:rPr>
              <w:t>Float64 (USD Millions)</w:t>
            </w:r>
          </w:p>
        </w:tc>
        <w:tc>
          <w:tcPr>
            <w:tcW w:type="dxa" w:w="4176"/>
            <w:shd w:fill="FFFFFF"/>
          </w:tcPr>
          <w:p>
            <w:r>
              <w:rPr>
                <w:rFonts w:ascii="Calibri" w:hAnsi="Calibri"/>
                <w:color w:val="333333"/>
                <w:sz w:val="19"/>
              </w:rPr>
              <w:t>Primary analytical metric for trend analysis, decomposition, and forecasting.</w:t>
            </w:r>
          </w:p>
        </w:tc>
      </w:tr>
    </w:tbl>
    <w:p>
      <w:pPr>
        <w:spacing w:after="120"/>
      </w:pPr>
    </w:p>
    <w:p>
      <w:pPr>
        <w:keepNext/>
        <w:spacing w:before="360" w:after="120"/>
      </w:pPr>
      <w:r>
        <w:rPr>
          <w:rFonts w:ascii="Arial" w:hAnsi="Arial"/>
          <w:b/>
          <w:color w:val="1B365D"/>
          <w:sz w:val="32"/>
        </w:rPr>
        <w:t>3. Business Analytics Methodology</w:t>
      </w:r>
    </w:p>
    <w:p>
      <w:pPr>
        <w:spacing w:before="0" w:after="120" w:line="276" w:lineRule="auto"/>
      </w:pPr>
      <w:r>
        <w:rPr>
          <w:rFonts w:ascii="Calibri" w:hAnsi="Calibri"/>
          <w:i w:val="0"/>
          <w:color w:val="333333"/>
          <w:sz w:val="22"/>
        </w:rPr>
        <w:t>The analytical workflow follows a rigorous 4-stage data pipeline designed for time-series integrity:</w:t>
      </w:r>
    </w:p>
    <w:p>
      <w:pPr>
        <w:pStyle w:val="ListBullet"/>
        <w:spacing w:before="0" w:after="60" w:line="276" w:lineRule="auto"/>
      </w:pPr>
      <w:r>
        <w:rPr>
          <w:rFonts w:ascii="Calibri" w:hAnsi="Calibri"/>
          <w:b/>
          <w:color w:val="333333"/>
          <w:sz w:val="22"/>
        </w:rPr>
        <w:t xml:space="preserve">Stage 1 — </w:t>
      </w:r>
      <w:r>
        <w:rPr>
          <w:rFonts w:ascii="Calibri" w:hAnsi="Calibri"/>
          <w:color w:val="333333"/>
          <w:sz w:val="22"/>
        </w:rPr>
        <w:t>Data Preparation &amp; Preprocessing: Parsing dates into a datetime index, enforcing month-start frequency ('MS'), checking completeness (0 missing values across 81 months), and ensuring strict chronological order.</w:t>
      </w:r>
    </w:p>
    <w:p>
      <w:pPr>
        <w:pStyle w:val="ListBullet"/>
        <w:spacing w:before="0" w:after="60" w:line="276" w:lineRule="auto"/>
      </w:pPr>
      <w:r>
        <w:rPr>
          <w:rFonts w:ascii="Calibri" w:hAnsi="Calibri"/>
          <w:b/>
          <w:color w:val="333333"/>
          <w:sz w:val="22"/>
        </w:rPr>
        <w:t xml:space="preserve">Stage 2 — </w:t>
      </w:r>
      <w:r>
        <w:rPr>
          <w:rFonts w:ascii="Calibri" w:hAnsi="Calibri"/>
          <w:color w:val="333333"/>
          <w:sz w:val="22"/>
        </w:rPr>
        <w:t>Exploratory Data Analysis (EDA): Quantifying summary statistics (Mean: $643,719M, Median: $664,476M), calculating Month-over-Month (MoM) and Year-over-Year (YoY) percentage changes, and mapping multi-year structural trends.</w:t>
      </w:r>
    </w:p>
    <w:p>
      <w:pPr>
        <w:pStyle w:val="ListBullet"/>
        <w:spacing w:before="0" w:after="60" w:line="276" w:lineRule="auto"/>
      </w:pPr>
      <w:r>
        <w:rPr>
          <w:rFonts w:ascii="Calibri" w:hAnsi="Calibri"/>
          <w:b/>
          <w:color w:val="333333"/>
          <w:sz w:val="22"/>
        </w:rPr>
        <w:t xml:space="preserve">Stage 3 — </w:t>
      </w:r>
      <w:r>
        <w:rPr>
          <w:rFonts w:ascii="Calibri" w:hAnsi="Calibri"/>
          <w:color w:val="333333"/>
          <w:sz w:val="22"/>
        </w:rPr>
        <w:t>Time Series Decomposition &amp; Modeling: Applying additive Holt-Winters Exponential Smoothing (capturing level, linear trend, and 12-month seasonality). Evaluated strictly via a chronological 12-month holdout split to eliminate data leakage.</w:t>
      </w:r>
    </w:p>
    <w:p>
      <w:pPr>
        <w:pStyle w:val="ListBullet"/>
        <w:spacing w:before="0" w:after="60" w:line="276" w:lineRule="auto"/>
      </w:pPr>
      <w:r>
        <w:rPr>
          <w:rFonts w:ascii="Calibri" w:hAnsi="Calibri"/>
          <w:b/>
          <w:color w:val="333333"/>
          <w:sz w:val="22"/>
        </w:rPr>
        <w:t xml:space="preserve">Stage 4 — </w:t>
      </w:r>
      <w:r>
        <w:rPr>
          <w:rFonts w:ascii="Calibri" w:hAnsi="Calibri"/>
          <w:color w:val="333333"/>
          <w:sz w:val="22"/>
        </w:rPr>
        <w:t>Validation &amp; Future Projection: Comparing holdout performance against a Seasonal-Naive benchmark using MAE and RMSE metrics, followed by refitting the full dataset to forecast October 2026 – March 2027.</w:t>
      </w:r>
    </w:p>
    <w:p>
      <w:pPr>
        <w:keepNext/>
        <w:spacing w:before="360" w:after="120"/>
      </w:pPr>
      <w:r>
        <w:rPr>
          <w:rFonts w:ascii="Arial" w:hAnsi="Arial"/>
          <w:b/>
          <w:color w:val="1B365D"/>
          <w:sz w:val="32"/>
        </w:rPr>
        <w:t>4. Empirical Results and Trend Analysis</w:t>
      </w:r>
    </w:p>
    <w:p>
      <w:pPr>
        <w:spacing w:before="0" w:after="120" w:line="276" w:lineRule="auto"/>
      </w:pPr>
      <w:r>
        <w:rPr>
          <w:rFonts w:ascii="Calibri" w:hAnsi="Calibri"/>
          <w:i w:val="0"/>
          <w:color w:val="333333"/>
          <w:sz w:val="22"/>
        </w:rPr>
        <w:t>Key results from the quantitative analysis are summarized below:</w:t>
      </w:r>
    </w:p>
    <w:p>
      <w:pPr>
        <w:pStyle w:val="ListBullet"/>
        <w:spacing w:before="0" w:after="60" w:line="276" w:lineRule="auto"/>
      </w:pPr>
      <w:r>
        <w:rPr>
          <w:rFonts w:ascii="Calibri" w:hAnsi="Calibri"/>
          <w:b/>
          <w:color w:val="333333"/>
          <w:sz w:val="22"/>
        </w:rPr>
        <w:t xml:space="preserve">Dataset Scope: </w:t>
      </w:r>
      <w:r>
        <w:rPr>
          <w:rFonts w:ascii="Calibri" w:hAnsi="Calibri"/>
          <w:color w:val="333333"/>
          <w:sz w:val="22"/>
        </w:rPr>
        <w:t>Total Observations: 81 monthly data points from Jan 2020 through Sep 2026.</w:t>
      </w:r>
    </w:p>
    <w:p>
      <w:pPr>
        <w:pStyle w:val="ListBullet"/>
        <w:spacing w:before="0" w:after="60" w:line="276" w:lineRule="auto"/>
      </w:pPr>
      <w:r>
        <w:rPr>
          <w:rFonts w:ascii="Calibri" w:hAnsi="Calibri"/>
          <w:b/>
          <w:color w:val="333333"/>
          <w:sz w:val="22"/>
        </w:rPr>
        <w:t xml:space="preserve">Current Market State: </w:t>
      </w:r>
      <w:r>
        <w:rPr>
          <w:rFonts w:ascii="Calibri" w:hAnsi="Calibri"/>
          <w:color w:val="333333"/>
          <w:sz w:val="22"/>
        </w:rPr>
        <w:t>Latest Month Performance (Sep 2026): Recorded sales of $745,021 million (+0.8% MoM, +6.3% YoY).</w:t>
      </w:r>
    </w:p>
    <w:p>
      <w:pPr>
        <w:pStyle w:val="ListBullet"/>
        <w:spacing w:before="0" w:after="60" w:line="276" w:lineRule="auto"/>
      </w:pPr>
      <w:r>
        <w:rPr>
          <w:rFonts w:ascii="Calibri" w:hAnsi="Calibri"/>
          <w:b/>
          <w:color w:val="333333"/>
          <w:sz w:val="22"/>
        </w:rPr>
        <w:t xml:space="preserve">Model Accuracy Comparison: </w:t>
      </w:r>
      <w:r>
        <w:rPr>
          <w:rFonts w:ascii="Calibri" w:hAnsi="Calibri"/>
          <w:color w:val="333333"/>
          <w:sz w:val="22"/>
        </w:rPr>
        <w:t>Holdout Model Performance (Last 12 Months):</w:t>
      </w:r>
    </w:p>
    <w:tbl>
      <w:tblPr>
        <w:tblW w:type="auto" w:w="0"/>
        <w:jc w:val="center"/>
        <w:tblLook w:firstColumn="1" w:firstRow="1" w:lastColumn="0" w:lastRow="0" w:noHBand="0" w:noVBand="1" w:val="04A0"/>
      </w:tblPr>
      <w:tblGrid>
        <w:gridCol w:w="3120"/>
        <w:gridCol w:w="3120"/>
        <w:gridCol w:w="3120"/>
      </w:tblGrid>
      <w:tr>
        <w:tc>
          <w:tcPr>
            <w:tcW w:type="dxa" w:w="4320"/>
            <w:shd w:fill="1B365D"/>
          </w:tcPr>
          <w:p>
            <w:r>
              <w:rPr>
                <w:rFonts w:ascii="Arial" w:hAnsi="Arial"/>
                <w:b/>
                <w:color w:val="FFFFFF"/>
                <w:sz w:val="20"/>
              </w:rPr>
              <w:t>Model Specification</w:t>
            </w:r>
          </w:p>
        </w:tc>
        <w:tc>
          <w:tcPr>
            <w:tcW w:type="dxa" w:w="2592"/>
            <w:shd w:fill="1B365D"/>
          </w:tcPr>
          <w:p>
            <w:r>
              <w:rPr>
                <w:rFonts w:ascii="Arial" w:hAnsi="Arial"/>
                <w:b/>
                <w:color w:val="FFFFFF"/>
                <w:sz w:val="20"/>
              </w:rPr>
              <w:t>Mean Absolute Error (MAE)</w:t>
            </w:r>
          </w:p>
        </w:tc>
        <w:tc>
          <w:tcPr>
            <w:tcW w:type="dxa" w:w="2448"/>
            <w:shd w:fill="1B365D"/>
          </w:tcPr>
          <w:p>
            <w:r>
              <w:rPr>
                <w:rFonts w:ascii="Arial" w:hAnsi="Arial"/>
                <w:b/>
                <w:color w:val="FFFFFF"/>
                <w:sz w:val="20"/>
              </w:rPr>
              <w:t>Root Mean Squared Error (RMSE)</w:t>
            </w:r>
          </w:p>
        </w:tc>
      </w:tr>
      <w:tr>
        <w:tc>
          <w:tcPr>
            <w:tcW w:type="dxa" w:w="4320"/>
            <w:shd w:fill="FFFFFF"/>
          </w:tcPr>
          <w:p>
            <w:r>
              <w:rPr>
                <w:rFonts w:ascii="Calibri" w:hAnsi="Calibri"/>
                <w:color w:val="333333"/>
                <w:sz w:val="19"/>
              </w:rPr>
              <w:t>Holt-Winters Exponential Smoothing</w:t>
            </w:r>
          </w:p>
        </w:tc>
        <w:tc>
          <w:tcPr>
            <w:tcW w:type="dxa" w:w="2592"/>
            <w:shd w:fill="FFFFFF"/>
          </w:tcPr>
          <w:p>
            <w:r>
              <w:rPr>
                <w:rFonts w:ascii="Calibri" w:hAnsi="Calibri"/>
                <w:color w:val="333333"/>
                <w:sz w:val="19"/>
              </w:rPr>
              <w:t>$7,912.14 Million</w:t>
            </w:r>
          </w:p>
        </w:tc>
        <w:tc>
          <w:tcPr>
            <w:tcW w:type="dxa" w:w="2448"/>
            <w:shd w:fill="FFFFFF"/>
          </w:tcPr>
          <w:p>
            <w:r>
              <w:rPr>
                <w:rFonts w:ascii="Calibri" w:hAnsi="Calibri"/>
                <w:color w:val="333333"/>
                <w:sz w:val="19"/>
              </w:rPr>
              <w:t>$9,361.05 Million</w:t>
            </w:r>
          </w:p>
        </w:tc>
      </w:tr>
      <w:tr>
        <w:tc>
          <w:tcPr>
            <w:tcW w:type="dxa" w:w="4320"/>
            <w:shd w:fill="F4F6F9"/>
          </w:tcPr>
          <w:p>
            <w:r>
              <w:rPr>
                <w:rFonts w:ascii="Calibri" w:hAnsi="Calibri"/>
                <w:color w:val="333333"/>
                <w:sz w:val="19"/>
              </w:rPr>
              <w:t>Seasonal-Naive Benchmark</w:t>
            </w:r>
          </w:p>
        </w:tc>
        <w:tc>
          <w:tcPr>
            <w:tcW w:type="dxa" w:w="2592"/>
            <w:shd w:fill="F4F6F9"/>
          </w:tcPr>
          <w:p>
            <w:r>
              <w:rPr>
                <w:rFonts w:ascii="Calibri" w:hAnsi="Calibri"/>
                <w:color w:val="333333"/>
                <w:sz w:val="19"/>
              </w:rPr>
              <w:t>$28,930.22 Million</w:t>
            </w:r>
          </w:p>
        </w:tc>
        <w:tc>
          <w:tcPr>
            <w:tcW w:type="dxa" w:w="2448"/>
            <w:shd w:fill="F4F6F9"/>
          </w:tcPr>
          <w:p>
            <w:r>
              <w:rPr>
                <w:rFonts w:ascii="Calibri" w:hAnsi="Calibri"/>
                <w:color w:val="333333"/>
                <w:sz w:val="19"/>
              </w:rPr>
              <w:t>$30,883.18 Million</w:t>
            </w:r>
          </w:p>
        </w:tc>
      </w:tr>
    </w:tbl>
    <w:p>
      <w:pPr>
        <w:spacing w:after="160"/>
      </w:pPr>
    </w:p>
    <w:p>
      <w:pPr>
        <w:keepNext/>
        <w:spacing w:before="360" w:after="120"/>
      </w:pPr>
      <w:r>
        <w:rPr>
          <w:rFonts w:ascii="Arial" w:hAnsi="Arial"/>
          <w:b/>
          <w:color w:val="1B365D"/>
          <w:sz w:val="32"/>
        </w:rPr>
        <w:t>5. Six-Month Market Forecast (Oct 2026 – Mar 2027)</w:t>
      </w:r>
    </w:p>
    <w:p>
      <w:pPr>
        <w:spacing w:before="0" w:after="120" w:line="276" w:lineRule="auto"/>
      </w:pPr>
      <w:r>
        <w:rPr>
          <w:rFonts w:ascii="Calibri" w:hAnsi="Calibri"/>
          <w:i w:val="0"/>
          <w:color w:val="333333"/>
          <w:sz w:val="22"/>
        </w:rPr>
        <w:t>Refitting the additive Holt-Winters model on the entire dataset yields the following projected retail and food service sales figures:</w:t>
      </w:r>
    </w:p>
    <w:tbl>
      <w:tblPr>
        <w:tblW w:type="auto" w:w="0"/>
        <w:jc w:val="center"/>
        <w:tblLook w:firstColumn="1" w:firstRow="1" w:lastColumn="0" w:lastRow="0" w:noHBand="0" w:noVBand="1" w:val="04A0"/>
      </w:tblPr>
      <w:tblGrid>
        <w:gridCol w:w="3120"/>
        <w:gridCol w:w="3120"/>
        <w:gridCol w:w="3120"/>
      </w:tblGrid>
      <w:tr>
        <w:tc>
          <w:tcPr>
            <w:tcW w:type="dxa" w:w="3168"/>
            <w:shd w:fill="1B365D"/>
          </w:tcPr>
          <w:p>
            <w:r>
              <w:rPr>
                <w:rFonts w:ascii="Arial" w:hAnsi="Arial"/>
                <w:b/>
                <w:color w:val="FFFFFF"/>
                <w:sz w:val="20"/>
              </w:rPr>
              <w:t>Forecast Month</w:t>
            </w:r>
          </w:p>
        </w:tc>
        <w:tc>
          <w:tcPr>
            <w:tcW w:type="dxa" w:w="3312"/>
            <w:shd w:fill="1B365D"/>
          </w:tcPr>
          <w:p>
            <w:r>
              <w:rPr>
                <w:rFonts w:ascii="Arial" w:hAnsi="Arial"/>
                <w:b/>
                <w:color w:val="FFFFFF"/>
                <w:sz w:val="20"/>
              </w:rPr>
              <w:t>Projected Sales (USD Millions)</w:t>
            </w:r>
          </w:p>
        </w:tc>
        <w:tc>
          <w:tcPr>
            <w:tcW w:type="dxa" w:w="2880"/>
            <w:shd w:fill="1B365D"/>
          </w:tcPr>
          <w:p>
            <w:r>
              <w:rPr>
                <w:rFonts w:ascii="Arial" w:hAnsi="Arial"/>
                <w:b/>
                <w:color w:val="FFFFFF"/>
                <w:sz w:val="20"/>
              </w:rPr>
              <w:t>Projected Sales (USD Billions)</w:t>
            </w:r>
          </w:p>
        </w:tc>
      </w:tr>
      <w:tr>
        <w:tc>
          <w:tcPr>
            <w:tcW w:type="dxa" w:w="3168"/>
            <w:shd w:fill="FFFFFF"/>
          </w:tcPr>
          <w:p>
            <w:r>
              <w:rPr>
                <w:rFonts w:ascii="Calibri" w:hAnsi="Calibri"/>
                <w:color w:val="333333"/>
                <w:sz w:val="19"/>
              </w:rPr>
              <w:t>October 2026</w:t>
            </w:r>
          </w:p>
        </w:tc>
        <w:tc>
          <w:tcPr>
            <w:tcW w:type="dxa" w:w="3312"/>
            <w:shd w:fill="FFFFFF"/>
          </w:tcPr>
          <w:p>
            <w:r>
              <w:rPr>
                <w:rFonts w:ascii="Calibri" w:hAnsi="Calibri"/>
                <w:color w:val="333333"/>
                <w:sz w:val="19"/>
              </w:rPr>
              <w:t>$746,281</w:t>
            </w:r>
          </w:p>
        </w:tc>
        <w:tc>
          <w:tcPr>
            <w:tcW w:type="dxa" w:w="2880"/>
            <w:shd w:fill="FFFFFF"/>
          </w:tcPr>
          <w:p>
            <w:r>
              <w:rPr>
                <w:rFonts w:ascii="Calibri" w:hAnsi="Calibri"/>
                <w:color w:val="333333"/>
                <w:sz w:val="19"/>
              </w:rPr>
              <w:t>$746.3 B</w:t>
            </w:r>
          </w:p>
        </w:tc>
      </w:tr>
      <w:tr>
        <w:tc>
          <w:tcPr>
            <w:tcW w:type="dxa" w:w="3168"/>
            <w:shd w:fill="F4F6F9"/>
          </w:tcPr>
          <w:p>
            <w:r>
              <w:rPr>
                <w:rFonts w:ascii="Calibri" w:hAnsi="Calibri"/>
                <w:color w:val="333333"/>
                <w:sz w:val="19"/>
              </w:rPr>
              <w:t>November 2026</w:t>
            </w:r>
          </w:p>
        </w:tc>
        <w:tc>
          <w:tcPr>
            <w:tcW w:type="dxa" w:w="3312"/>
            <w:shd w:fill="F4F6F9"/>
          </w:tcPr>
          <w:p>
            <w:r>
              <w:rPr>
                <w:rFonts w:ascii="Calibri" w:hAnsi="Calibri"/>
                <w:color w:val="333333"/>
                <w:sz w:val="19"/>
              </w:rPr>
              <w:t>$744,592</w:t>
            </w:r>
          </w:p>
        </w:tc>
        <w:tc>
          <w:tcPr>
            <w:tcW w:type="dxa" w:w="2880"/>
            <w:shd w:fill="F4F6F9"/>
          </w:tcPr>
          <w:p>
            <w:r>
              <w:rPr>
                <w:rFonts w:ascii="Calibri" w:hAnsi="Calibri"/>
                <w:color w:val="333333"/>
                <w:sz w:val="19"/>
              </w:rPr>
              <w:t>$744.6 B</w:t>
            </w:r>
          </w:p>
        </w:tc>
      </w:tr>
      <w:tr>
        <w:tc>
          <w:tcPr>
            <w:tcW w:type="dxa" w:w="3168"/>
            <w:shd w:fill="FFFFFF"/>
          </w:tcPr>
          <w:p>
            <w:r>
              <w:rPr>
                <w:rFonts w:ascii="Calibri" w:hAnsi="Calibri"/>
                <w:color w:val="333333"/>
                <w:sz w:val="19"/>
              </w:rPr>
              <w:t>December 2026</w:t>
            </w:r>
          </w:p>
        </w:tc>
        <w:tc>
          <w:tcPr>
            <w:tcW w:type="dxa" w:w="3312"/>
            <w:shd w:fill="FFFFFF"/>
          </w:tcPr>
          <w:p>
            <w:r>
              <w:rPr>
                <w:rFonts w:ascii="Calibri" w:hAnsi="Calibri"/>
                <w:color w:val="333333"/>
                <w:sz w:val="19"/>
              </w:rPr>
              <w:t>$745,810</w:t>
            </w:r>
          </w:p>
        </w:tc>
        <w:tc>
          <w:tcPr>
            <w:tcW w:type="dxa" w:w="2880"/>
            <w:shd w:fill="FFFFFF"/>
          </w:tcPr>
          <w:p>
            <w:r>
              <w:rPr>
                <w:rFonts w:ascii="Calibri" w:hAnsi="Calibri"/>
                <w:color w:val="333333"/>
                <w:sz w:val="19"/>
              </w:rPr>
              <w:t>$745.8 B</w:t>
            </w:r>
          </w:p>
        </w:tc>
      </w:tr>
      <w:tr>
        <w:tc>
          <w:tcPr>
            <w:tcW w:type="dxa" w:w="3168"/>
            <w:shd w:fill="F4F6F9"/>
          </w:tcPr>
          <w:p>
            <w:r>
              <w:rPr>
                <w:rFonts w:ascii="Calibri" w:hAnsi="Calibri"/>
                <w:color w:val="333333"/>
                <w:sz w:val="19"/>
              </w:rPr>
              <w:t>January 2027</w:t>
            </w:r>
          </w:p>
        </w:tc>
        <w:tc>
          <w:tcPr>
            <w:tcW w:type="dxa" w:w="3312"/>
            <w:shd w:fill="F4F6F9"/>
          </w:tcPr>
          <w:p>
            <w:r>
              <w:rPr>
                <w:rFonts w:ascii="Calibri" w:hAnsi="Calibri"/>
                <w:color w:val="333333"/>
                <w:sz w:val="19"/>
              </w:rPr>
              <w:t>$754,195</w:t>
            </w:r>
          </w:p>
        </w:tc>
        <w:tc>
          <w:tcPr>
            <w:tcW w:type="dxa" w:w="2880"/>
            <w:shd w:fill="F4F6F9"/>
          </w:tcPr>
          <w:p>
            <w:r>
              <w:rPr>
                <w:rFonts w:ascii="Calibri" w:hAnsi="Calibri"/>
                <w:color w:val="333333"/>
                <w:sz w:val="19"/>
              </w:rPr>
              <w:t>$754.2 B</w:t>
            </w:r>
          </w:p>
        </w:tc>
      </w:tr>
      <w:tr>
        <w:tc>
          <w:tcPr>
            <w:tcW w:type="dxa" w:w="3168"/>
            <w:shd w:fill="FFFFFF"/>
          </w:tcPr>
          <w:p>
            <w:r>
              <w:rPr>
                <w:rFonts w:ascii="Calibri" w:hAnsi="Calibri"/>
                <w:color w:val="333333"/>
                <w:sz w:val="19"/>
              </w:rPr>
              <w:t>February 2027</w:t>
            </w:r>
          </w:p>
        </w:tc>
        <w:tc>
          <w:tcPr>
            <w:tcW w:type="dxa" w:w="3312"/>
            <w:shd w:fill="FFFFFF"/>
          </w:tcPr>
          <w:p>
            <w:r>
              <w:rPr>
                <w:rFonts w:ascii="Calibri" w:hAnsi="Calibri"/>
                <w:color w:val="333333"/>
                <w:sz w:val="19"/>
              </w:rPr>
              <w:t>$759,804</w:t>
            </w:r>
          </w:p>
        </w:tc>
        <w:tc>
          <w:tcPr>
            <w:tcW w:type="dxa" w:w="2880"/>
            <w:shd w:fill="FFFFFF"/>
          </w:tcPr>
          <w:p>
            <w:r>
              <w:rPr>
                <w:rFonts w:ascii="Calibri" w:hAnsi="Calibri"/>
                <w:color w:val="333333"/>
                <w:sz w:val="19"/>
              </w:rPr>
              <w:t>$759.8 B</w:t>
            </w:r>
          </w:p>
        </w:tc>
      </w:tr>
      <w:tr>
        <w:tc>
          <w:tcPr>
            <w:tcW w:type="dxa" w:w="3168"/>
            <w:shd w:fill="F4F6F9"/>
          </w:tcPr>
          <w:p>
            <w:r>
              <w:rPr>
                <w:rFonts w:ascii="Calibri" w:hAnsi="Calibri"/>
                <w:color w:val="333333"/>
                <w:sz w:val="19"/>
              </w:rPr>
              <w:t>March 2027</w:t>
            </w:r>
          </w:p>
        </w:tc>
        <w:tc>
          <w:tcPr>
            <w:tcW w:type="dxa" w:w="3312"/>
            <w:shd w:fill="F4F6F9"/>
          </w:tcPr>
          <w:p>
            <w:r>
              <w:rPr>
                <w:rFonts w:ascii="Calibri" w:hAnsi="Calibri"/>
                <w:color w:val="333333"/>
                <w:sz w:val="19"/>
              </w:rPr>
              <w:t>$770,612</w:t>
            </w:r>
          </w:p>
        </w:tc>
        <w:tc>
          <w:tcPr>
            <w:tcW w:type="dxa" w:w="2880"/>
            <w:shd w:fill="F4F6F9"/>
          </w:tcPr>
          <w:p>
            <w:r>
              <w:rPr>
                <w:rFonts w:ascii="Calibri" w:hAnsi="Calibri"/>
                <w:color w:val="333333"/>
                <w:sz w:val="19"/>
              </w:rPr>
              <w:t>$770.6 B</w:t>
            </w:r>
          </w:p>
        </w:tc>
      </w:tr>
    </w:tbl>
    <w:p>
      <w:pPr>
        <w:spacing w:after="160"/>
      </w:pPr>
    </w:p>
    <w:p>
      <w:pPr>
        <w:keepNext/>
        <w:spacing w:before="360" w:after="120"/>
      </w:pPr>
      <w:r>
        <w:rPr>
          <w:rFonts w:ascii="Arial" w:hAnsi="Arial"/>
          <w:b/>
          <w:color w:val="1B365D"/>
          <w:sz w:val="32"/>
        </w:rPr>
        <w:t>6. Python Implementation Code</w:t>
      </w:r>
    </w:p>
    <w:p>
      <w:pPr>
        <w:spacing w:before="0" w:after="120" w:line="276" w:lineRule="auto"/>
      </w:pPr>
      <w:r>
        <w:rPr>
          <w:rFonts w:ascii="Calibri" w:hAnsi="Calibri"/>
          <w:i w:val="0"/>
          <w:color w:val="333333"/>
          <w:sz w:val="22"/>
        </w:rPr>
        <w:t>Below is the complete, modular Python script utilizing Pandas, NumPy, Matplotlib, Statsmodels, and Scikit-Learn to reproduce the end-to-end analysis:</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E0E0E0"/>
              <w:left w:val="single" w:sz="18" w:space="0" w:color="1B365D"/>
              <w:bottom w:val="single" w:sz="4" w:space="0" w:color="E0E0E0"/>
              <w:right w:val="single" w:sz="4" w:space="0" w:color="E0E0E0"/>
            </w:tcBorders>
          </w:tcPr>
          <w:p>
            <w:pPr>
              <w:spacing w:before="40" w:after="40"/>
            </w:pPr>
            <w:r>
              <w:rPr>
                <w:rFonts w:ascii="Consolas" w:hAnsi="Consolas"/>
                <w:color w:val="282828"/>
                <w:sz w:val="19"/>
              </w:rPr>
              <w:t>import pandas as pd</w:t>
              <w:br/>
              <w:t>import numpy as np</w:t>
              <w:br/>
              <w:t>import matplotlib.pyplot as plt</w:t>
              <w:br/>
              <w:t>from statsmodels.tsa.holtwinters import ExponentialSmoothing</w:t>
              <w:br/>
              <w:t>from sklearn.metrics import mean_absolute_error, mean_squared_error</w:t>
              <w:br/>
              <w:br/>
              <w:t># 1. Load and Preprocess Data</w:t>
              <w:br/>
              <w:t>CSV_PATH = "US_Retail_Food_Services_Monthly_Sales_2020_Sep2026.csv"</w:t>
              <w:br/>
              <w:t>df = pd.read_csv(CSV_PATH, parse_dates=["date"]).sort_values("date")</w:t>
              <w:br/>
              <w:t>y = df.set_index("date")["retail_food_services_sales_usd_millions"].asfreq("MS")</w:t>
              <w:br/>
              <w:br/>
              <w:t>if y.isna().any():</w:t>
              <w:br/>
              <w:t xml:space="preserve">    raise ValueError("Missing values detected in time series.")</w:t>
              <w:br/>
              <w:br/>
              <w:t># 2. Chronological Holdout Validation (12 Months)</w:t>
              <w:br/>
              <w:t>train, test = y.iloc[:-12], y.iloc[-12:]</w:t>
              <w:br/>
              <w:br/>
              <w:t>ets_model = ExponentialSmoothing(</w:t>
              <w:br/>
              <w:t xml:space="preserve">    train, trend="add", seasonal="add", seasonal_periods=12,</w:t>
              <w:br/>
              <w:t xml:space="preserve">    initialization_method="estimated"</w:t>
              <w:br/>
              <w:t>).fit(optimized=True)</w:t>
              <w:br/>
              <w:br/>
              <w:t>ets_pred = ets_model.forecast(len(test))</w:t>
              <w:br/>
              <w:t>seasonal_naive = pd.Series(</w:t>
              <w:br/>
              <w:t xml:space="preserve">    [train.loc[d - pd.DateOffset(years=1)] for d in test.index],</w:t>
              <w:br/>
              <w:t xml:space="preserve">    index=test.index</w:t>
              <w:br/>
              <w:t>)</w:t>
              <w:br/>
              <w:br/>
              <w:t># Metric Calculations</w:t>
              <w:br/>
              <w:t>mae_ets = mean_absolute_error(test, ets_pred)</w:t>
              <w:br/>
              <w:t>rmse_ets = np.sqrt(mean_squared_error(test, ets_pred))</w:t>
              <w:br/>
              <w:t>print(f"Holt-Winters MAE: ${mae_ets:,.2f}M | RMSE: ${rmse_ets:,.2f}M")</w:t>
              <w:br/>
              <w:br/>
              <w:t># 3. Final Model Refitting &amp; Out-of-Sample Forecasting</w:t>
              <w:br/>
              <w:t>final_model = ExponentialSmoothing(</w:t>
              <w:br/>
              <w:t xml:space="preserve">    y, trend="add", seasonal="add", seasonal_periods=12,</w:t>
              <w:br/>
              <w:t xml:space="preserve">    initialization_method="estimated"</w:t>
              <w:br/>
              <w:t>).fit(optimized=True)</w:t>
              <w:br/>
              <w:br/>
              <w:t>future_forecast = final_model.forecast(6)</w:t>
              <w:br/>
              <w:t>print("Six-Month Retail Forecast (USD Millions):")</w:t>
              <w:br/>
              <w:t>print(future_forecast.round(0).astype(int))</w:t>
            </w:r>
          </w:p>
        </w:tc>
      </w:tr>
    </w:tbl>
    <w:p>
      <w:pPr>
        <w:spacing w:after="80"/>
      </w:pPr>
    </w:p>
    <w:p>
      <w:pPr>
        <w:keepNext/>
        <w:spacing w:before="360" w:after="120"/>
      </w:pPr>
      <w:r>
        <w:rPr>
          <w:rFonts w:ascii="Arial" w:hAnsi="Arial"/>
          <w:b/>
          <w:color w:val="1B365D"/>
          <w:sz w:val="32"/>
        </w:rPr>
        <w:t>7. Strategic Business Implications &amp; Limitations</w:t>
      </w:r>
    </w:p>
    <w:p>
      <w:pPr>
        <w:keepNext/>
        <w:spacing w:before="280" w:after="80"/>
      </w:pPr>
      <w:r>
        <w:rPr>
          <w:rFonts w:ascii="Arial" w:hAnsi="Arial"/>
          <w:b/>
          <w:color w:val="5C768D"/>
          <w:sz w:val="26"/>
        </w:rPr>
        <w:t>Business Recommendations</w:t>
      </w:r>
    </w:p>
    <w:p>
      <w:pPr>
        <w:pStyle w:val="ListBullet"/>
        <w:spacing w:before="0" w:after="60" w:line="276" w:lineRule="auto"/>
      </w:pPr>
      <w:r>
        <w:rPr>
          <w:rFonts w:ascii="Calibri" w:hAnsi="Calibri"/>
          <w:b/>
          <w:color w:val="333333"/>
          <w:sz w:val="22"/>
        </w:rPr>
        <w:t xml:space="preserve">Capacity Planning: </w:t>
      </w:r>
      <w:r>
        <w:rPr>
          <w:rFonts w:ascii="Calibri" w:hAnsi="Calibri"/>
          <w:color w:val="333333"/>
          <w:sz w:val="22"/>
        </w:rPr>
        <w:t>Incorporate the 6-month forecast ($744B–$770B) into supply chain, staffing, and inventory management, ensuring flexibility around seasonal transition months.</w:t>
      </w:r>
    </w:p>
    <w:p>
      <w:pPr>
        <w:pStyle w:val="ListBullet"/>
        <w:spacing w:before="0" w:after="60" w:line="276" w:lineRule="auto"/>
      </w:pPr>
      <w:r>
        <w:rPr>
          <w:rFonts w:ascii="Calibri" w:hAnsi="Calibri"/>
          <w:b/>
          <w:color w:val="333333"/>
          <w:sz w:val="22"/>
        </w:rPr>
        <w:t xml:space="preserve">Inflationary Context: </w:t>
      </w:r>
      <w:r>
        <w:rPr>
          <w:rFonts w:ascii="Calibri" w:hAnsi="Calibri"/>
          <w:color w:val="333333"/>
          <w:sz w:val="22"/>
        </w:rPr>
        <w:t>Distinguish carefully between nominal revenue increases and real sales volume. Since sales values are unadjusted for inflation, pricing adjustments must be accounted for in margin management.</w:t>
      </w:r>
    </w:p>
    <w:p>
      <w:pPr>
        <w:pStyle w:val="ListBullet"/>
        <w:spacing w:before="0" w:after="60" w:line="276" w:lineRule="auto"/>
      </w:pPr>
      <w:r>
        <w:rPr>
          <w:rFonts w:ascii="Calibri" w:hAnsi="Calibri"/>
          <w:b/>
          <w:color w:val="333333"/>
          <w:sz w:val="22"/>
        </w:rPr>
        <w:t xml:space="preserve">Model Refresh Cycles: </w:t>
      </w:r>
      <w:r>
        <w:rPr>
          <w:rFonts w:ascii="Calibri" w:hAnsi="Calibri"/>
          <w:color w:val="333333"/>
          <w:sz w:val="22"/>
        </w:rPr>
        <w:t>Continuously re-estimate time-series parameters as new monthly MARTS data releases are published by the Census Bureau.</w:t>
      </w:r>
    </w:p>
    <w:p>
      <w:pPr>
        <w:keepNext/>
        <w:spacing w:before="280" w:after="80"/>
      </w:pPr>
      <w:r>
        <w:rPr>
          <w:rFonts w:ascii="Arial" w:hAnsi="Arial"/>
          <w:b/>
          <w:color w:val="5C768D"/>
          <w:sz w:val="26"/>
        </w:rPr>
        <w:t>Analytical Limitations</w:t>
      </w:r>
    </w:p>
    <w:p>
      <w:pPr>
        <w:pStyle w:val="ListBullet"/>
        <w:spacing w:before="0" w:after="60" w:line="276" w:lineRule="auto"/>
      </w:pPr>
      <w:r>
        <w:rPr>
          <w:rFonts w:ascii="Calibri" w:hAnsi="Calibri"/>
          <w:b/>
          <w:color w:val="333333"/>
          <w:sz w:val="22"/>
        </w:rPr>
        <w:t xml:space="preserve">Granularity: </w:t>
      </w:r>
      <w:r>
        <w:rPr>
          <w:rFonts w:ascii="Calibri" w:hAnsi="Calibri"/>
          <w:color w:val="333333"/>
          <w:sz w:val="22"/>
        </w:rPr>
        <w:t>Macro Aggregate Scope: The dataset reflects total U.S. retail and food services, omitting category-specific, product-level, or store-level granularity.</w:t>
      </w:r>
    </w:p>
    <w:p>
      <w:pPr>
        <w:pStyle w:val="ListBullet"/>
        <w:spacing w:before="0" w:after="60" w:line="276" w:lineRule="auto"/>
      </w:pPr>
      <w:r>
        <w:rPr>
          <w:rFonts w:ascii="Calibri" w:hAnsi="Calibri"/>
          <w:b/>
          <w:color w:val="333333"/>
          <w:sz w:val="22"/>
        </w:rPr>
        <w:t xml:space="preserve">Data Revisions: </w:t>
      </w:r>
      <w:r>
        <w:rPr>
          <w:rFonts w:ascii="Calibri" w:hAnsi="Calibri"/>
          <w:color w:val="333333"/>
          <w:sz w:val="22"/>
        </w:rPr>
        <w:t>Revisions: Advance monthly Census estimates are subject to periodic revisions in subsequent releases.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