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7365D"/>
          <w:sz w:val="56"/>
        </w:rPr>
        <w:t>STRATEGIC TALENT</w:t>
        <w:br/>
        <w:t>MANAGEMENT PLAN</w:t>
      </w:r>
    </w:p>
    <w:p>
      <w:pPr>
        <w:jc w:val="center"/>
      </w:pPr>
      <w:r>
        <w:rPr>
          <w:color w:val="007C91"/>
          <w:sz w:val="32"/>
        </w:rPr>
        <w:t>For the Automotive Industry Using SAP SuccessFactors Concepts</w:t>
      </w:r>
    </w:p>
    <w:p>
      <w:pPr>
        <w:spacing w:before="480"/>
        <w:jc w:val="center"/>
      </w:pPr>
      <w:r>
        <w:rPr>
          <w:i/>
        </w:rPr>
        <w:t>A practical, evidence-informed framework for talent acquisition,</w:t>
        <w:br/>
        <w:t>onboarding, skills development, retention and workforce resilience</w:t>
      </w:r>
    </w:p>
    <w:p>
      <w:pPr>
        <w:spacing w:before="1800"/>
        <w:jc w:val="center"/>
      </w:pPr>
      <w:r>
        <w:rPr>
          <w:b/>
        </w:rPr>
        <w:t>Prepared as an applied strategic plan</w:t>
        <w:br/>
      </w:r>
      <w:r>
        <w:t>Scope: multi-plant automotive manufacturer / components supplier</w:t>
        <w:br/>
      </w:r>
      <w:r>
        <w:t>Planning horizon: 24 months | Initial pilot: first 12 months</w:t>
      </w:r>
    </w:p>
    <w:p>
      <w:r>
        <w:br w:type="page"/>
      </w:r>
    </w:p>
    <w:p>
      <w:pPr>
        <w:pStyle w:val="Heading1"/>
      </w:pPr>
      <w:r>
        <w:t>Executive Summary</w:t>
      </w:r>
    </w:p>
    <w:p>
      <w:r>
        <w:t>Automotive companies are managing a workforce transition shaped by electrification, software-defined vehicles, advanced manufacturing, supply-chain volatility and persistent competition for experienced technicians and digital specialists. Talent management can no longer operate as a collection of disconnected HR transactions. It must translate business priorities—safe production, quality, launch readiness, productivity, innovation and customer service—into the capabilities, roles and behaviours the organization needs.</w:t>
      </w:r>
    </w:p>
    <w:p>
      <w:r>
        <w:t>This report proposes a 24-month talent-management programme for a hypothetical multi-plant automotive manufacturer or Tier 1 components supplier. It uses SAP SuccessFactors as the proposed digital backbone, not as a substitute for operational leadership. The core design connects Employee Central (trusted people and position data), Recruiting (structured sourcing and selection), Onboarding (preboarding and role-based integration), Learning (curricula and competence evidence), Performance &amp; Goals (business-aligned objectives), Succession &amp; Development (critical-role coverage and internal mobility), Compensation (reward governance), and people analytics/workforce planning (measurement and scenario planning). Exact product features, integrations and licensing depend on the customer’s selected configuration and release; they must be confirmed during solution design.</w:t>
      </w:r>
    </w:p>
    <w:p>
      <w:r>
        <w:t>The business case is grounded in automotive-specific evidence. The International Energy Agency reported more than 17 million electric cars sold worldwide in 2024, over 20% of new-car sales [1]. NCAER’s October 2025 research describes skill mismatches in India’s motor-vehicle sector, including the need for practical technical capability as EVs, automation, AI and robotics expand [2]. Kongsberg Automotive’s published SuccessFactors case study reports a 33% faster time-to-fill, 30% fewer HR requests, 15% lower HR costs, reporting time reduced from 45 to 15 minutes, and greater succession visibility; these are vendor/case-study reported outcomes rather than independently established causal effects [3]. Gestamp’s global transformation case describes a global HR platform deployed in about nine months across 21 countries, consolidating visibility for more than 45,000 employees [4].</w:t>
      </w:r>
    </w:p>
    <w:p>
      <w:r>
        <w:t>The recommended approach is staged. In the first 90 days, establish governance, reliable baselines, priority job families, data standards and a pilot design. In months 4–12, pilot hiring, onboarding and competence pathways for selected high-impact roles. In months 13–24, scale only what demonstrates measurable improvement, then embed quarterly workforce scenarios, succession reviews and continuous improvement. Illustrative targets include a 10–15% reduction in median time-to-fill for selected roles, a five-percentage-point improvement in 90-day retention, 100% completion of required safety learning before authorization for safety-critical work, and closure of 60% of identified priority skills gaps within 12 months. These are planning targets, not industry benchmarks or guaranteed outcomes.</w:t>
      </w:r>
    </w:p>
    <w:p>
      <w:r>
        <w:t>The central recommendation is to treat talent as a production and transformation capability. Success should be measured not by course completions or software deployment alone, but by safer authorization, faster time to proficiency, improved hiring quality, lower avoidable early attrition, stronger internal pipelines and better readiness for product and technology changes.</w:t>
      </w:r>
    </w:p>
    <w:p>
      <w:pPr>
        <w:pStyle w:val="Heading1"/>
      </w:pPr>
      <w:r>
        <w:t>1. Introduction: Why Strategic Talent Management Matters in Automotive</w:t>
      </w:r>
    </w:p>
    <w:p>
      <w:pPr>
        <w:pStyle w:val="Heading2"/>
      </w:pPr>
      <w:r>
        <w:t>1.1 Sector context and business problem</w:t>
      </w:r>
    </w:p>
    <w:p>
      <w:r>
        <w:t>Automotive operations depend on tightly connected activities: product engineering, supplier quality, production planning, stamping and body operations, paint, assembly, maintenance, logistics, quality assurance, dealer/service support and increasingly software and battery-related work. A shortage in one skill group can affect an entire production system. A vacant maintenance role can extend equipment downtime; a shortage of quality engineers can delay corrective action; weak onboarding can raise rework and safety exposure; and a limited pipeline of battery or embedded-software specialists can slow new-product programmes.</w:t>
      </w:r>
    </w:p>
    <w:p>
      <w:r>
        <w:t>The shift is not a simple replacement of internal-combustion-engine (ICE) jobs by electric-vehicle (EV) jobs. Many capabilities remain essential—quality systems, manufacturing engineering, supply-chain coordination, safety, lean problem-solving and people leadership—while their tools and technical context change. The strategy should therefore distinguish (a) roles likely to grow, (b) roles whose tasks will change, (c) transferable capabilities that can be developed internally, and (d) specialist gaps that require external hiring or partnerships.</w:t>
      </w:r>
    </w:p>
    <w:p>
      <w:pPr>
        <w:pStyle w:val="Heading2"/>
      </w:pPr>
      <w:r>
        <w:t>1.2 Evidence informing the strategy</w:t>
      </w:r>
    </w:p>
    <w:p>
      <w:r>
        <w:t>The IEA’s Global EV Outlook 2025 states that electric-car sales exceeded 17 million in 2024, representing more than one-fifth of new cars sold globally [1]. This is a market signal, not a direct forecast of any one company’s hiring volume. Each manufacturer should translate product mix, launch plans, geography and make-versus-buy choices into workforce scenarios. NCAER’s 2025 analysis of India’s automobile industry identifies shortages and mismatches between employer demand and available skills, with practical exposure and emerging technical skills as important concerns [2]. This supports a strategy that tests demonstrated competence rather than relying on qualifications alone.</w:t>
      </w:r>
    </w:p>
    <w:p>
      <w:r>
        <w:t>Two company cases help make the digital design concrete. Kongsberg Automotive’s published SAP SuccessFactors case reports improvements in hiring speed, HR service demand, HR costs, reporting time and succession visibility [3]. These figures show what a unified data and process model may make possible, but they should not be copied as promised results. Gestamp’s case describes global HR standardization and a single integrated view across 21 countries and more than 45,000 employees [4]. The relevant lesson is that common people data and standard processes can improve visibility at scale, while local legal requirements still need to be respected.</w:t>
      </w:r>
    </w:p>
    <w:p>
      <w:r>
        <w:t>BMW Group’s 2024 reporting and Toyota Kirloskar Motor’s 2023 sustainability reporting provide useful workforce-development benchmarks: the former reported approximately €415 million invested in vocational and further training in 2024, while the latter described an annual learning-needs assessment using business and individual needs, interviews, surveys, performance reviews and competency appraisals [5, 6]. These are learning-practice benchmarks, not evidence that either company uses the precise SuccessFactors configuration proposed here.</w:t>
      </w:r>
    </w:p>
    <w:p>
      <w:pPr>
        <w:pStyle w:val="Heading2"/>
      </w:pPr>
      <w:r>
        <w:t>1.3 Strategic objectives</w:t>
      </w:r>
    </w:p>
    <w:p>
      <w:pPr>
        <w:pStyle w:val="ListBullet"/>
        <w:spacing w:after="40"/>
      </w:pPr>
      <w:r>
        <w:t>Secure the right capabilities at the right site and time for product launches, production continuity, quality and service.</w:t>
      </w:r>
    </w:p>
    <w:p>
      <w:pPr>
        <w:pStyle w:val="ListBullet"/>
        <w:spacing w:after="40"/>
      </w:pPr>
      <w:r>
        <w:t>Reduce avoidable delays and friction across requisition approval, candidate selection, preboarding and first-90-day integration.</w:t>
      </w:r>
    </w:p>
    <w:p>
      <w:pPr>
        <w:pStyle w:val="ListBullet"/>
        <w:spacing w:after="40"/>
      </w:pPr>
      <w:r>
        <w:t>Build a verified, role-based skills system for EV, battery safety, automation, robotics, software, quality and maintenance capabilities.</w:t>
      </w:r>
    </w:p>
    <w:p>
      <w:pPr>
        <w:pStyle w:val="ListBullet"/>
        <w:spacing w:after="40"/>
      </w:pPr>
      <w:r>
        <w:t>Improve retention through realistic job previews, manager accountability, career mobility, development and fair rewards.</w:t>
      </w:r>
    </w:p>
    <w:p>
      <w:pPr>
        <w:pStyle w:val="ListBullet"/>
        <w:spacing w:after="40"/>
      </w:pPr>
      <w:r>
        <w:t>Reduce single-person dependency in critical technical and leadership roles through knowledge transfer and succession planning.</w:t>
      </w:r>
    </w:p>
    <w:p>
      <w:pPr>
        <w:pStyle w:val="ListBullet"/>
        <w:spacing w:after="40"/>
      </w:pPr>
      <w:r>
        <w:t>Create measurable governance in which HR, plant operations, engineering, safety, finance and IT share accountability for outcomes.</w:t>
      </w:r>
    </w:p>
    <w:p>
      <w:pPr>
        <w:pStyle w:val="Heading2"/>
      </w:pPr>
      <w:r>
        <w:t>1.4 Scope, assumptions and boundaries</w:t>
      </w:r>
    </w:p>
    <w:p>
      <w:r>
        <w:t>The plan assumes a hypothetical multi-plant manufacturer or supplier operating in India and/or multiple countries. It is deliberately specific enough to pilot but does not assume a known headcount, current HR system, budget, union structure or baseline performance. Accordingly, targets and timelines are proposed planning assumptions. Before execution, leaders must validate local labour law, collective agreements, data residency, safety standards, existing ERP interfaces, system licensing, implementation partner capacity and the organization’s actual workforce data.</w:t>
      </w:r>
    </w:p>
    <w:p>
      <w:r>
        <w:br w:type="page"/>
      </w:r>
    </w:p>
    <w:p>
      <w:pPr>
        <w:pStyle w:val="Heading1"/>
      </w:pPr>
      <w:r>
        <w:t>2. Strategic Diagnosis: Automotive Workforce Priorities</w:t>
      </w:r>
    </w:p>
    <w:p>
      <w:pPr>
        <w:pStyle w:val="Heading2"/>
      </w:pPr>
      <w:r>
        <w:t>2.1 Priority job families and capability shifts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800"/>
            <w:vAlign w:val="center"/>
            <w:shd w:fill="17365D"/>
          </w:tcPr>
          <w:p>
            <w:pPr>
              <w:spacing w:after="20" w:before="20"/>
            </w:pPr>
            <w:r/>
            <w:r>
              <w:rPr>
                <w:rFonts w:ascii="Aptos" w:hAnsi="Aptos"/>
                <w:b/>
                <w:color w:val="FFFFFF"/>
                <w:sz w:val="15"/>
              </w:rPr>
              <w:t>Job family</w:t>
            </w:r>
          </w:p>
        </w:tc>
        <w:tc>
          <w:tcPr>
            <w:tcW w:type="dxa" w:w="2232"/>
            <w:vAlign w:val="center"/>
            <w:shd w:fill="17365D"/>
          </w:tcPr>
          <w:p>
            <w:pPr>
              <w:spacing w:after="20" w:before="20"/>
            </w:pPr>
            <w:r/>
            <w:r>
              <w:rPr>
                <w:rFonts w:ascii="Aptos" w:hAnsi="Aptos"/>
                <w:b/>
                <w:color w:val="FFFFFF"/>
                <w:sz w:val="15"/>
              </w:rPr>
              <w:t>Business exposure if capability is missing</w:t>
            </w:r>
          </w:p>
        </w:tc>
        <w:tc>
          <w:tcPr>
            <w:tcW w:type="dxa" w:w="2376"/>
            <w:vAlign w:val="center"/>
            <w:shd w:fill="17365D"/>
          </w:tcPr>
          <w:p>
            <w:pPr>
              <w:spacing w:after="20" w:before="20"/>
            </w:pPr>
            <w:r/>
            <w:r>
              <w:rPr>
                <w:rFonts w:ascii="Aptos" w:hAnsi="Aptos"/>
                <w:b/>
                <w:color w:val="FFFFFF"/>
                <w:sz w:val="15"/>
              </w:rPr>
              <w:t>Priority capabilities</w:t>
            </w:r>
          </w:p>
        </w:tc>
        <w:tc>
          <w:tcPr>
            <w:tcW w:type="dxa" w:w="2880"/>
            <w:vAlign w:val="center"/>
            <w:shd w:fill="17365D"/>
          </w:tcPr>
          <w:p>
            <w:pPr>
              <w:spacing w:after="20" w:before="20"/>
            </w:pPr>
            <w:r/>
            <w:r>
              <w:rPr>
                <w:rFonts w:ascii="Aptos" w:hAnsi="Aptos"/>
                <w:b/>
                <w:color w:val="FFFFFF"/>
                <w:sz w:val="15"/>
              </w:rPr>
              <w:t>Talent response</w:t>
            </w:r>
          </w:p>
        </w:tc>
      </w:tr>
      <w:tr>
        <w:tc>
          <w:tcPr>
            <w:tcW w:type="dxa" w:w="1800"/>
            <w:vAlign w:val="center"/>
          </w:tcPr>
          <w:p>
            <w:pPr>
              <w:spacing w:after="20" w:before="20"/>
            </w:pPr>
            <w:r/>
            <w:r>
              <w:rPr>
                <w:rFonts w:ascii="Aptos" w:hAnsi="Aptos"/>
                <w:b w:val="0"/>
                <w:sz w:val="15"/>
              </w:rPr>
              <w:t>EV / battery / high-voltage operations</w:t>
            </w:r>
          </w:p>
        </w:tc>
        <w:tc>
          <w:tcPr>
            <w:tcW w:type="dxa" w:w="2232"/>
            <w:vAlign w:val="center"/>
          </w:tcPr>
          <w:p>
            <w:pPr>
              <w:spacing w:after="20" w:before="20"/>
            </w:pPr>
            <w:r/>
            <w:r>
              <w:rPr>
                <w:rFonts w:ascii="Aptos" w:hAnsi="Aptos"/>
                <w:b w:val="0"/>
                <w:sz w:val="15"/>
              </w:rPr>
              <w:t>Safety incidents, quality escapes, delayed launches, service limitations</w:t>
            </w:r>
          </w:p>
        </w:tc>
        <w:tc>
          <w:tcPr>
            <w:tcW w:type="dxa" w:w="2376"/>
            <w:vAlign w:val="center"/>
          </w:tcPr>
          <w:p>
            <w:pPr>
              <w:spacing w:after="20" w:before="20"/>
            </w:pPr>
            <w:r/>
            <w:r>
              <w:rPr>
                <w:rFonts w:ascii="Aptos" w:hAnsi="Aptos"/>
                <w:b w:val="0"/>
                <w:sz w:val="15"/>
              </w:rPr>
              <w:t>Electrical fundamentals, high-voltage isolation, battery handling, diagnostics, emergency response</w:t>
            </w:r>
          </w:p>
        </w:tc>
        <w:tc>
          <w:tcPr>
            <w:tcW w:type="dxa" w:w="2880"/>
            <w:vAlign w:val="center"/>
          </w:tcPr>
          <w:p>
            <w:pPr>
              <w:spacing w:after="20" w:before="20"/>
            </w:pPr>
            <w:r/>
            <w:r>
              <w:rPr>
                <w:rFonts w:ascii="Aptos" w:hAnsi="Aptos"/>
                <w:b w:val="0"/>
                <w:sz w:val="15"/>
              </w:rPr>
              <w:t>Hire specialist leads; train eligible existing staff; require practical assessment and authorization</w:t>
            </w:r>
          </w:p>
        </w:tc>
      </w:tr>
      <w:tr>
        <w:tc>
          <w:tcPr>
            <w:tcW w:type="dxa" w:w="1800"/>
            <w:vAlign w:val="center"/>
            <w:shd w:fill="EAF1F7"/>
          </w:tcPr>
          <w:p>
            <w:pPr>
              <w:spacing w:after="20" w:before="20"/>
            </w:pPr>
            <w:r/>
            <w:r>
              <w:rPr>
                <w:rFonts w:ascii="Aptos" w:hAnsi="Aptos"/>
                <w:b w:val="0"/>
                <w:sz w:val="15"/>
              </w:rPr>
              <w:t>Maintenance, mechatronics and automation</w:t>
            </w:r>
          </w:p>
        </w:tc>
        <w:tc>
          <w:tcPr>
            <w:tcW w:type="dxa" w:w="2232"/>
            <w:vAlign w:val="center"/>
            <w:shd w:fill="EAF1F7"/>
          </w:tcPr>
          <w:p>
            <w:pPr>
              <w:spacing w:after="20" w:before="20"/>
            </w:pPr>
            <w:r/>
            <w:r>
              <w:rPr>
                <w:rFonts w:ascii="Aptos" w:hAnsi="Aptos"/>
                <w:b w:val="0"/>
                <w:sz w:val="15"/>
              </w:rPr>
              <w:t>Unplanned downtime, slower changeovers, lower equipment effectiveness</w:t>
            </w:r>
          </w:p>
        </w:tc>
        <w:tc>
          <w:tcPr>
            <w:tcW w:type="dxa" w:w="2376"/>
            <w:vAlign w:val="center"/>
            <w:shd w:fill="EAF1F7"/>
          </w:tcPr>
          <w:p>
            <w:pPr>
              <w:spacing w:after="20" w:before="20"/>
            </w:pPr>
            <w:r/>
            <w:r>
              <w:rPr>
                <w:rFonts w:ascii="Aptos" w:hAnsi="Aptos"/>
                <w:b w:val="0"/>
                <w:sz w:val="15"/>
              </w:rPr>
              <w:t>PLC basics, robotics, predictive maintenance, sensors, troubleshooting, root-cause analysis</w:t>
            </w:r>
          </w:p>
        </w:tc>
        <w:tc>
          <w:tcPr>
            <w:tcW w:type="dxa" w:w="2880"/>
            <w:vAlign w:val="center"/>
            <w:shd w:fill="EAF1F7"/>
          </w:tcPr>
          <w:p>
            <w:pPr>
              <w:spacing w:after="20" w:before="20"/>
            </w:pPr>
            <w:r/>
            <w:r>
              <w:rPr>
                <w:rFonts w:ascii="Aptos" w:hAnsi="Aptos"/>
                <w:b w:val="0"/>
                <w:sz w:val="15"/>
              </w:rPr>
              <w:t>Apprenticeships, simulation and supervised practice; create technician progression paths</w:t>
            </w:r>
          </w:p>
        </w:tc>
      </w:tr>
      <w:tr>
        <w:tc>
          <w:tcPr>
            <w:tcW w:type="dxa" w:w="1800"/>
            <w:vAlign w:val="center"/>
          </w:tcPr>
          <w:p>
            <w:pPr>
              <w:spacing w:after="20" w:before="20"/>
            </w:pPr>
            <w:r/>
            <w:r>
              <w:rPr>
                <w:rFonts w:ascii="Aptos" w:hAnsi="Aptos"/>
                <w:b w:val="0"/>
                <w:sz w:val="15"/>
              </w:rPr>
              <w:t>Embedded software, cybersecurity and testing</w:t>
            </w:r>
          </w:p>
        </w:tc>
        <w:tc>
          <w:tcPr>
            <w:tcW w:type="dxa" w:w="2232"/>
            <w:vAlign w:val="center"/>
          </w:tcPr>
          <w:p>
            <w:pPr>
              <w:spacing w:after="20" w:before="20"/>
            </w:pPr>
            <w:r/>
            <w:r>
              <w:rPr>
                <w:rFonts w:ascii="Aptos" w:hAnsi="Aptos"/>
                <w:b w:val="0"/>
                <w:sz w:val="15"/>
              </w:rPr>
              <w:t>Feature delays, security exposure, test bottlenecks</w:t>
            </w:r>
          </w:p>
        </w:tc>
        <w:tc>
          <w:tcPr>
            <w:tcW w:type="dxa" w:w="2376"/>
            <w:vAlign w:val="center"/>
          </w:tcPr>
          <w:p>
            <w:pPr>
              <w:spacing w:after="20" w:before="20"/>
            </w:pPr>
            <w:r/>
            <w:r>
              <w:rPr>
                <w:rFonts w:ascii="Aptos" w:hAnsi="Aptos"/>
                <w:b w:val="0"/>
                <w:sz w:val="15"/>
              </w:rPr>
              <w:t>Embedded systems, software testing, cybersecurity, data analysis, systems engineering</w:t>
            </w:r>
          </w:p>
        </w:tc>
        <w:tc>
          <w:tcPr>
            <w:tcW w:type="dxa" w:w="2880"/>
            <w:vAlign w:val="center"/>
          </w:tcPr>
          <w:p>
            <w:pPr>
              <w:spacing w:after="20" w:before="20"/>
            </w:pPr>
            <w:r/>
            <w:r>
              <w:rPr>
                <w:rFonts w:ascii="Aptos" w:hAnsi="Aptos"/>
                <w:b w:val="0"/>
                <w:sz w:val="15"/>
              </w:rPr>
              <w:t>Targeted sourcing, university partnerships, technical communities, specialist career paths</w:t>
            </w:r>
          </w:p>
        </w:tc>
      </w:tr>
      <w:tr>
        <w:tc>
          <w:tcPr>
            <w:tcW w:type="dxa" w:w="1800"/>
            <w:vAlign w:val="center"/>
            <w:shd w:fill="EAF1F7"/>
          </w:tcPr>
          <w:p>
            <w:pPr>
              <w:spacing w:after="20" w:before="20"/>
            </w:pPr>
            <w:r/>
            <w:r>
              <w:rPr>
                <w:rFonts w:ascii="Aptos" w:hAnsi="Aptos"/>
                <w:b w:val="0"/>
                <w:sz w:val="15"/>
              </w:rPr>
              <w:t>Quality and manufacturing engineering</w:t>
            </w:r>
          </w:p>
        </w:tc>
        <w:tc>
          <w:tcPr>
            <w:tcW w:type="dxa" w:w="2232"/>
            <w:vAlign w:val="center"/>
            <w:shd w:fill="EAF1F7"/>
          </w:tcPr>
          <w:p>
            <w:pPr>
              <w:spacing w:after="20" w:before="20"/>
            </w:pPr>
            <w:r/>
            <w:r>
              <w:rPr>
                <w:rFonts w:ascii="Aptos" w:hAnsi="Aptos"/>
                <w:b w:val="0"/>
                <w:sz w:val="15"/>
              </w:rPr>
              <w:t>Scrap, rework, warranty exposure, audit findings</w:t>
            </w:r>
          </w:p>
        </w:tc>
        <w:tc>
          <w:tcPr>
            <w:tcW w:type="dxa" w:w="2376"/>
            <w:vAlign w:val="center"/>
            <w:shd w:fill="EAF1F7"/>
          </w:tcPr>
          <w:p>
            <w:pPr>
              <w:spacing w:after="20" w:before="20"/>
            </w:pPr>
            <w:r/>
            <w:r>
              <w:rPr>
                <w:rFonts w:ascii="Aptos" w:hAnsi="Aptos"/>
                <w:b w:val="0"/>
                <w:sz w:val="15"/>
              </w:rPr>
              <w:t>APQP/PPAP where relevant, statistical process control, problem-solving, supplier quality, digital traceability</w:t>
            </w:r>
          </w:p>
        </w:tc>
        <w:tc>
          <w:tcPr>
            <w:tcW w:type="dxa" w:w="2880"/>
            <w:vAlign w:val="center"/>
            <w:shd w:fill="EAF1F7"/>
          </w:tcPr>
          <w:p>
            <w:pPr>
              <w:spacing w:after="20" w:before="20"/>
            </w:pPr>
            <w:r/>
            <w:r>
              <w:rPr>
                <w:rFonts w:ascii="Aptos" w:hAnsi="Aptos"/>
                <w:b w:val="0"/>
                <w:sz w:val="15"/>
              </w:rPr>
              <w:t>Structured assessment, quality curricula, mentoring and goals linked to defect reduction</w:t>
            </w:r>
          </w:p>
        </w:tc>
      </w:tr>
      <w:tr>
        <w:tc>
          <w:tcPr>
            <w:tcW w:type="dxa" w:w="1800"/>
            <w:vAlign w:val="center"/>
          </w:tcPr>
          <w:p>
            <w:pPr>
              <w:spacing w:after="20" w:before="20"/>
            </w:pPr>
            <w:r/>
            <w:r>
              <w:rPr>
                <w:rFonts w:ascii="Aptos" w:hAnsi="Aptos"/>
                <w:b w:val="0"/>
                <w:sz w:val="15"/>
              </w:rPr>
              <w:t>Production operators and team leaders</w:t>
            </w:r>
          </w:p>
        </w:tc>
        <w:tc>
          <w:tcPr>
            <w:tcW w:type="dxa" w:w="2232"/>
            <w:vAlign w:val="center"/>
          </w:tcPr>
          <w:p>
            <w:pPr>
              <w:spacing w:after="20" w:before="20"/>
            </w:pPr>
            <w:r/>
            <w:r>
              <w:rPr>
                <w:rFonts w:ascii="Aptos" w:hAnsi="Aptos"/>
                <w:b w:val="0"/>
                <w:sz w:val="15"/>
              </w:rPr>
              <w:t>Safety risk, low first-pass yield, absence disruption, early attrition</w:t>
            </w:r>
          </w:p>
        </w:tc>
        <w:tc>
          <w:tcPr>
            <w:tcW w:type="dxa" w:w="2376"/>
            <w:vAlign w:val="center"/>
          </w:tcPr>
          <w:p>
            <w:pPr>
              <w:spacing w:after="20" w:before="20"/>
            </w:pPr>
            <w:r/>
            <w:r>
              <w:rPr>
                <w:rFonts w:ascii="Aptos" w:hAnsi="Aptos"/>
                <w:b w:val="0"/>
                <w:sz w:val="15"/>
              </w:rPr>
              <w:t>Standard work, defect recognition, escalation, digital work instructions, teamwork and coaching</w:t>
            </w:r>
          </w:p>
        </w:tc>
        <w:tc>
          <w:tcPr>
            <w:tcW w:type="dxa" w:w="2880"/>
            <w:vAlign w:val="center"/>
          </w:tcPr>
          <w:p>
            <w:pPr>
              <w:spacing w:after="20" w:before="20"/>
            </w:pPr>
            <w:r/>
            <w:r>
              <w:rPr>
                <w:rFonts w:ascii="Aptos" w:hAnsi="Aptos"/>
                <w:b w:val="0"/>
                <w:sz w:val="15"/>
              </w:rPr>
              <w:t>Realistic job previews, role-specific onboarding, buddy system and 30/60/90-day check-ins</w:t>
            </w:r>
          </w:p>
        </w:tc>
      </w:tr>
      <w:tr>
        <w:tc>
          <w:tcPr>
            <w:tcW w:type="dxa" w:w="1800"/>
            <w:vAlign w:val="center"/>
            <w:shd w:fill="EAF1F7"/>
          </w:tcPr>
          <w:p>
            <w:pPr>
              <w:spacing w:after="20" w:before="20"/>
            </w:pPr>
            <w:r/>
            <w:r>
              <w:rPr>
                <w:rFonts w:ascii="Aptos" w:hAnsi="Aptos"/>
                <w:b w:val="0"/>
                <w:sz w:val="15"/>
              </w:rPr>
              <w:t>Supply chain, planning and logistics</w:t>
            </w:r>
          </w:p>
        </w:tc>
        <w:tc>
          <w:tcPr>
            <w:tcW w:type="dxa" w:w="2232"/>
            <w:vAlign w:val="center"/>
            <w:shd w:fill="EAF1F7"/>
          </w:tcPr>
          <w:p>
            <w:pPr>
              <w:spacing w:after="20" w:before="20"/>
            </w:pPr>
            <w:r/>
            <w:r>
              <w:rPr>
                <w:rFonts w:ascii="Aptos" w:hAnsi="Aptos"/>
                <w:b w:val="0"/>
                <w:sz w:val="15"/>
              </w:rPr>
              <w:t>Line stoppages, inventory imbalance, expedited freight</w:t>
            </w:r>
          </w:p>
        </w:tc>
        <w:tc>
          <w:tcPr>
            <w:tcW w:type="dxa" w:w="2376"/>
            <w:vAlign w:val="center"/>
            <w:shd w:fill="EAF1F7"/>
          </w:tcPr>
          <w:p>
            <w:pPr>
              <w:spacing w:after="20" w:before="20"/>
            </w:pPr>
            <w:r/>
            <w:r>
              <w:rPr>
                <w:rFonts w:ascii="Aptos" w:hAnsi="Aptos"/>
                <w:b w:val="0"/>
                <w:sz w:val="15"/>
              </w:rPr>
              <w:t>Planning systems, supplier risk, data literacy, scenario planning, continuous improvement</w:t>
            </w:r>
          </w:p>
        </w:tc>
        <w:tc>
          <w:tcPr>
            <w:tcW w:type="dxa" w:w="2880"/>
            <w:vAlign w:val="center"/>
            <w:shd w:fill="EAF1F7"/>
          </w:tcPr>
          <w:p>
            <w:pPr>
              <w:spacing w:after="20" w:before="20"/>
            </w:pPr>
            <w:r/>
            <w:r>
              <w:rPr>
                <w:rFonts w:ascii="Aptos" w:hAnsi="Aptos"/>
                <w:b w:val="0"/>
                <w:sz w:val="15"/>
              </w:rPr>
              <w:t>Reskill internal talent; assess analytical capability; cross-functional rotations</w:t>
            </w:r>
          </w:p>
        </w:tc>
      </w:tr>
      <w:tr>
        <w:tc>
          <w:tcPr>
            <w:tcW w:type="dxa" w:w="1800"/>
            <w:vAlign w:val="center"/>
          </w:tcPr>
          <w:p>
            <w:pPr>
              <w:spacing w:after="20" w:before="20"/>
            </w:pPr>
            <w:r/>
            <w:r>
              <w:rPr>
                <w:rFonts w:ascii="Aptos" w:hAnsi="Aptos"/>
                <w:b w:val="0"/>
                <w:sz w:val="15"/>
              </w:rPr>
              <w:t>Plant managers and critical leaders</w:t>
            </w:r>
          </w:p>
        </w:tc>
        <w:tc>
          <w:tcPr>
            <w:tcW w:type="dxa" w:w="2232"/>
            <w:vAlign w:val="center"/>
          </w:tcPr>
          <w:p>
            <w:pPr>
              <w:spacing w:after="20" w:before="20"/>
            </w:pPr>
            <w:r/>
            <w:r>
              <w:rPr>
                <w:rFonts w:ascii="Aptos" w:hAnsi="Aptos"/>
                <w:b w:val="0"/>
                <w:sz w:val="15"/>
              </w:rPr>
              <w:t>Slow decisions, weak coaching, succession gaps, inconsistent execution</w:t>
            </w:r>
          </w:p>
        </w:tc>
        <w:tc>
          <w:tcPr>
            <w:tcW w:type="dxa" w:w="2376"/>
            <w:vAlign w:val="center"/>
          </w:tcPr>
          <w:p>
            <w:pPr>
              <w:spacing w:after="20" w:before="20"/>
            </w:pPr>
            <w:r/>
            <w:r>
              <w:rPr>
                <w:rFonts w:ascii="Aptos" w:hAnsi="Aptos"/>
                <w:b w:val="0"/>
                <w:sz w:val="15"/>
              </w:rPr>
              <w:t>Safety leadership, change management, performance coaching, labour relations, data-based decisions</w:t>
            </w:r>
          </w:p>
        </w:tc>
        <w:tc>
          <w:tcPr>
            <w:tcW w:type="dxa" w:w="2880"/>
            <w:vAlign w:val="center"/>
          </w:tcPr>
          <w:p>
            <w:pPr>
              <w:spacing w:after="20" w:before="20"/>
            </w:pPr>
            <w:r/>
            <w:r>
              <w:rPr>
                <w:rFonts w:ascii="Aptos" w:hAnsi="Aptos"/>
                <w:b w:val="0"/>
                <w:sz w:val="15"/>
              </w:rPr>
              <w:t>Leadership development, succession slates, readiness reviews and cross-plant assignments</w:t>
            </w:r>
          </w:p>
        </w:tc>
      </w:tr>
    </w:tbl>
    <w:p/>
    <w:p>
      <w:pPr>
        <w:pStyle w:val="Heading2"/>
      </w:pPr>
      <w:r>
        <w:t>2.2 Translate business strategy into workforce demand</w:t>
      </w:r>
    </w:p>
    <w:p>
      <w:r>
        <w:t>The proposed model starts with business demand, not with a generic catalogue of courses. Each quarter, finance, operations, engineering, product/programme management and HR should review the next 12–24 months of launches, capacity changes, automation projects, supplier changes, attrition, retirements and service-network needs. For each scenario, estimate role demand by site and timing, then classify each gap as build, buy, borrow, automate or redesign. ‘Build’ means upskilling or reskilling existing employees; ‘buy’ means external recruitment; ‘borrow’ means temporary or partner capacity; ‘automate’ means redesigning tasks through technology; and ‘redesign’ means changing work allocation or role design.</w:t>
      </w:r>
    </w:p>
    <w:p>
      <w:r>
        <w:t>A skills inventory should not be treated as a perfect real-time picture at launch. Begin with a controlled set of priority job families and a small number of observable skills per role. Define proficiency levels with evidence—for example, awareness, supervised practice, independent performance and ability to coach others. Employees should be assessed through practical tasks, work samples, validated certifications or manager-observed demonstrations where appropriate. Self-reported skills can inform development discussions but should not be the sole basis for authorizing safety-critical work.</w:t>
      </w:r>
    </w:p>
    <w:p>
      <w:pPr>
        <w:pStyle w:val="Heading2"/>
      </w:pPr>
      <w:r>
        <w:t>2.3 Root causes to test before selecting solutions</w:t>
      </w:r>
    </w:p>
    <w:p>
      <w:pPr>
        <w:pStyle w:val="ListBullet"/>
        <w:spacing w:after="40"/>
      </w:pPr>
      <w:r>
        <w:t>Hiring process friction: long approval chains, inconsistent interview criteria, low interview availability, repeated data entry or delayed offers.</w:t>
      </w:r>
    </w:p>
    <w:p>
      <w:pPr>
        <w:pStyle w:val="ListBullet"/>
        <w:spacing w:after="40"/>
      </w:pPr>
      <w:r>
        <w:t>Weak candidate-market fit: job descriptions overemphasize credentials while failing to test practical ability or communicate shift, location and work conditions honestly.</w:t>
      </w:r>
    </w:p>
    <w:p>
      <w:pPr>
        <w:pStyle w:val="ListBullet"/>
        <w:spacing w:after="40"/>
      </w:pPr>
      <w:r>
        <w:t>Early employee mismatch: unclear job expectations, transport/shift constraints, limited supervisor support or a gap between recruitment promises and actual work.</w:t>
      </w:r>
    </w:p>
    <w:p>
      <w:pPr>
        <w:pStyle w:val="ListBullet"/>
        <w:spacing w:after="40"/>
      </w:pPr>
      <w:r>
        <w:t>Skills visibility gaps: inconsistent job titles, unstructured skill records, training completion mistaken for competence, and limited data on retirements or successor readiness.</w:t>
      </w:r>
    </w:p>
    <w:p>
      <w:pPr>
        <w:pStyle w:val="ListBullet"/>
        <w:spacing w:after="40"/>
      </w:pPr>
      <w:r>
        <w:t>Retention drivers: limited progression, poor-quality supervision, uneven access to learning, pay compression, workload concerns or lack of recognition.</w:t>
      </w:r>
    </w:p>
    <w:p>
      <w:pPr>
        <w:pStyle w:val="ListBullet"/>
        <w:spacing w:after="40"/>
      </w:pPr>
      <w:r>
        <w:t>Technology and governance gaps: unclear data ownership, poorly defined workflows, insufficient shop-floor access or low manager confidence in the system.</w:t>
      </w:r>
    </w:p>
    <w:p>
      <w:r>
        <w:t>These are hypotheses to test with interviews, exit data, process mapping, observation and baseline metrics. The organization should not assume that a new HR platform will automatically solve structural problems such as poor shift design, uncompetitive pay, unsafe working conditions or weak line management.</w:t>
      </w:r>
    </w:p>
    <w:p>
      <w:pPr>
        <w:pStyle w:val="Heading1"/>
      </w:pPr>
      <w:r>
        <w:t>3. SAP SuccessFactors: Module Analysis and Automotive Application</w:t>
      </w:r>
    </w:p>
    <w:p>
      <w:r>
        <w:t>SAP SuccessFactors should be configured as a connected set of talent processes with shared data definitions and clear ownership. The descriptions below summarize relevant capabilities from SAP product and help documentation; actual feature availability varies by edition, release, licensing and configuration [7–13]. The design must be confirmed in a solution blueprint before procurement or implementation.</w:t>
      </w:r>
    </w:p>
    <w:p>
      <w:pPr>
        <w:pStyle w:val="Heading2"/>
      </w:pPr>
      <w:r>
        <w:t>3.1 Employee Central: trusted workforce and position foundation</w:t>
      </w:r>
    </w:p>
    <w:p>
      <w:r>
        <w:t>Employee Central is the proposed core record for employee, job, position, organizational and location data. In a multi-plant business, it should establish consistent identifiers for sites, departments, job families, positions, supervisors, employment status and effective-dated changes. Recruiting, onboarding, learning eligibility and succession processes become harder to manage if job codes or organizational structures differ without a mapping.</w:t>
      </w:r>
    </w:p>
    <w:p>
      <w:r>
        <w:t>Automotive application: create common job families for assembly, maintenance, quality, engineering, software, supply chain and plant leadership. Maintain local legal fields and country-specific rules without allowing local naming differences to destroy global reporting. Use position-management governance to distinguish an approved vacancy from a general request for headcount. Define data owners: HR owns employment data; operations owns the validity of job and position requirements; finance owns budget approval; IT owns integration and access controls.</w:t>
      </w:r>
    </w:p>
    <w:p>
      <w:r>
        <w:t>Implementation detail: cleanse duplicates and inconsistent job codes before migration; agree mandatory fields and validation rules; reconcile employee counts with payroll/finance; test transfers between plants and changes in reporting lines; and publish a data dictionary. Key measures are data completeness, duplicate rate, correction rate, position accuracy and time required to complete common HR transactions.</w:t>
      </w:r>
    </w:p>
    <w:p>
      <w:pPr>
        <w:pStyle w:val="Heading2"/>
      </w:pPr>
      <w:r>
        <w:t>3.2 Recruiting: source, assess and select for demonstrable capability</w:t>
      </w:r>
    </w:p>
    <w:p>
      <w:r>
        <w:t>SAP SuccessFactors Recruiting supports requisitions, candidate applications, selection workflows, job posting and candidate engagement; SAP documentation also describes career-site, candidate relationship management and analytics capabilities [7, 8]. The strategic value is not simply collecting CVs. It is creating a consistent funnel with clear stage definitions, hiring-manager accountability, timely candidate communication and comparable assessment evidence.</w:t>
      </w:r>
    </w:p>
    <w:p>
      <w:r>
        <w:t>Automotive application: establish separate but standardized assessment pathways for high-volume plant hiring and scarce specialist hiring. For operators and technicians, combine a realistic job preview with practical work samples, safety mindset questions and structured interviews. For software and engineering roles, use role-relevant technical exercises and consistent scoring rubrics. For supervisors, assess coaching, safety leadership, quality problem-solving and handling of production pressure. Define the minimum requirements before opening a requisition and avoid adding criteria late in the process.</w:t>
      </w:r>
    </w:p>
    <w:p>
      <w:r>
        <w:t>Use talent pools for hard-to-fill roles such as battery engineers, embedded software developers, automation specialists and experienced maintenance technicians. Build relationships with ITIs, polytechnics, engineering colleges, apprenticeship providers and relevant professional communities. Recruiting analytics should compare source quality—not only application volume—using interview pass rate, offer acceptance, time-to-fill, early performance and 90-day retention. Candidate data should be collected transparently, retained only under approved rules and accessible only to authorized users.</w:t>
      </w:r>
    </w:p>
    <w:p>
      <w:pPr>
        <w:pStyle w:val="Heading2"/>
      </w:pPr>
      <w:r>
        <w:t>3.3 Onboarding: safe integration and time to proficiency</w:t>
      </w:r>
    </w:p>
    <w:p>
      <w:r>
        <w:t>SAP SuccessFactors Onboarding supports configurable onboarding programmes and tasks, integration with Recruiting and Employee Central, new-hire dashboards, data collection and document workflows. SAP Help documentation notes that tasks can be assigned based on criteria such as job code or location and can include buddy assignment, meetings, equipment, goals and checklists [9, 10]. This flexibility is particularly relevant where the experience of an assembly operator differs substantially from that of an engineer or a remote software specialist.</w:t>
      </w:r>
    </w:p>
    <w:p>
      <w:r>
        <w:t>Proposed onboarding journeys should include: (1) preboarding—offer acceptance, documents, shift/location information and what to bring; (2) day one—identity/access, supervisor introduction, site rules and emergency arrangements; (3) days 2–10—role-specific safety, quality, standard work and equipment training; (4) days 11–30—supervised practice and initial competency check; (5) days 31–60—feedback and targeted coaching; and (6) days 61–90—readiness review, employee feedback and stay conversation. A buddy supports navigation but does not replace the supervisor or certified trainer.</w:t>
      </w:r>
    </w:p>
    <w:p>
      <w:r>
        <w:t>For safety-critical roles, the onboarding workflow must record completion of required training and the relevant practical authorization before independent work is permitted. System completion is evidence of process status, not proof that the person is safe or competent by itself. Plant safety rules and legal requirements take precedence, and the responsible safety/operations authority must approve the authorization model.</w:t>
      </w:r>
    </w:p>
    <w:p>
      <w:pPr>
        <w:pStyle w:val="Heading2"/>
      </w:pPr>
      <w:r>
        <w:t>3.4 Learning: role-based curricula and verified skills</w:t>
      </w:r>
    </w:p>
    <w:p>
      <w:r>
        <w:t>SAP SuccessFactors Learning can assign and track learning items, curricula and programmes, and retain learning history. SAP documentation describes assignment profiles based on user attributes and the use of assessments or task checklists to evaluate understanding [11, 12]. This supports differentiated learning pathways rather than one generic annual training list.</w:t>
      </w:r>
    </w:p>
    <w:p>
      <w:r>
        <w:t>Build curricula for at least six pathways: EV/high-voltage safety; battery manufacturing and handling; automation/mechatronics; quality and problem-solving; software/cybersecurity/testing; and frontline leadership. Each curriculum should specify prerequisites, delivery method, practical assessment, retraining interval if required, evidence owner and role authorization implications. For shift-based employees, provide scheduled cohorts across shifts, protected learning time, accessible language and mobile/offline alternatives where feasible. Completion rates must be reported by plant, shift, job family and employment type to detect unequal access.</w:t>
      </w:r>
    </w:p>
    <w:p>
      <w:r>
        <w:t>Measure competence through a blend of knowledge tests, observed demonstrations, defect-free work samples, equipment troubleshooting exercises and supervisor sign-off. Track time to proficiency, first-pass assessment, repeat attempts, rework and subsequent operational outcomes. Do not infer that a course caused a productivity gain without checking confounders such as equipment, staffing, product mix and process changes.</w:t>
      </w:r>
    </w:p>
    <w:p>
      <w:pPr>
        <w:pStyle w:val="Heading2"/>
      </w:pPr>
      <w:r>
        <w:t>3.5 Performance &amp; Goals: connect employee effort to business results</w:t>
      </w:r>
    </w:p>
    <w:p>
      <w:r>
        <w:t>SAP SuccessFactors Performance &amp; Goals supports alignment of individual goals with organizational objectives, performance reviews, competency assessment and calibration [13]. For automotive roles, goals should connect to controllable outcomes and reinforce safety and quality rather than reward speed alone.</w:t>
      </w:r>
    </w:p>
    <w:p>
      <w:r>
        <w:t>Examples include: a maintenance technician’s planned-maintenance compliance and quality of root-cause documentation; a quality engineer’s closure of corrective actions and recurrence prevention; a team leader’s safety observations, training coverage, attendance support and first-pass yield; and a recruiter’s time-to-fill combined with offer acceptance and 90-day retention. Avoid incentives that encourage under-reporting incidents, rushing training or rejecting candidates unfairly. Use calibration guidance and evidence-based manager training to reduce inconsistent ratings.</w:t>
      </w:r>
    </w:p>
    <w:p>
      <w:pPr>
        <w:pStyle w:val="Heading2"/>
      </w:pPr>
      <w:r>
        <w:t>3.6 Succession &amp; Development: reduce critical-role dependency</w:t>
      </w:r>
    </w:p>
    <w:p>
      <w:r>
        <w:t>SAP SuccessFactors Succession &amp; Development supports succession planning, career development and role-readiness activities [14]. The organization should identify roles whose vacancy would materially affect safety, production continuity, product launch, customer quality or regulatory compliance. Examples may include a plant maintenance lead, battery safety specialist, tooling expert, senior quality engineer, launch manager and key production supervisor.</w:t>
      </w:r>
    </w:p>
    <w:p>
      <w:r>
        <w:t>For each role, define the required capabilities and the evidence of readiness. Identify interim cover and potential successors, but distinguish ‘identified’ from ‘ready now’, ‘ready in 1–2 years’ and ‘longer-term potential’. Assign development actions such as cross-plant assignments, mentoring, project leadership, supervised technical sign-off and knowledge capture. Succession discussions must be confidential, fair and reviewed for bias; they should not become promises of promotion.</w:t>
      </w:r>
    </w:p>
    <w:p>
      <w:pPr>
        <w:pStyle w:val="Heading2"/>
      </w:pPr>
      <w:r>
        <w:t>3.7 Compensation: retention with governance and fairness</w:t>
      </w:r>
    </w:p>
    <w:p>
      <w:r>
        <w:t>SAP SuccessFactors Compensation supports compensation planning and management, reward and recognition, variable pay and integration with Employee Central [15]. Use it to improve consistency and visibility, not as a stand-alone retention solution. Define pay ranges and approval rules for scarce skills, review internal equity and market positioning, and document how variable pay aligns with quality, safety, delivery and team outcomes.</w:t>
      </w:r>
    </w:p>
    <w:p>
      <w:r>
        <w:t>For scarce EV, software and automation talent, retention may require a combination of competitive pay, meaningful technical work, learning access, career paths, flexible arrangements where feasible and strong managers. Conduct regular pay-equity reviews and examine whether shift, location, gender or employment-type patterns create unexplained differences. Any incentive design should avoid rewarding output in ways that undermine safety, product quality or collaboration.</w:t>
      </w:r>
    </w:p>
    <w:p>
      <w:pPr>
        <w:pStyle w:val="Heading2"/>
      </w:pPr>
      <w:r>
        <w:t>3.8 People analytics and workforce planning: turn records into decisions</w:t>
      </w:r>
    </w:p>
    <w:p>
      <w:r>
        <w:t>Analytics should combine recruiting, onboarding, learning, performance, succession and workforce data into a management view. A minimum dashboard should show hiring funnel, source quality, vacancies by criticality, early attrition, skills gaps, mandatory learning status, time to proficiency, internal fill, successor readiness and absence/turnover patterns. Data should be segmented by site, job family, shift, manager and relevant workforce group where lawful and statistically meaningful.</w:t>
      </w:r>
    </w:p>
    <w:p>
      <w:r>
        <w:t>Monthly operational reviews should identify exceptions; quarterly workforce-planning sessions should test future scenarios. Example: if a new EV line is delayed, how many hires can be deferred, which employees can be redeployed and which training remains valuable? If several experienced technicians may retire within two years, which knowledge-transfer actions must start now? Analytics should be used to ask better questions, not to automate high-stakes employment decisions without human review.</w:t>
      </w:r>
    </w:p>
    <w:p>
      <w:pPr>
        <w:pStyle w:val="Heading2"/>
      </w:pPr>
      <w:r>
        <w:t>3.9 End-to-end process and data flow</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512"/>
            <w:vAlign w:val="center"/>
            <w:shd w:fill="17365D"/>
          </w:tcPr>
          <w:p>
            <w:pPr>
              <w:spacing w:after="20" w:before="20"/>
            </w:pPr>
            <w:r/>
            <w:r>
              <w:rPr>
                <w:rFonts w:ascii="Aptos" w:hAnsi="Aptos"/>
                <w:b/>
                <w:color w:val="FFFFFF"/>
                <w:sz w:val="15"/>
              </w:rPr>
              <w:t>Stage</w:t>
            </w:r>
          </w:p>
        </w:tc>
        <w:tc>
          <w:tcPr>
            <w:tcW w:type="dxa" w:w="2592"/>
            <w:vAlign w:val="center"/>
            <w:shd w:fill="17365D"/>
          </w:tcPr>
          <w:p>
            <w:pPr>
              <w:spacing w:after="20" w:before="20"/>
            </w:pPr>
            <w:r/>
            <w:r>
              <w:rPr>
                <w:rFonts w:ascii="Aptos" w:hAnsi="Aptos"/>
                <w:b/>
                <w:color w:val="FFFFFF"/>
                <w:sz w:val="15"/>
              </w:rPr>
              <w:t>System/process role</w:t>
            </w:r>
          </w:p>
        </w:tc>
        <w:tc>
          <w:tcPr>
            <w:tcW w:type="dxa" w:w="3240"/>
            <w:vAlign w:val="center"/>
            <w:shd w:fill="17365D"/>
          </w:tcPr>
          <w:p>
            <w:pPr>
              <w:spacing w:after="20" w:before="20"/>
            </w:pPr>
            <w:r/>
            <w:r>
              <w:rPr>
                <w:rFonts w:ascii="Aptos" w:hAnsi="Aptos"/>
                <w:b/>
                <w:color w:val="FFFFFF"/>
                <w:sz w:val="15"/>
              </w:rPr>
              <w:t>Required hand-off / control</w:t>
            </w:r>
          </w:p>
        </w:tc>
        <w:tc>
          <w:tcPr>
            <w:tcW w:type="dxa" w:w="1944"/>
            <w:vAlign w:val="center"/>
            <w:shd w:fill="17365D"/>
          </w:tcPr>
          <w:p>
            <w:pPr>
              <w:spacing w:after="20" w:before="20"/>
            </w:pPr>
            <w:r/>
            <w:r>
              <w:rPr>
                <w:rFonts w:ascii="Aptos" w:hAnsi="Aptos"/>
                <w:b/>
                <w:color w:val="FFFFFF"/>
                <w:sz w:val="15"/>
              </w:rPr>
              <w:t>Outcome evidence</w:t>
            </w:r>
          </w:p>
        </w:tc>
      </w:tr>
      <w:tr>
        <w:tc>
          <w:tcPr>
            <w:tcW w:type="dxa" w:w="1512"/>
            <w:vAlign w:val="center"/>
          </w:tcPr>
          <w:p>
            <w:pPr>
              <w:spacing w:after="20" w:before="20"/>
            </w:pPr>
            <w:r/>
            <w:r>
              <w:rPr>
                <w:rFonts w:ascii="Aptos" w:hAnsi="Aptos"/>
                <w:b w:val="0"/>
                <w:sz w:val="15"/>
              </w:rPr>
              <w:t>Workforce demand</w:t>
            </w:r>
          </w:p>
        </w:tc>
        <w:tc>
          <w:tcPr>
            <w:tcW w:type="dxa" w:w="2592"/>
            <w:vAlign w:val="center"/>
          </w:tcPr>
          <w:p>
            <w:pPr>
              <w:spacing w:after="20" w:before="20"/>
            </w:pPr>
            <w:r/>
            <w:r>
              <w:rPr>
                <w:rFonts w:ascii="Aptos" w:hAnsi="Aptos"/>
                <w:b w:val="0"/>
                <w:sz w:val="15"/>
              </w:rPr>
              <w:t>Quarterly planning using workforce and business data</w:t>
            </w:r>
          </w:p>
        </w:tc>
        <w:tc>
          <w:tcPr>
            <w:tcW w:type="dxa" w:w="3240"/>
            <w:vAlign w:val="center"/>
          </w:tcPr>
          <w:p>
            <w:pPr>
              <w:spacing w:after="20" w:before="20"/>
            </w:pPr>
            <w:r/>
            <w:r>
              <w:rPr>
                <w:rFonts w:ascii="Aptos" w:hAnsi="Aptos"/>
                <w:b w:val="0"/>
                <w:sz w:val="15"/>
              </w:rPr>
              <w:t>Finance-approved headcount; operations validates timing and skills</w:t>
            </w:r>
          </w:p>
        </w:tc>
        <w:tc>
          <w:tcPr>
            <w:tcW w:type="dxa" w:w="1944"/>
            <w:vAlign w:val="center"/>
          </w:tcPr>
          <w:p>
            <w:pPr>
              <w:spacing w:after="20" w:before="20"/>
            </w:pPr>
            <w:r/>
            <w:r>
              <w:rPr>
                <w:rFonts w:ascii="Aptos" w:hAnsi="Aptos"/>
                <w:b w:val="0"/>
                <w:sz w:val="15"/>
              </w:rPr>
              <w:t>Approved demand by role, site and date</w:t>
            </w:r>
          </w:p>
        </w:tc>
      </w:tr>
      <w:tr>
        <w:tc>
          <w:tcPr>
            <w:tcW w:type="dxa" w:w="1512"/>
            <w:vAlign w:val="center"/>
            <w:shd w:fill="EAF1F7"/>
          </w:tcPr>
          <w:p>
            <w:pPr>
              <w:spacing w:after="20" w:before="20"/>
            </w:pPr>
            <w:r/>
            <w:r>
              <w:rPr>
                <w:rFonts w:ascii="Aptos" w:hAnsi="Aptos"/>
                <w:b w:val="0"/>
                <w:sz w:val="15"/>
              </w:rPr>
              <w:t>Recruitment</w:t>
            </w:r>
          </w:p>
        </w:tc>
        <w:tc>
          <w:tcPr>
            <w:tcW w:type="dxa" w:w="2592"/>
            <w:vAlign w:val="center"/>
            <w:shd w:fill="EAF1F7"/>
          </w:tcPr>
          <w:p>
            <w:pPr>
              <w:spacing w:after="20" w:before="20"/>
            </w:pPr>
            <w:r/>
            <w:r>
              <w:rPr>
                <w:rFonts w:ascii="Aptos" w:hAnsi="Aptos"/>
                <w:b w:val="0"/>
                <w:sz w:val="15"/>
              </w:rPr>
              <w:t>Recruiting manages requisition, sourcing, assessment and offer</w:t>
            </w:r>
          </w:p>
        </w:tc>
        <w:tc>
          <w:tcPr>
            <w:tcW w:type="dxa" w:w="3240"/>
            <w:vAlign w:val="center"/>
            <w:shd w:fill="EAF1F7"/>
          </w:tcPr>
          <w:p>
            <w:pPr>
              <w:spacing w:after="20" w:before="20"/>
            </w:pPr>
            <w:r/>
            <w:r>
              <w:rPr>
                <w:rFonts w:ascii="Aptos" w:hAnsi="Aptos"/>
                <w:b w:val="0"/>
                <w:sz w:val="15"/>
              </w:rPr>
              <w:t>Structured scorecards; documented approvals; privacy and retention rules</w:t>
            </w:r>
          </w:p>
        </w:tc>
        <w:tc>
          <w:tcPr>
            <w:tcW w:type="dxa" w:w="1944"/>
            <w:vAlign w:val="center"/>
            <w:shd w:fill="EAF1F7"/>
          </w:tcPr>
          <w:p>
            <w:pPr>
              <w:spacing w:after="20" w:before="20"/>
            </w:pPr>
            <w:r/>
            <w:r>
              <w:rPr>
                <w:rFonts w:ascii="Aptos" w:hAnsi="Aptos"/>
                <w:b w:val="0"/>
                <w:sz w:val="15"/>
              </w:rPr>
              <w:t>Funnel metrics, assessment evidence, offer acceptance</w:t>
            </w:r>
          </w:p>
        </w:tc>
      </w:tr>
      <w:tr>
        <w:tc>
          <w:tcPr>
            <w:tcW w:type="dxa" w:w="1512"/>
            <w:vAlign w:val="center"/>
          </w:tcPr>
          <w:p>
            <w:pPr>
              <w:spacing w:after="20" w:before="20"/>
            </w:pPr>
            <w:r/>
            <w:r>
              <w:rPr>
                <w:rFonts w:ascii="Aptos" w:hAnsi="Aptos"/>
                <w:b w:val="0"/>
                <w:sz w:val="15"/>
              </w:rPr>
              <w:t>Preboarding / onboarding</w:t>
            </w:r>
          </w:p>
        </w:tc>
        <w:tc>
          <w:tcPr>
            <w:tcW w:type="dxa" w:w="2592"/>
            <w:vAlign w:val="center"/>
          </w:tcPr>
          <w:p>
            <w:pPr>
              <w:spacing w:after="20" w:before="20"/>
            </w:pPr>
            <w:r/>
            <w:r>
              <w:rPr>
                <w:rFonts w:ascii="Aptos" w:hAnsi="Aptos"/>
                <w:b w:val="0"/>
                <w:sz w:val="15"/>
              </w:rPr>
              <w:t>Onboarding coordinates tasks and links to employee record</w:t>
            </w:r>
          </w:p>
        </w:tc>
        <w:tc>
          <w:tcPr>
            <w:tcW w:type="dxa" w:w="3240"/>
            <w:vAlign w:val="center"/>
          </w:tcPr>
          <w:p>
            <w:pPr>
              <w:spacing w:after="20" w:before="20"/>
            </w:pPr>
            <w:r/>
            <w:r>
              <w:rPr>
                <w:rFonts w:ascii="Aptos" w:hAnsi="Aptos"/>
                <w:b w:val="0"/>
                <w:sz w:val="15"/>
              </w:rPr>
              <w:t>Correct role/site programme; equipment and access readiness; safety gate</w:t>
            </w:r>
          </w:p>
        </w:tc>
        <w:tc>
          <w:tcPr>
            <w:tcW w:type="dxa" w:w="1944"/>
            <w:vAlign w:val="center"/>
          </w:tcPr>
          <w:p>
            <w:pPr>
              <w:spacing w:after="20" w:before="20"/>
            </w:pPr>
            <w:r/>
            <w:r>
              <w:rPr>
                <w:rFonts w:ascii="Aptos" w:hAnsi="Aptos"/>
                <w:b w:val="0"/>
                <w:sz w:val="15"/>
              </w:rPr>
              <w:t>Task completion, day-one readiness, safety authorization</w:t>
            </w:r>
          </w:p>
        </w:tc>
      </w:tr>
      <w:tr>
        <w:tc>
          <w:tcPr>
            <w:tcW w:type="dxa" w:w="1512"/>
            <w:vAlign w:val="center"/>
            <w:shd w:fill="EAF1F7"/>
          </w:tcPr>
          <w:p>
            <w:pPr>
              <w:spacing w:after="20" w:before="20"/>
            </w:pPr>
            <w:r/>
            <w:r>
              <w:rPr>
                <w:rFonts w:ascii="Aptos" w:hAnsi="Aptos"/>
                <w:b w:val="0"/>
                <w:sz w:val="15"/>
              </w:rPr>
              <w:t>Development</w:t>
            </w:r>
          </w:p>
        </w:tc>
        <w:tc>
          <w:tcPr>
            <w:tcW w:type="dxa" w:w="2592"/>
            <w:vAlign w:val="center"/>
            <w:shd w:fill="EAF1F7"/>
          </w:tcPr>
          <w:p>
            <w:pPr>
              <w:spacing w:after="20" w:before="20"/>
            </w:pPr>
            <w:r/>
            <w:r>
              <w:rPr>
                <w:rFonts w:ascii="Aptos" w:hAnsi="Aptos"/>
                <w:b w:val="0"/>
                <w:sz w:val="15"/>
              </w:rPr>
              <w:t>Learning assigns curricula; managers verify workplace competence</w:t>
            </w:r>
          </w:p>
        </w:tc>
        <w:tc>
          <w:tcPr>
            <w:tcW w:type="dxa" w:w="3240"/>
            <w:vAlign w:val="center"/>
            <w:shd w:fill="EAF1F7"/>
          </w:tcPr>
          <w:p>
            <w:pPr>
              <w:spacing w:after="20" w:before="20"/>
            </w:pPr>
            <w:r/>
            <w:r>
              <w:rPr>
                <w:rFonts w:ascii="Aptos" w:hAnsi="Aptos"/>
                <w:b w:val="0"/>
                <w:sz w:val="15"/>
              </w:rPr>
              <w:t>Prerequisites, assessments, expiry/retraining rules where applicable</w:t>
            </w:r>
          </w:p>
        </w:tc>
        <w:tc>
          <w:tcPr>
            <w:tcW w:type="dxa" w:w="1944"/>
            <w:vAlign w:val="center"/>
            <w:shd w:fill="EAF1F7"/>
          </w:tcPr>
          <w:p>
            <w:pPr>
              <w:spacing w:after="20" w:before="20"/>
            </w:pPr>
            <w:r/>
            <w:r>
              <w:rPr>
                <w:rFonts w:ascii="Aptos" w:hAnsi="Aptos"/>
                <w:b w:val="0"/>
                <w:sz w:val="15"/>
              </w:rPr>
              <w:t>Verified skill level and time to proficiency</w:t>
            </w:r>
          </w:p>
        </w:tc>
      </w:tr>
      <w:tr>
        <w:tc>
          <w:tcPr>
            <w:tcW w:type="dxa" w:w="1512"/>
            <w:vAlign w:val="center"/>
          </w:tcPr>
          <w:p>
            <w:pPr>
              <w:spacing w:after="20" w:before="20"/>
            </w:pPr>
            <w:r/>
            <w:r>
              <w:rPr>
                <w:rFonts w:ascii="Aptos" w:hAnsi="Aptos"/>
                <w:b w:val="0"/>
                <w:sz w:val="15"/>
              </w:rPr>
              <w:t>Performance and mobility</w:t>
            </w:r>
          </w:p>
        </w:tc>
        <w:tc>
          <w:tcPr>
            <w:tcW w:type="dxa" w:w="2592"/>
            <w:vAlign w:val="center"/>
          </w:tcPr>
          <w:p>
            <w:pPr>
              <w:spacing w:after="20" w:before="20"/>
            </w:pPr>
            <w:r/>
            <w:r>
              <w:rPr>
                <w:rFonts w:ascii="Aptos" w:hAnsi="Aptos"/>
                <w:b w:val="0"/>
                <w:sz w:val="15"/>
              </w:rPr>
              <w:t>Goals/reviews inform development and internal opportunities</w:t>
            </w:r>
          </w:p>
        </w:tc>
        <w:tc>
          <w:tcPr>
            <w:tcW w:type="dxa" w:w="3240"/>
            <w:vAlign w:val="center"/>
          </w:tcPr>
          <w:p>
            <w:pPr>
              <w:spacing w:after="20" w:before="20"/>
            </w:pPr>
            <w:r/>
            <w:r>
              <w:rPr>
                <w:rFonts w:ascii="Aptos" w:hAnsi="Aptos"/>
                <w:b w:val="0"/>
                <w:sz w:val="15"/>
              </w:rPr>
              <w:t>Fair review, transparent eligibility, calibration and employee discussion</w:t>
            </w:r>
          </w:p>
        </w:tc>
        <w:tc>
          <w:tcPr>
            <w:tcW w:type="dxa" w:w="1944"/>
            <w:vAlign w:val="center"/>
          </w:tcPr>
          <w:p>
            <w:pPr>
              <w:spacing w:after="20" w:before="20"/>
            </w:pPr>
            <w:r/>
            <w:r>
              <w:rPr>
                <w:rFonts w:ascii="Aptos" w:hAnsi="Aptos"/>
                <w:b w:val="0"/>
                <w:sz w:val="15"/>
              </w:rPr>
              <w:t>Goal progress, internal fill, development completion</w:t>
            </w:r>
          </w:p>
        </w:tc>
      </w:tr>
      <w:tr>
        <w:tc>
          <w:tcPr>
            <w:tcW w:type="dxa" w:w="1512"/>
            <w:vAlign w:val="center"/>
            <w:shd w:fill="EAF1F7"/>
          </w:tcPr>
          <w:p>
            <w:pPr>
              <w:spacing w:after="20" w:before="20"/>
            </w:pPr>
            <w:r/>
            <w:r>
              <w:rPr>
                <w:rFonts w:ascii="Aptos" w:hAnsi="Aptos"/>
                <w:b w:val="0"/>
                <w:sz w:val="15"/>
              </w:rPr>
              <w:t>Succession and retention</w:t>
            </w:r>
          </w:p>
        </w:tc>
        <w:tc>
          <w:tcPr>
            <w:tcW w:type="dxa" w:w="2592"/>
            <w:vAlign w:val="center"/>
            <w:shd w:fill="EAF1F7"/>
          </w:tcPr>
          <w:p>
            <w:pPr>
              <w:spacing w:after="20" w:before="20"/>
            </w:pPr>
            <w:r/>
            <w:r>
              <w:rPr>
                <w:rFonts w:ascii="Aptos" w:hAnsi="Aptos"/>
                <w:b w:val="0"/>
                <w:sz w:val="15"/>
              </w:rPr>
              <w:t>Succession plans, career actions and reward review</w:t>
            </w:r>
          </w:p>
        </w:tc>
        <w:tc>
          <w:tcPr>
            <w:tcW w:type="dxa" w:w="3240"/>
            <w:vAlign w:val="center"/>
            <w:shd w:fill="EAF1F7"/>
          </w:tcPr>
          <w:p>
            <w:pPr>
              <w:spacing w:after="20" w:before="20"/>
            </w:pPr>
            <w:r/>
            <w:r>
              <w:rPr>
                <w:rFonts w:ascii="Aptos" w:hAnsi="Aptos"/>
                <w:b w:val="0"/>
                <w:sz w:val="15"/>
              </w:rPr>
              <w:t>Critical-role governance; readiness validation; pay-equity review</w:t>
            </w:r>
          </w:p>
        </w:tc>
        <w:tc>
          <w:tcPr>
            <w:tcW w:type="dxa" w:w="1944"/>
            <w:vAlign w:val="center"/>
            <w:shd w:fill="EAF1F7"/>
          </w:tcPr>
          <w:p>
            <w:pPr>
              <w:spacing w:after="20" w:before="20"/>
            </w:pPr>
            <w:r/>
            <w:r>
              <w:rPr>
                <w:rFonts w:ascii="Aptos" w:hAnsi="Aptos"/>
                <w:b w:val="0"/>
                <w:sz w:val="15"/>
              </w:rPr>
              <w:t>Coverage, readiness, regretted attrition trends</w:t>
            </w:r>
          </w:p>
        </w:tc>
      </w:tr>
      <w:tr>
        <w:tc>
          <w:tcPr>
            <w:tcW w:type="dxa" w:w="1512"/>
            <w:vAlign w:val="center"/>
          </w:tcPr>
          <w:p>
            <w:pPr>
              <w:spacing w:after="20" w:before="20"/>
            </w:pPr>
            <w:r/>
            <w:r>
              <w:rPr>
                <w:rFonts w:ascii="Aptos" w:hAnsi="Aptos"/>
                <w:b w:val="0"/>
                <w:sz w:val="15"/>
              </w:rPr>
              <w:t>Analytics and improvement</w:t>
            </w:r>
          </w:p>
        </w:tc>
        <w:tc>
          <w:tcPr>
            <w:tcW w:type="dxa" w:w="2592"/>
            <w:vAlign w:val="center"/>
          </w:tcPr>
          <w:p>
            <w:pPr>
              <w:spacing w:after="20" w:before="20"/>
            </w:pPr>
            <w:r/>
            <w:r>
              <w:rPr>
                <w:rFonts w:ascii="Aptos" w:hAnsi="Aptos"/>
                <w:b w:val="0"/>
                <w:sz w:val="15"/>
              </w:rPr>
              <w:t>Dashboards compare outcomes against baselines</w:t>
            </w:r>
          </w:p>
        </w:tc>
        <w:tc>
          <w:tcPr>
            <w:tcW w:type="dxa" w:w="3240"/>
            <w:vAlign w:val="center"/>
          </w:tcPr>
          <w:p>
            <w:pPr>
              <w:spacing w:after="20" w:before="20"/>
            </w:pPr>
            <w:r/>
            <w:r>
              <w:rPr>
                <w:rFonts w:ascii="Aptos" w:hAnsi="Aptos"/>
                <w:b w:val="0"/>
                <w:sz w:val="15"/>
              </w:rPr>
              <w:t>Named data owners; monthly and quarterly review cadence</w:t>
            </w:r>
          </w:p>
        </w:tc>
        <w:tc>
          <w:tcPr>
            <w:tcW w:type="dxa" w:w="1944"/>
            <w:vAlign w:val="center"/>
          </w:tcPr>
          <w:p>
            <w:pPr>
              <w:spacing w:after="20" w:before="20"/>
            </w:pPr>
            <w:r/>
            <w:r>
              <w:rPr>
                <w:rFonts w:ascii="Aptos" w:hAnsi="Aptos"/>
                <w:b w:val="0"/>
                <w:sz w:val="15"/>
              </w:rPr>
              <w:t>Decisions, corrective actions and benefits tracking</w:t>
            </w:r>
          </w:p>
        </w:tc>
      </w:tr>
    </w:tbl>
    <w:p/>
    <w:p>
      <w:r>
        <w:br w:type="page"/>
      </w:r>
    </w:p>
    <w:p>
      <w:pPr>
        <w:pStyle w:val="Heading1"/>
      </w:pPr>
      <w:r>
        <w:t>4. Proposed Strategic Initiatives</w:t>
      </w:r>
    </w:p>
    <w:p>
      <w:pPr>
        <w:pStyle w:val="Heading2"/>
      </w:pPr>
      <w:r>
        <w:t>Initiative 1: Critical-role workforce planning and skills taxonomy</w:t>
      </w:r>
    </w:p>
    <w:p>
      <w:r>
        <w:t>Action: During the first 90 days, select 10–15 priority job families and create a controlled skills taxonomy with four proficiency levels. Combine product/launch plans, vacancy history, turnover, retirement risk and manager interviews to estimate demand. For each gap, document whether the preferred response is build, buy, borrow, automate or redesign.</w:t>
      </w:r>
    </w:p>
    <w:p>
      <w:r>
        <w:t>Success measure: 100% of selected priority roles have approved skill definitions and demand assumptions by day 90; quarterly forecast variance is tracked and explained. Expected impact: fewer reactive requisitions, better timing of training and improved visibility into roles where internal development is feasible.</w:t>
      </w:r>
    </w:p>
    <w:p>
      <w:pPr>
        <w:pStyle w:val="Heading2"/>
      </w:pPr>
      <w:r>
        <w:t>Initiative 2: Evidence-based recruiting for scarce and high-volume roles</w:t>
      </w:r>
    </w:p>
    <w:p>
      <w:r>
        <w:t>Action: Standardize requisition templates, approval service levels, interview scorecards and candidate communications. Use practical work samples for technician/production roles and structured technical assessments for specialist roles. Create candidate pools for EV, automation, embedded software, quality and maintenance. Establish partnerships with ITIs, polytechnics and engineering institutions, including apprenticeship routes where appropriate.</w:t>
      </w:r>
    </w:p>
    <w:p>
      <w:r>
        <w:t>Success measure: 10–15% lower median time-to-fill for selected roles within 12 months, while monitoring offer acceptance, candidate withdrawal, hiring-manager satisfaction and 90-day retention. Expected impact: improved predictability and candidate fit, rather than simply more applications.</w:t>
      </w:r>
    </w:p>
    <w:p>
      <w:pPr>
        <w:pStyle w:val="Heading2"/>
      </w:pPr>
      <w:r>
        <w:t>Initiative 3: Role-specific onboarding and first-90-day retention</w:t>
      </w:r>
    </w:p>
    <w:p>
      <w:r>
        <w:t>Action: Configure different onboarding journeys by site, job code and employee group. Introduce preboarding, a named buddy, a supervisor check-in, a skills checklist, and structured 30/60/90-day conversations. Collect feedback on whether the actual job, shift, travel/transport expectations, training and manager support match what was communicated during recruitment.</w:t>
      </w:r>
    </w:p>
    <w:p>
      <w:r>
        <w:t>Success measure: improve 90-day retention by five percentage points against the baseline, reduce incomplete onboarding tasks and improve time-to-proficiency. Review outcomes separately for roles, shifts and sites; avoid attributing all exits to onboarding where pay, housing, transport or working conditions may be responsible.</w:t>
      </w:r>
    </w:p>
    <w:p>
      <w:pPr>
        <w:pStyle w:val="Heading2"/>
      </w:pPr>
      <w:r>
        <w:t>Initiative 4: EV, automation and quality capability academy</w:t>
      </w:r>
    </w:p>
    <w:p>
      <w:r>
        <w:t>Action: Build modular curricula that combine classroom/digital learning with supervised practice and assessment. Start with a pilot cohort in one plant or job family. Use internal subject-matter experts and vetted external partners. Set formal safety authorization requirements for high-voltage or other safety-critical tasks and maintain a register of valid competence evidence.</w:t>
      </w:r>
    </w:p>
    <w:p>
      <w:r>
        <w:t>Success measure: close 60% of identified priority skill gaps within 12 months; achieve 100% mandatory safety-learning completion before authorization for relevant work; track assessment pass rates, rework and downtime as contextual outcome measures. Expected impact: stronger internal supply of capabilities and less reliance on external recruitment for every new technology.</w:t>
      </w:r>
    </w:p>
    <w:p>
      <w:pPr>
        <w:pStyle w:val="Heading2"/>
      </w:pPr>
      <w:r>
        <w:t>Initiative 5: Career pathways, internal mobility and critical-role succession</w:t>
      </w:r>
    </w:p>
    <w:p>
      <w:r>
        <w:t>Action: Publish role pathways such as operator → senior operator → team leader; technician → senior technician → maintenance specialist; quality engineer → senior quality engineer → quality manager; and software engineer → technical specialist/architect. Link pathways to capability criteria, learning and supervised assignments. Review critical roles quarterly and capture tacit knowledge from experienced employees through mentoring, standard work and recorded technical walkthroughs where permitted.</w:t>
      </w:r>
    </w:p>
    <w:p>
      <w:r>
        <w:t>Success measure: increase internal-fill rate for selected roles by five percentage points over baseline; ensure at least one named successor for 70% of priority roles, while separately tracking readiness level. Expected impact: improved career visibility, reduced single-person dependency and stronger retention of employees who want to grow.</w:t>
      </w:r>
    </w:p>
    <w:p>
      <w:pPr>
        <w:pStyle w:val="Heading2"/>
      </w:pPr>
      <w:r>
        <w:t>Initiative 6: Manager capability and employee listening</w:t>
      </w:r>
    </w:p>
    <w:p>
      <w:r>
        <w:t>Action: Train managers in structured feedback, fair selection, coaching, stay conversations and evidence-based performance reviews. Run brief pulse surveys at onboarding day 30 and day 90, then quarterly for priority groups. Combine survey results with interviews and exit themes; protect confidentiality and avoid reporting very small groups where individuals could be identifiable.</w:t>
      </w:r>
    </w:p>
    <w:p>
      <w:r>
        <w:t>Success measure: manager check-in completion, employee clarity about role expectations, development-plan completion, and action closure from listening data. Expected impact: better early issue detection and more consistent employee experience across plants.</w:t>
      </w:r>
    </w:p>
    <w:p>
      <w:pPr>
        <w:pStyle w:val="Heading2"/>
      </w:pPr>
      <w:r>
        <w:t>Initiative 7: Reward and recognition for critical skills and desired behaviours</w:t>
      </w:r>
    </w:p>
    <w:p>
      <w:r>
        <w:t>Action: Review market competitiveness and internal equity for priority roles. Where budgets permit, use targeted skill premiums, certification recognition, team-based quality awards or retention measures with transparent eligibility and governance. Balance output with safety, quality, learning and teamwork.</w:t>
      </w:r>
    </w:p>
    <w:p>
      <w:r>
        <w:t>Success measure: regretted attrition in priority roles, pay-equity review completion, reward-cycle accuracy and employee understanding of reward criteria. Expected impact: more credible retention strategy without relying on compensation as the only lever.</w:t>
      </w:r>
    </w:p>
    <w:p>
      <w:pPr>
        <w:pStyle w:val="Heading1"/>
      </w:pPr>
      <w:r>
        <w:t>5. Implementation Roadmap and Governance</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656"/>
            <w:vAlign w:val="center"/>
            <w:shd w:fill="17365D"/>
          </w:tcPr>
          <w:p>
            <w:pPr>
              <w:spacing w:after="20" w:before="20"/>
            </w:pPr>
            <w:r/>
            <w:r>
              <w:rPr>
                <w:rFonts w:ascii="Aptos" w:hAnsi="Aptos"/>
                <w:b/>
                <w:color w:val="FFFFFF"/>
                <w:sz w:val="14"/>
              </w:rPr>
              <w:t>Phase</w:t>
            </w:r>
          </w:p>
        </w:tc>
        <w:tc>
          <w:tcPr>
            <w:tcW w:type="dxa" w:w="1224"/>
            <w:vAlign w:val="center"/>
            <w:shd w:fill="17365D"/>
          </w:tcPr>
          <w:p>
            <w:pPr>
              <w:spacing w:after="20" w:before="20"/>
            </w:pPr>
            <w:r/>
            <w:r>
              <w:rPr>
                <w:rFonts w:ascii="Aptos" w:hAnsi="Aptos"/>
                <w:b/>
                <w:color w:val="FFFFFF"/>
                <w:sz w:val="14"/>
              </w:rPr>
              <w:t>Timing</w:t>
            </w:r>
          </w:p>
        </w:tc>
        <w:tc>
          <w:tcPr>
            <w:tcW w:type="dxa" w:w="3384"/>
            <w:vAlign w:val="center"/>
            <w:shd w:fill="17365D"/>
          </w:tcPr>
          <w:p>
            <w:pPr>
              <w:spacing w:after="20" w:before="20"/>
            </w:pPr>
            <w:r/>
            <w:r>
              <w:rPr>
                <w:rFonts w:ascii="Aptos" w:hAnsi="Aptos"/>
                <w:b/>
                <w:color w:val="FFFFFF"/>
                <w:sz w:val="14"/>
              </w:rPr>
              <w:t>Key deliverables</w:t>
            </w:r>
          </w:p>
        </w:tc>
        <w:tc>
          <w:tcPr>
            <w:tcW w:type="dxa" w:w="2088"/>
            <w:vAlign w:val="center"/>
            <w:shd w:fill="17365D"/>
          </w:tcPr>
          <w:p>
            <w:pPr>
              <w:spacing w:after="20" w:before="20"/>
            </w:pPr>
            <w:r/>
            <w:r>
              <w:rPr>
                <w:rFonts w:ascii="Aptos" w:hAnsi="Aptos"/>
                <w:b/>
                <w:color w:val="FFFFFF"/>
                <w:sz w:val="14"/>
              </w:rPr>
              <w:t>Accountable owners</w:t>
            </w:r>
          </w:p>
        </w:tc>
        <w:tc>
          <w:tcPr>
            <w:tcW w:type="dxa" w:w="1944"/>
            <w:vAlign w:val="center"/>
            <w:shd w:fill="17365D"/>
          </w:tcPr>
          <w:p>
            <w:pPr>
              <w:spacing w:after="20" w:before="20"/>
            </w:pPr>
            <w:r/>
            <w:r>
              <w:rPr>
                <w:rFonts w:ascii="Aptos" w:hAnsi="Aptos"/>
                <w:b/>
                <w:color w:val="FFFFFF"/>
                <w:sz w:val="14"/>
              </w:rPr>
              <w:t>Gate to proceed</w:t>
            </w:r>
          </w:p>
        </w:tc>
      </w:tr>
      <w:tr>
        <w:tc>
          <w:tcPr>
            <w:tcW w:type="dxa" w:w="1656"/>
            <w:vAlign w:val="center"/>
          </w:tcPr>
          <w:p>
            <w:pPr>
              <w:spacing w:after="20" w:before="20"/>
            </w:pPr>
            <w:r/>
            <w:r>
              <w:rPr>
                <w:rFonts w:ascii="Aptos" w:hAnsi="Aptos"/>
                <w:b w:val="0"/>
                <w:sz w:val="14"/>
              </w:rPr>
              <w:t>Mobilize and baseline</w:t>
            </w:r>
          </w:p>
        </w:tc>
        <w:tc>
          <w:tcPr>
            <w:tcW w:type="dxa" w:w="1224"/>
            <w:vAlign w:val="center"/>
          </w:tcPr>
          <w:p>
            <w:pPr>
              <w:spacing w:after="20" w:before="20"/>
            </w:pPr>
            <w:r/>
            <w:r>
              <w:rPr>
                <w:rFonts w:ascii="Aptos" w:hAnsi="Aptos"/>
                <w:b w:val="0"/>
                <w:sz w:val="14"/>
              </w:rPr>
              <w:t>Days 1–30</w:t>
            </w:r>
          </w:p>
        </w:tc>
        <w:tc>
          <w:tcPr>
            <w:tcW w:type="dxa" w:w="3384"/>
            <w:vAlign w:val="center"/>
          </w:tcPr>
          <w:p>
            <w:pPr>
              <w:spacing w:after="20" w:before="20"/>
            </w:pPr>
            <w:r/>
            <w:r>
              <w:rPr>
                <w:rFonts w:ascii="Aptos" w:hAnsi="Aptos"/>
                <w:b w:val="0"/>
                <w:sz w:val="14"/>
              </w:rPr>
              <w:t>Executive sponsor; steering group; process map; KPI definitions; data inventory; privacy and security review</w:t>
            </w:r>
          </w:p>
        </w:tc>
        <w:tc>
          <w:tcPr>
            <w:tcW w:type="dxa" w:w="2088"/>
            <w:vAlign w:val="center"/>
          </w:tcPr>
          <w:p>
            <w:pPr>
              <w:spacing w:after="20" w:before="20"/>
            </w:pPr>
            <w:r/>
            <w:r>
              <w:rPr>
                <w:rFonts w:ascii="Aptos" w:hAnsi="Aptos"/>
                <w:b w:val="0"/>
                <w:sz w:val="14"/>
              </w:rPr>
              <w:t>CHRO / HR transformation lead with COO, IT, finance and safety</w:t>
            </w:r>
          </w:p>
        </w:tc>
        <w:tc>
          <w:tcPr>
            <w:tcW w:type="dxa" w:w="1944"/>
            <w:vAlign w:val="center"/>
          </w:tcPr>
          <w:p>
            <w:pPr>
              <w:spacing w:after="20" w:before="20"/>
            </w:pPr>
            <w:r/>
            <w:r>
              <w:rPr>
                <w:rFonts w:ascii="Aptos" w:hAnsi="Aptos"/>
                <w:b w:val="0"/>
                <w:sz w:val="14"/>
              </w:rPr>
              <w:t>Owners named; scope and baseline method approved</w:t>
            </w:r>
          </w:p>
        </w:tc>
      </w:tr>
      <w:tr>
        <w:tc>
          <w:tcPr>
            <w:tcW w:type="dxa" w:w="1656"/>
            <w:vAlign w:val="center"/>
            <w:shd w:fill="EAF1F7"/>
          </w:tcPr>
          <w:p>
            <w:pPr>
              <w:spacing w:after="20" w:before="20"/>
            </w:pPr>
            <w:r/>
            <w:r>
              <w:rPr>
                <w:rFonts w:ascii="Aptos" w:hAnsi="Aptos"/>
                <w:b w:val="0"/>
                <w:sz w:val="14"/>
              </w:rPr>
              <w:t>Design and prepare pilot</w:t>
            </w:r>
          </w:p>
        </w:tc>
        <w:tc>
          <w:tcPr>
            <w:tcW w:type="dxa" w:w="1224"/>
            <w:vAlign w:val="center"/>
            <w:shd w:fill="EAF1F7"/>
          </w:tcPr>
          <w:p>
            <w:pPr>
              <w:spacing w:after="20" w:before="20"/>
            </w:pPr>
            <w:r/>
            <w:r>
              <w:rPr>
                <w:rFonts w:ascii="Aptos" w:hAnsi="Aptos"/>
                <w:b w:val="0"/>
                <w:sz w:val="14"/>
              </w:rPr>
              <w:t>Days 31–90</w:t>
            </w:r>
          </w:p>
        </w:tc>
        <w:tc>
          <w:tcPr>
            <w:tcW w:type="dxa" w:w="3384"/>
            <w:vAlign w:val="center"/>
            <w:shd w:fill="EAF1F7"/>
          </w:tcPr>
          <w:p>
            <w:pPr>
              <w:spacing w:after="20" w:before="20"/>
            </w:pPr>
            <w:r/>
            <w:r>
              <w:rPr>
                <w:rFonts w:ascii="Aptos" w:hAnsi="Aptos"/>
                <w:b w:val="0"/>
                <w:sz w:val="14"/>
              </w:rPr>
              <w:t>10–15 job families; skills taxonomy; future-state workflows; integration map; pilot site/roles; change plan</w:t>
            </w:r>
          </w:p>
        </w:tc>
        <w:tc>
          <w:tcPr>
            <w:tcW w:type="dxa" w:w="2088"/>
            <w:vAlign w:val="center"/>
            <w:shd w:fill="EAF1F7"/>
          </w:tcPr>
          <w:p>
            <w:pPr>
              <w:spacing w:after="20" w:before="20"/>
            </w:pPr>
            <w:r/>
            <w:r>
              <w:rPr>
                <w:rFonts w:ascii="Aptos" w:hAnsi="Aptos"/>
                <w:b w:val="0"/>
                <w:sz w:val="14"/>
              </w:rPr>
              <w:t>HR product owner, plant operations, engineering, safety, IT</w:t>
            </w:r>
          </w:p>
        </w:tc>
        <w:tc>
          <w:tcPr>
            <w:tcW w:type="dxa" w:w="1944"/>
            <w:vAlign w:val="center"/>
            <w:shd w:fill="EAF1F7"/>
          </w:tcPr>
          <w:p>
            <w:pPr>
              <w:spacing w:after="20" w:before="20"/>
            </w:pPr>
            <w:r/>
            <w:r>
              <w:rPr>
                <w:rFonts w:ascii="Aptos" w:hAnsi="Aptos"/>
                <w:b w:val="0"/>
                <w:sz w:val="14"/>
              </w:rPr>
              <w:t>Data quality threshold and pilot acceptance criteria agreed</w:t>
            </w:r>
          </w:p>
        </w:tc>
      </w:tr>
      <w:tr>
        <w:tc>
          <w:tcPr>
            <w:tcW w:type="dxa" w:w="1656"/>
            <w:vAlign w:val="center"/>
          </w:tcPr>
          <w:p>
            <w:pPr>
              <w:spacing w:after="20" w:before="20"/>
            </w:pPr>
            <w:r/>
            <w:r>
              <w:rPr>
                <w:rFonts w:ascii="Aptos" w:hAnsi="Aptos"/>
                <w:b w:val="0"/>
                <w:sz w:val="14"/>
              </w:rPr>
              <w:t>Pilot and learn</w:t>
            </w:r>
          </w:p>
        </w:tc>
        <w:tc>
          <w:tcPr>
            <w:tcW w:type="dxa" w:w="1224"/>
            <w:vAlign w:val="center"/>
          </w:tcPr>
          <w:p>
            <w:pPr>
              <w:spacing w:after="20" w:before="20"/>
            </w:pPr>
            <w:r/>
            <w:r>
              <w:rPr>
                <w:rFonts w:ascii="Aptos" w:hAnsi="Aptos"/>
                <w:b w:val="0"/>
                <w:sz w:val="14"/>
              </w:rPr>
              <w:t>Months 4–6</w:t>
            </w:r>
          </w:p>
        </w:tc>
        <w:tc>
          <w:tcPr>
            <w:tcW w:type="dxa" w:w="3384"/>
            <w:vAlign w:val="center"/>
          </w:tcPr>
          <w:p>
            <w:pPr>
              <w:spacing w:after="20" w:before="20"/>
            </w:pPr>
            <w:r/>
            <w:r>
              <w:rPr>
                <w:rFonts w:ascii="Aptos" w:hAnsi="Aptos"/>
                <w:b w:val="0"/>
                <w:sz w:val="14"/>
              </w:rPr>
              <w:t>Recruiting/onboarding pilot; learning pathway; manager training; dashboard; employee feedback</w:t>
            </w:r>
          </w:p>
        </w:tc>
        <w:tc>
          <w:tcPr>
            <w:tcW w:type="dxa" w:w="2088"/>
            <w:vAlign w:val="center"/>
          </w:tcPr>
          <w:p>
            <w:pPr>
              <w:spacing w:after="20" w:before="20"/>
            </w:pPr>
            <w:r/>
            <w:r>
              <w:rPr>
                <w:rFonts w:ascii="Aptos" w:hAnsi="Aptos"/>
                <w:b w:val="0"/>
                <w:sz w:val="14"/>
              </w:rPr>
              <w:t>Pilot plant manager and HR workstream leads</w:t>
            </w:r>
          </w:p>
        </w:tc>
        <w:tc>
          <w:tcPr>
            <w:tcW w:type="dxa" w:w="1944"/>
            <w:vAlign w:val="center"/>
          </w:tcPr>
          <w:p>
            <w:pPr>
              <w:spacing w:after="20" w:before="20"/>
            </w:pPr>
            <w:r/>
            <w:r>
              <w:rPr>
                <w:rFonts w:ascii="Aptos" w:hAnsi="Aptos"/>
                <w:b w:val="0"/>
                <w:sz w:val="14"/>
              </w:rPr>
              <w:t>Safety controls pass; adoption and data quality acceptable</w:t>
            </w:r>
          </w:p>
        </w:tc>
      </w:tr>
      <w:tr>
        <w:tc>
          <w:tcPr>
            <w:tcW w:type="dxa" w:w="1656"/>
            <w:vAlign w:val="center"/>
            <w:shd w:fill="EAF1F7"/>
          </w:tcPr>
          <w:p>
            <w:pPr>
              <w:spacing w:after="20" w:before="20"/>
            </w:pPr>
            <w:r/>
            <w:r>
              <w:rPr>
                <w:rFonts w:ascii="Aptos" w:hAnsi="Aptos"/>
                <w:b w:val="0"/>
                <w:sz w:val="14"/>
              </w:rPr>
              <w:t>Evaluate and refine</w:t>
            </w:r>
          </w:p>
        </w:tc>
        <w:tc>
          <w:tcPr>
            <w:tcW w:type="dxa" w:w="1224"/>
            <w:vAlign w:val="center"/>
            <w:shd w:fill="EAF1F7"/>
          </w:tcPr>
          <w:p>
            <w:pPr>
              <w:spacing w:after="20" w:before="20"/>
            </w:pPr>
            <w:r/>
            <w:r>
              <w:rPr>
                <w:rFonts w:ascii="Aptos" w:hAnsi="Aptos"/>
                <w:b w:val="0"/>
                <w:sz w:val="14"/>
              </w:rPr>
              <w:t>Months 7–12</w:t>
            </w:r>
          </w:p>
        </w:tc>
        <w:tc>
          <w:tcPr>
            <w:tcW w:type="dxa" w:w="3384"/>
            <w:vAlign w:val="center"/>
            <w:shd w:fill="EAF1F7"/>
          </w:tcPr>
          <w:p>
            <w:pPr>
              <w:spacing w:after="20" w:before="20"/>
            </w:pPr>
            <w:r/>
            <w:r>
              <w:rPr>
                <w:rFonts w:ascii="Aptos" w:hAnsi="Aptos"/>
                <w:b w:val="0"/>
                <w:sz w:val="14"/>
              </w:rPr>
              <w:t>Baseline comparison; root-cause analysis; revised workflows; business case; scale decision</w:t>
            </w:r>
          </w:p>
        </w:tc>
        <w:tc>
          <w:tcPr>
            <w:tcW w:type="dxa" w:w="2088"/>
            <w:vAlign w:val="center"/>
            <w:shd w:fill="EAF1F7"/>
          </w:tcPr>
          <w:p>
            <w:pPr>
              <w:spacing w:after="20" w:before="20"/>
            </w:pPr>
            <w:r/>
            <w:r>
              <w:rPr>
                <w:rFonts w:ascii="Aptos" w:hAnsi="Aptos"/>
                <w:b w:val="0"/>
                <w:sz w:val="14"/>
              </w:rPr>
              <w:t>Steering committee with finance validation</w:t>
            </w:r>
          </w:p>
        </w:tc>
        <w:tc>
          <w:tcPr>
            <w:tcW w:type="dxa" w:w="1944"/>
            <w:vAlign w:val="center"/>
            <w:shd w:fill="EAF1F7"/>
          </w:tcPr>
          <w:p>
            <w:pPr>
              <w:spacing w:after="20" w:before="20"/>
            </w:pPr>
            <w:r/>
            <w:r>
              <w:rPr>
                <w:rFonts w:ascii="Aptos" w:hAnsi="Aptos"/>
                <w:b w:val="0"/>
                <w:sz w:val="14"/>
              </w:rPr>
              <w:t>Evidence of improvement without unacceptable safety, fairness or quality trade-offs</w:t>
            </w:r>
          </w:p>
        </w:tc>
      </w:tr>
      <w:tr>
        <w:tc>
          <w:tcPr>
            <w:tcW w:type="dxa" w:w="1656"/>
            <w:vAlign w:val="center"/>
          </w:tcPr>
          <w:p>
            <w:pPr>
              <w:spacing w:after="20" w:before="20"/>
            </w:pPr>
            <w:r/>
            <w:r>
              <w:rPr>
                <w:rFonts w:ascii="Aptos" w:hAnsi="Aptos"/>
                <w:b w:val="0"/>
                <w:sz w:val="14"/>
              </w:rPr>
              <w:t>Scale and integrate</w:t>
            </w:r>
          </w:p>
        </w:tc>
        <w:tc>
          <w:tcPr>
            <w:tcW w:type="dxa" w:w="1224"/>
            <w:vAlign w:val="center"/>
          </w:tcPr>
          <w:p>
            <w:pPr>
              <w:spacing w:after="20" w:before="20"/>
            </w:pPr>
            <w:r/>
            <w:r>
              <w:rPr>
                <w:rFonts w:ascii="Aptos" w:hAnsi="Aptos"/>
                <w:b w:val="0"/>
                <w:sz w:val="14"/>
              </w:rPr>
              <w:t>Months 13–18</w:t>
            </w:r>
          </w:p>
        </w:tc>
        <w:tc>
          <w:tcPr>
            <w:tcW w:type="dxa" w:w="3384"/>
            <w:vAlign w:val="center"/>
          </w:tcPr>
          <w:p>
            <w:pPr>
              <w:spacing w:after="20" w:before="20"/>
            </w:pPr>
            <w:r/>
            <w:r>
              <w:rPr>
                <w:rFonts w:ascii="Aptos" w:hAnsi="Aptos"/>
                <w:b w:val="0"/>
                <w:sz w:val="14"/>
              </w:rPr>
              <w:t>Additional plants/job families; succession reviews; internal mobility; refined integrations</w:t>
            </w:r>
          </w:p>
        </w:tc>
        <w:tc>
          <w:tcPr>
            <w:tcW w:type="dxa" w:w="2088"/>
            <w:vAlign w:val="center"/>
          </w:tcPr>
          <w:p>
            <w:pPr>
              <w:spacing w:after="20" w:before="20"/>
            </w:pPr>
            <w:r/>
            <w:r>
              <w:rPr>
                <w:rFonts w:ascii="Aptos" w:hAnsi="Aptos"/>
                <w:b w:val="0"/>
                <w:sz w:val="14"/>
              </w:rPr>
              <w:t>Programme director and site leaders</w:t>
            </w:r>
          </w:p>
        </w:tc>
        <w:tc>
          <w:tcPr>
            <w:tcW w:type="dxa" w:w="1944"/>
            <w:vAlign w:val="center"/>
          </w:tcPr>
          <w:p>
            <w:pPr>
              <w:spacing w:after="20" w:before="20"/>
            </w:pPr>
            <w:r/>
            <w:r>
              <w:rPr>
                <w:rFonts w:ascii="Aptos" w:hAnsi="Aptos"/>
                <w:b w:val="0"/>
                <w:sz w:val="14"/>
              </w:rPr>
              <w:t>Local readiness, training and data controls approved</w:t>
            </w:r>
          </w:p>
        </w:tc>
      </w:tr>
      <w:tr>
        <w:tc>
          <w:tcPr>
            <w:tcW w:type="dxa" w:w="1656"/>
            <w:vAlign w:val="center"/>
            <w:shd w:fill="EAF1F7"/>
          </w:tcPr>
          <w:p>
            <w:pPr>
              <w:spacing w:after="20" w:before="20"/>
            </w:pPr>
            <w:r/>
            <w:r>
              <w:rPr>
                <w:rFonts w:ascii="Aptos" w:hAnsi="Aptos"/>
                <w:b w:val="0"/>
                <w:sz w:val="14"/>
              </w:rPr>
              <w:t>Optimize and sustain</w:t>
            </w:r>
          </w:p>
        </w:tc>
        <w:tc>
          <w:tcPr>
            <w:tcW w:type="dxa" w:w="1224"/>
            <w:vAlign w:val="center"/>
            <w:shd w:fill="EAF1F7"/>
          </w:tcPr>
          <w:p>
            <w:pPr>
              <w:spacing w:after="20" w:before="20"/>
            </w:pPr>
            <w:r/>
            <w:r>
              <w:rPr>
                <w:rFonts w:ascii="Aptos" w:hAnsi="Aptos"/>
                <w:b w:val="0"/>
                <w:sz w:val="14"/>
              </w:rPr>
              <w:t>Months 19–24</w:t>
            </w:r>
          </w:p>
        </w:tc>
        <w:tc>
          <w:tcPr>
            <w:tcW w:type="dxa" w:w="3384"/>
            <w:vAlign w:val="center"/>
            <w:shd w:fill="EAF1F7"/>
          </w:tcPr>
          <w:p>
            <w:pPr>
              <w:spacing w:after="20" w:before="20"/>
            </w:pPr>
            <w:r/>
            <w:r>
              <w:rPr>
                <w:rFonts w:ascii="Aptos" w:hAnsi="Aptos"/>
                <w:b w:val="0"/>
                <w:sz w:val="14"/>
              </w:rPr>
              <w:t>Quarterly workforce scenarios; benefits tracking; audit; continuous improvement backlog</w:t>
            </w:r>
          </w:p>
        </w:tc>
        <w:tc>
          <w:tcPr>
            <w:tcW w:type="dxa" w:w="2088"/>
            <w:vAlign w:val="center"/>
            <w:shd w:fill="EAF1F7"/>
          </w:tcPr>
          <w:p>
            <w:pPr>
              <w:spacing w:after="20" w:before="20"/>
            </w:pPr>
            <w:r/>
            <w:r>
              <w:rPr>
                <w:rFonts w:ascii="Aptos" w:hAnsi="Aptos"/>
                <w:b w:val="0"/>
                <w:sz w:val="14"/>
              </w:rPr>
              <w:t>CHRO, COO, finance, IT/security and plant leadership</w:t>
            </w:r>
          </w:p>
        </w:tc>
        <w:tc>
          <w:tcPr>
            <w:tcW w:type="dxa" w:w="1944"/>
            <w:vAlign w:val="center"/>
            <w:shd w:fill="EAF1F7"/>
          </w:tcPr>
          <w:p>
            <w:pPr>
              <w:spacing w:after="20" w:before="20"/>
            </w:pPr>
            <w:r/>
            <w:r>
              <w:rPr>
                <w:rFonts w:ascii="Aptos" w:hAnsi="Aptos"/>
                <w:b w:val="0"/>
                <w:sz w:val="14"/>
              </w:rPr>
              <w:t>Named process owners and annual review cycle established</w:t>
            </w:r>
          </w:p>
        </w:tc>
      </w:tr>
    </w:tbl>
    <w:p/>
    <w:p>
      <w:pPr>
        <w:pStyle w:val="Heading2"/>
      </w:pPr>
      <w:r>
        <w:t>5.1 Governance model</w:t>
      </w:r>
    </w:p>
    <w:p>
      <w:r>
        <w:t>The executive steering committee should meet monthly during the pilot and quarterly after scale-up. It should include HR, plant operations, engineering, safety/quality, finance, IT/security and employee-relations representation where appropriate. A programme management office coordinates milestones, risks, decisions and dependencies. Process owners are responsible for outcomes, not just system configuration.</w:t>
      </w:r>
    </w:p>
    <w:p>
      <w:pPr>
        <w:pStyle w:val="ListBullet"/>
        <w:spacing w:after="40"/>
      </w:pPr>
      <w:r>
        <w:t>HR / CHRO: talent strategy, process ownership, candidate experience, development, succession and workforce reporting.</w:t>
      </w:r>
    </w:p>
    <w:p>
      <w:pPr>
        <w:pStyle w:val="ListBullet"/>
        <w:spacing w:after="40"/>
      </w:pPr>
      <w:r>
        <w:t>Plant and functional leaders: workforce demand, job requirements, supervisor capacity, operational competence and adoption.</w:t>
      </w:r>
    </w:p>
    <w:p>
      <w:pPr>
        <w:pStyle w:val="ListBullet"/>
        <w:spacing w:after="40"/>
      </w:pPr>
      <w:r>
        <w:t>Safety and quality: mandatory learning requirements, practical authorization, auditability and non-negotiable control gates.</w:t>
      </w:r>
    </w:p>
    <w:p>
      <w:pPr>
        <w:pStyle w:val="ListBullet"/>
        <w:spacing w:after="40"/>
      </w:pPr>
      <w:r>
        <w:t>Finance: headcount approvals, benefit validation, cost tracking and compensation budget governance.</w:t>
      </w:r>
    </w:p>
    <w:p>
      <w:pPr>
        <w:pStyle w:val="ListBullet"/>
        <w:spacing w:after="40"/>
      </w:pPr>
      <w:r>
        <w:t>IT, data protection and cybersecurity: architecture, integrations, access controls, data retention, testing and incident response.</w:t>
      </w:r>
    </w:p>
    <w:p>
      <w:pPr>
        <w:pStyle w:val="ListBullet"/>
        <w:spacing w:after="40"/>
      </w:pPr>
      <w:r>
        <w:t>Employees and people managers: feedback, development conversations, accurate records and completion of assigned responsibilities.</w:t>
      </w:r>
    </w:p>
    <w:p>
      <w:pPr>
        <w:pStyle w:val="Heading2"/>
      </w:pPr>
      <w:r>
        <w:t>5.2 Change management and adoption</w:t>
      </w:r>
    </w:p>
    <w:p>
      <w:r>
        <w:t>Communicate what changes for recruiters, managers, employees and shop-floor supervisors—not only what software is being installed. Use role-based demonstrations, short guides, local champions and practice environments. Schedule training across shifts and provide support in relevant languages. Explain how employee data will be used, who can see it and how errors can be corrected. Track adoption through completion of actual workflows, data quality and user feedback rather than login counts alone.</w:t>
      </w:r>
    </w:p>
    <w:p>
      <w:pPr>
        <w:pStyle w:val="Heading2"/>
      </w:pPr>
      <w:r>
        <w:t>5.3 Budget and resourcing principles</w:t>
      </w:r>
    </w:p>
    <w:p>
      <w:r>
        <w:t>A credible budget should be developed after discovery rather than inventing a single cost estimate. Cost categories include SAP subscriptions and any required modules, implementation-partner services, integration and data migration, testing, learning content and equipment, translation, shop-floor access, manager backfill, change management, cybersecurity/privacy work and ongoing product ownership. Finance should compare the total cost of ownership with measurable benefits such as reduced agency spending, lower vacancy duration, fewer repeated HR transactions, reduced early attrition and faster time to competence. Benefits must be validated against baseline data and should not be double-counted.</w:t>
      </w:r>
    </w:p>
    <w:p>
      <w:pPr>
        <w:pStyle w:val="Heading2"/>
      </w:pPr>
      <w:r>
        <w:t>5.4 Measurement design and review cadence</w:t>
      </w:r>
    </w:p>
    <w:p>
      <w:r>
        <w:t>Establish a baseline period—ideally 6–12 months where records are reliable—and define each metric before launch. Compare like-for-like roles, sites and periods; account for changes in production volume, product mix, seasonality, wage markets and restructuring. Where possible, use a pilot group and a comparable non-pilot group, while ensuring no group is denied mandatory safety training or fair treatment. Review operational indicators monthly and strategic workforce scenarios quarterly.</w:t>
      </w:r>
    </w:p>
    <w:p>
      <w:pPr>
        <w:pStyle w:val="Heading1"/>
      </w:pPr>
      <w:r>
        <w:t>6. KPI Framework and Illustrative Targets</w:t>
      </w:r>
    </w:p>
    <w:p>
      <w:r>
        <w:t>The targets below are proposed for pilot planning. They are not published industry benchmarks and should be recalibrated after baseline measurement and leadership approval.</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800"/>
            <w:vAlign w:val="center"/>
            <w:shd w:fill="17365D"/>
          </w:tcPr>
          <w:p>
            <w:pPr>
              <w:spacing w:after="20" w:before="20"/>
            </w:pPr>
            <w:r/>
            <w:r>
              <w:rPr>
                <w:rFonts w:ascii="Aptos" w:hAnsi="Aptos"/>
                <w:b/>
                <w:color w:val="FFFFFF"/>
                <w:sz w:val="14"/>
              </w:rPr>
              <w:t>KPI</w:t>
            </w:r>
          </w:p>
        </w:tc>
        <w:tc>
          <w:tcPr>
            <w:tcW w:type="dxa" w:w="3456"/>
            <w:vAlign w:val="center"/>
            <w:shd w:fill="17365D"/>
          </w:tcPr>
          <w:p>
            <w:pPr>
              <w:spacing w:after="20" w:before="20"/>
            </w:pPr>
            <w:r/>
            <w:r>
              <w:rPr>
                <w:rFonts w:ascii="Aptos" w:hAnsi="Aptos"/>
                <w:b/>
                <w:color w:val="FFFFFF"/>
                <w:sz w:val="14"/>
              </w:rPr>
              <w:t>Definition / calculation</w:t>
            </w:r>
          </w:p>
        </w:tc>
        <w:tc>
          <w:tcPr>
            <w:tcW w:type="dxa" w:w="2520"/>
            <w:vAlign w:val="center"/>
            <w:shd w:fill="17365D"/>
          </w:tcPr>
          <w:p>
            <w:pPr>
              <w:spacing w:after="20" w:before="20"/>
            </w:pPr>
            <w:r/>
            <w:r>
              <w:rPr>
                <w:rFonts w:ascii="Aptos" w:hAnsi="Aptos"/>
                <w:b/>
                <w:color w:val="FFFFFF"/>
                <w:sz w:val="14"/>
              </w:rPr>
              <w:t>Illustrative target</w:t>
            </w:r>
          </w:p>
        </w:tc>
        <w:tc>
          <w:tcPr>
            <w:tcW w:type="dxa" w:w="1944"/>
            <w:vAlign w:val="center"/>
            <w:shd w:fill="17365D"/>
          </w:tcPr>
          <w:p>
            <w:pPr>
              <w:spacing w:after="20" w:before="20"/>
            </w:pPr>
            <w:r/>
            <w:r>
              <w:rPr>
                <w:rFonts w:ascii="Aptos" w:hAnsi="Aptos"/>
                <w:b/>
                <w:color w:val="FFFFFF"/>
                <w:sz w:val="14"/>
              </w:rPr>
              <w:t>Review / owner</w:t>
            </w:r>
          </w:p>
        </w:tc>
      </w:tr>
      <w:tr>
        <w:tc>
          <w:tcPr>
            <w:tcW w:type="dxa" w:w="1800"/>
            <w:vAlign w:val="center"/>
          </w:tcPr>
          <w:p>
            <w:pPr>
              <w:spacing w:after="20" w:before="20"/>
            </w:pPr>
            <w:r/>
            <w:r>
              <w:rPr>
                <w:rFonts w:ascii="Aptos" w:hAnsi="Aptos"/>
                <w:b w:val="0"/>
                <w:sz w:val="14"/>
              </w:rPr>
              <w:t>Median time-to-fill</w:t>
            </w:r>
          </w:p>
        </w:tc>
        <w:tc>
          <w:tcPr>
            <w:tcW w:type="dxa" w:w="3456"/>
            <w:vAlign w:val="center"/>
          </w:tcPr>
          <w:p>
            <w:pPr>
              <w:spacing w:after="20" w:before="20"/>
            </w:pPr>
            <w:r/>
            <w:r>
              <w:rPr>
                <w:rFonts w:ascii="Aptos" w:hAnsi="Aptos"/>
                <w:b w:val="0"/>
                <w:sz w:val="14"/>
              </w:rPr>
              <w:t>Median calendar days from approved requisition to accepted offer; define start/end consistently</w:t>
            </w:r>
          </w:p>
        </w:tc>
        <w:tc>
          <w:tcPr>
            <w:tcW w:type="dxa" w:w="2520"/>
            <w:vAlign w:val="center"/>
          </w:tcPr>
          <w:p>
            <w:pPr>
              <w:spacing w:after="20" w:before="20"/>
            </w:pPr>
            <w:r/>
            <w:r>
              <w:rPr>
                <w:rFonts w:ascii="Aptos" w:hAnsi="Aptos"/>
                <w:b w:val="0"/>
                <w:sz w:val="14"/>
              </w:rPr>
              <w:t>10–15% reduction within 12 months for priority roles</w:t>
            </w:r>
          </w:p>
        </w:tc>
        <w:tc>
          <w:tcPr>
            <w:tcW w:type="dxa" w:w="1944"/>
            <w:vAlign w:val="center"/>
          </w:tcPr>
          <w:p>
            <w:pPr>
              <w:spacing w:after="20" w:before="20"/>
            </w:pPr>
            <w:r/>
            <w:r>
              <w:rPr>
                <w:rFonts w:ascii="Aptos" w:hAnsi="Aptos"/>
                <w:b w:val="0"/>
                <w:sz w:val="14"/>
              </w:rPr>
              <w:t>Monthly; Talent Acquisition</w:t>
            </w:r>
          </w:p>
        </w:tc>
      </w:tr>
      <w:tr>
        <w:tc>
          <w:tcPr>
            <w:tcW w:type="dxa" w:w="1800"/>
            <w:vAlign w:val="center"/>
            <w:shd w:fill="EAF1F7"/>
          </w:tcPr>
          <w:p>
            <w:pPr>
              <w:spacing w:after="20" w:before="20"/>
            </w:pPr>
            <w:r/>
            <w:r>
              <w:rPr>
                <w:rFonts w:ascii="Aptos" w:hAnsi="Aptos"/>
                <w:b w:val="0"/>
                <w:sz w:val="14"/>
              </w:rPr>
              <w:t>Offer acceptance rate</w:t>
            </w:r>
          </w:p>
        </w:tc>
        <w:tc>
          <w:tcPr>
            <w:tcW w:type="dxa" w:w="3456"/>
            <w:vAlign w:val="center"/>
            <w:shd w:fill="EAF1F7"/>
          </w:tcPr>
          <w:p>
            <w:pPr>
              <w:spacing w:after="20" w:before="20"/>
            </w:pPr>
            <w:r/>
            <w:r>
              <w:rPr>
                <w:rFonts w:ascii="Aptos" w:hAnsi="Aptos"/>
                <w:b w:val="0"/>
                <w:sz w:val="14"/>
              </w:rPr>
              <w:t>Accepted offers ÷ total offers made</w:t>
            </w:r>
          </w:p>
        </w:tc>
        <w:tc>
          <w:tcPr>
            <w:tcW w:type="dxa" w:w="2520"/>
            <w:vAlign w:val="center"/>
            <w:shd w:fill="EAF1F7"/>
          </w:tcPr>
          <w:p>
            <w:pPr>
              <w:spacing w:after="20" w:before="20"/>
            </w:pPr>
            <w:r/>
            <w:r>
              <w:rPr>
                <w:rFonts w:ascii="Aptos" w:hAnsi="Aptos"/>
                <w:b w:val="0"/>
                <w:sz w:val="14"/>
              </w:rPr>
              <w:t>Improve against baseline without lowering selection standards</w:t>
            </w:r>
          </w:p>
        </w:tc>
        <w:tc>
          <w:tcPr>
            <w:tcW w:type="dxa" w:w="1944"/>
            <w:vAlign w:val="center"/>
            <w:shd w:fill="EAF1F7"/>
          </w:tcPr>
          <w:p>
            <w:pPr>
              <w:spacing w:after="20" w:before="20"/>
            </w:pPr>
            <w:r/>
            <w:r>
              <w:rPr>
                <w:rFonts w:ascii="Aptos" w:hAnsi="Aptos"/>
                <w:b w:val="0"/>
                <w:sz w:val="14"/>
              </w:rPr>
              <w:t>Monthly; Talent Acquisition</w:t>
            </w:r>
          </w:p>
        </w:tc>
      </w:tr>
      <w:tr>
        <w:tc>
          <w:tcPr>
            <w:tcW w:type="dxa" w:w="1800"/>
            <w:vAlign w:val="center"/>
          </w:tcPr>
          <w:p>
            <w:pPr>
              <w:spacing w:after="20" w:before="20"/>
            </w:pPr>
            <w:r/>
            <w:r>
              <w:rPr>
                <w:rFonts w:ascii="Aptos" w:hAnsi="Aptos"/>
                <w:b w:val="0"/>
                <w:sz w:val="14"/>
              </w:rPr>
              <w:t>90-day retention</w:t>
            </w:r>
          </w:p>
        </w:tc>
        <w:tc>
          <w:tcPr>
            <w:tcW w:type="dxa" w:w="3456"/>
            <w:vAlign w:val="center"/>
          </w:tcPr>
          <w:p>
            <w:pPr>
              <w:spacing w:after="20" w:before="20"/>
            </w:pPr>
            <w:r/>
            <w:r>
              <w:rPr>
                <w:rFonts w:ascii="Aptos" w:hAnsi="Aptos"/>
                <w:b w:val="0"/>
                <w:sz w:val="14"/>
              </w:rPr>
              <w:t>New hires still employed at day 90 ÷ eligible hires in cohort</w:t>
            </w:r>
          </w:p>
        </w:tc>
        <w:tc>
          <w:tcPr>
            <w:tcW w:type="dxa" w:w="2520"/>
            <w:vAlign w:val="center"/>
          </w:tcPr>
          <w:p>
            <w:pPr>
              <w:spacing w:after="20" w:before="20"/>
            </w:pPr>
            <w:r/>
            <w:r>
              <w:rPr>
                <w:rFonts w:ascii="Aptos" w:hAnsi="Aptos"/>
                <w:b w:val="0"/>
                <w:sz w:val="14"/>
              </w:rPr>
              <w:t>+5 percentage points against baseline</w:t>
            </w:r>
          </w:p>
        </w:tc>
        <w:tc>
          <w:tcPr>
            <w:tcW w:type="dxa" w:w="1944"/>
            <w:vAlign w:val="center"/>
          </w:tcPr>
          <w:p>
            <w:pPr>
              <w:spacing w:after="20" w:before="20"/>
            </w:pPr>
            <w:r/>
            <w:r>
              <w:rPr>
                <w:rFonts w:ascii="Aptos" w:hAnsi="Aptos"/>
                <w:b w:val="0"/>
                <w:sz w:val="14"/>
              </w:rPr>
              <w:t>Monthly cohort review; HR + site</w:t>
            </w:r>
          </w:p>
        </w:tc>
      </w:tr>
      <w:tr>
        <w:tc>
          <w:tcPr>
            <w:tcW w:type="dxa" w:w="1800"/>
            <w:vAlign w:val="center"/>
            <w:shd w:fill="EAF1F7"/>
          </w:tcPr>
          <w:p>
            <w:pPr>
              <w:spacing w:after="20" w:before="20"/>
            </w:pPr>
            <w:r/>
            <w:r>
              <w:rPr>
                <w:rFonts w:ascii="Aptos" w:hAnsi="Aptos"/>
                <w:b w:val="0"/>
                <w:sz w:val="14"/>
              </w:rPr>
              <w:t>Time to proficiency</w:t>
            </w:r>
          </w:p>
        </w:tc>
        <w:tc>
          <w:tcPr>
            <w:tcW w:type="dxa" w:w="3456"/>
            <w:vAlign w:val="center"/>
            <w:shd w:fill="EAF1F7"/>
          </w:tcPr>
          <w:p>
            <w:pPr>
              <w:spacing w:after="20" w:before="20"/>
            </w:pPr>
            <w:r/>
            <w:r>
              <w:rPr>
                <w:rFonts w:ascii="Aptos" w:hAnsi="Aptos"/>
                <w:b w:val="0"/>
                <w:sz w:val="14"/>
              </w:rPr>
              <w:t>Days from start to verified independent performance against role standard</w:t>
            </w:r>
          </w:p>
        </w:tc>
        <w:tc>
          <w:tcPr>
            <w:tcW w:type="dxa" w:w="2520"/>
            <w:vAlign w:val="center"/>
            <w:shd w:fill="EAF1F7"/>
          </w:tcPr>
          <w:p>
            <w:pPr>
              <w:spacing w:after="20" w:before="20"/>
            </w:pPr>
            <w:r/>
            <w:r>
              <w:rPr>
                <w:rFonts w:ascii="Aptos" w:hAnsi="Aptos"/>
                <w:b w:val="0"/>
                <w:sz w:val="14"/>
              </w:rPr>
              <w:t>10% reduction for selected roles, with quality and safety guardrails</w:t>
            </w:r>
          </w:p>
        </w:tc>
        <w:tc>
          <w:tcPr>
            <w:tcW w:type="dxa" w:w="1944"/>
            <w:vAlign w:val="center"/>
            <w:shd w:fill="EAF1F7"/>
          </w:tcPr>
          <w:p>
            <w:pPr>
              <w:spacing w:after="20" w:before="20"/>
            </w:pPr>
            <w:r/>
            <w:r>
              <w:rPr>
                <w:rFonts w:ascii="Aptos" w:hAnsi="Aptos"/>
                <w:b w:val="0"/>
                <w:sz w:val="14"/>
              </w:rPr>
              <w:t>Monthly; Operations + Learning</w:t>
            </w:r>
          </w:p>
        </w:tc>
      </w:tr>
      <w:tr>
        <w:tc>
          <w:tcPr>
            <w:tcW w:type="dxa" w:w="1800"/>
            <w:vAlign w:val="center"/>
          </w:tcPr>
          <w:p>
            <w:pPr>
              <w:spacing w:after="20" w:before="20"/>
            </w:pPr>
            <w:r/>
            <w:r>
              <w:rPr>
                <w:rFonts w:ascii="Aptos" w:hAnsi="Aptos"/>
                <w:b w:val="0"/>
                <w:sz w:val="14"/>
              </w:rPr>
              <w:t>Safety learning gate</w:t>
            </w:r>
          </w:p>
        </w:tc>
        <w:tc>
          <w:tcPr>
            <w:tcW w:type="dxa" w:w="3456"/>
            <w:vAlign w:val="center"/>
          </w:tcPr>
          <w:p>
            <w:pPr>
              <w:spacing w:after="20" w:before="20"/>
            </w:pPr>
            <w:r/>
            <w:r>
              <w:rPr>
                <w:rFonts w:ascii="Aptos" w:hAnsi="Aptos"/>
                <w:b w:val="0"/>
                <w:sz w:val="14"/>
              </w:rPr>
              <w:t>Relevant workers completing required learning and authorization before applicable work</w:t>
            </w:r>
          </w:p>
        </w:tc>
        <w:tc>
          <w:tcPr>
            <w:tcW w:type="dxa" w:w="2520"/>
            <w:vAlign w:val="center"/>
          </w:tcPr>
          <w:p>
            <w:pPr>
              <w:spacing w:after="20" w:before="20"/>
            </w:pPr>
            <w:r/>
            <w:r>
              <w:rPr>
                <w:rFonts w:ascii="Aptos" w:hAnsi="Aptos"/>
                <w:b w:val="0"/>
                <w:sz w:val="14"/>
              </w:rPr>
              <w:t>100% before safety-critical work authorization</w:t>
            </w:r>
          </w:p>
        </w:tc>
        <w:tc>
          <w:tcPr>
            <w:tcW w:type="dxa" w:w="1944"/>
            <w:vAlign w:val="center"/>
          </w:tcPr>
          <w:p>
            <w:pPr>
              <w:spacing w:after="20" w:before="20"/>
            </w:pPr>
            <w:r/>
            <w:r>
              <w:rPr>
                <w:rFonts w:ascii="Aptos" w:hAnsi="Aptos"/>
                <w:b w:val="0"/>
                <w:sz w:val="14"/>
              </w:rPr>
              <w:t>Weekly/monthly; Safety</w:t>
            </w:r>
          </w:p>
        </w:tc>
      </w:tr>
      <w:tr>
        <w:tc>
          <w:tcPr>
            <w:tcW w:type="dxa" w:w="1800"/>
            <w:vAlign w:val="center"/>
            <w:shd w:fill="EAF1F7"/>
          </w:tcPr>
          <w:p>
            <w:pPr>
              <w:spacing w:after="20" w:before="20"/>
            </w:pPr>
            <w:r/>
            <w:r>
              <w:rPr>
                <w:rFonts w:ascii="Aptos" w:hAnsi="Aptos"/>
                <w:b w:val="0"/>
                <w:sz w:val="14"/>
              </w:rPr>
              <w:t>Priority skills gap closure</w:t>
            </w:r>
          </w:p>
        </w:tc>
        <w:tc>
          <w:tcPr>
            <w:tcW w:type="dxa" w:w="3456"/>
            <w:vAlign w:val="center"/>
            <w:shd w:fill="EAF1F7"/>
          </w:tcPr>
          <w:p>
            <w:pPr>
              <w:spacing w:after="20" w:before="20"/>
            </w:pPr>
            <w:r/>
            <w:r>
              <w:rPr>
                <w:rFonts w:ascii="Aptos" w:hAnsi="Aptos"/>
                <w:b w:val="0"/>
                <w:sz w:val="14"/>
              </w:rPr>
              <w:t>Priority skill gaps closed with evidence ÷ gaps identified at baseline</w:t>
            </w:r>
          </w:p>
        </w:tc>
        <w:tc>
          <w:tcPr>
            <w:tcW w:type="dxa" w:w="2520"/>
            <w:vAlign w:val="center"/>
            <w:shd w:fill="EAF1F7"/>
          </w:tcPr>
          <w:p>
            <w:pPr>
              <w:spacing w:after="20" w:before="20"/>
            </w:pPr>
            <w:r/>
            <w:r>
              <w:rPr>
                <w:rFonts w:ascii="Aptos" w:hAnsi="Aptos"/>
                <w:b w:val="0"/>
                <w:sz w:val="14"/>
              </w:rPr>
              <w:t>60% within 12 months</w:t>
            </w:r>
          </w:p>
        </w:tc>
        <w:tc>
          <w:tcPr>
            <w:tcW w:type="dxa" w:w="1944"/>
            <w:vAlign w:val="center"/>
            <w:shd w:fill="EAF1F7"/>
          </w:tcPr>
          <w:p>
            <w:pPr>
              <w:spacing w:after="20" w:before="20"/>
            </w:pPr>
            <w:r/>
            <w:r>
              <w:rPr>
                <w:rFonts w:ascii="Aptos" w:hAnsi="Aptos"/>
                <w:b w:val="0"/>
                <w:sz w:val="14"/>
              </w:rPr>
              <w:t>Quarterly; Learning + functional owners</w:t>
            </w:r>
          </w:p>
        </w:tc>
      </w:tr>
      <w:tr>
        <w:tc>
          <w:tcPr>
            <w:tcW w:type="dxa" w:w="1800"/>
            <w:vAlign w:val="center"/>
          </w:tcPr>
          <w:p>
            <w:pPr>
              <w:spacing w:after="20" w:before="20"/>
            </w:pPr>
            <w:r/>
            <w:r>
              <w:rPr>
                <w:rFonts w:ascii="Aptos" w:hAnsi="Aptos"/>
                <w:b w:val="0"/>
                <w:sz w:val="14"/>
              </w:rPr>
              <w:t>Critical-role succession coverage</w:t>
            </w:r>
          </w:p>
        </w:tc>
        <w:tc>
          <w:tcPr>
            <w:tcW w:type="dxa" w:w="3456"/>
            <w:vAlign w:val="center"/>
          </w:tcPr>
          <w:p>
            <w:pPr>
              <w:spacing w:after="20" w:before="20"/>
            </w:pPr>
            <w:r/>
            <w:r>
              <w:rPr>
                <w:rFonts w:ascii="Aptos" w:hAnsi="Aptos"/>
                <w:b w:val="0"/>
                <w:sz w:val="14"/>
              </w:rPr>
              <w:t>Priority roles with at least one identified successor ÷ all priority roles</w:t>
            </w:r>
          </w:p>
        </w:tc>
        <w:tc>
          <w:tcPr>
            <w:tcW w:type="dxa" w:w="2520"/>
            <w:vAlign w:val="center"/>
          </w:tcPr>
          <w:p>
            <w:pPr>
              <w:spacing w:after="20" w:before="20"/>
            </w:pPr>
            <w:r/>
            <w:r>
              <w:rPr>
                <w:rFonts w:ascii="Aptos" w:hAnsi="Aptos"/>
                <w:b w:val="0"/>
                <w:sz w:val="14"/>
              </w:rPr>
              <w:t>At least 70%; separately report readiness</w:t>
            </w:r>
          </w:p>
        </w:tc>
        <w:tc>
          <w:tcPr>
            <w:tcW w:type="dxa" w:w="1944"/>
            <w:vAlign w:val="center"/>
          </w:tcPr>
          <w:p>
            <w:pPr>
              <w:spacing w:after="20" w:before="20"/>
            </w:pPr>
            <w:r/>
            <w:r>
              <w:rPr>
                <w:rFonts w:ascii="Aptos" w:hAnsi="Aptos"/>
                <w:b w:val="0"/>
                <w:sz w:val="14"/>
              </w:rPr>
              <w:t>Quarterly; HR + executive leaders</w:t>
            </w:r>
          </w:p>
        </w:tc>
      </w:tr>
      <w:tr>
        <w:tc>
          <w:tcPr>
            <w:tcW w:type="dxa" w:w="1800"/>
            <w:vAlign w:val="center"/>
            <w:shd w:fill="EAF1F7"/>
          </w:tcPr>
          <w:p>
            <w:pPr>
              <w:spacing w:after="20" w:before="20"/>
            </w:pPr>
            <w:r/>
            <w:r>
              <w:rPr>
                <w:rFonts w:ascii="Aptos" w:hAnsi="Aptos"/>
                <w:b w:val="0"/>
                <w:sz w:val="14"/>
              </w:rPr>
              <w:t>Internal fill rate</w:t>
            </w:r>
          </w:p>
        </w:tc>
        <w:tc>
          <w:tcPr>
            <w:tcW w:type="dxa" w:w="3456"/>
            <w:vAlign w:val="center"/>
            <w:shd w:fill="EAF1F7"/>
          </w:tcPr>
          <w:p>
            <w:pPr>
              <w:spacing w:after="20" w:before="20"/>
            </w:pPr>
            <w:r/>
            <w:r>
              <w:rPr>
                <w:rFonts w:ascii="Aptos" w:hAnsi="Aptos"/>
                <w:b w:val="0"/>
                <w:sz w:val="14"/>
              </w:rPr>
              <w:t>Selected vacancies filled by existing employees ÷ selected vacancies filled</w:t>
            </w:r>
          </w:p>
        </w:tc>
        <w:tc>
          <w:tcPr>
            <w:tcW w:type="dxa" w:w="2520"/>
            <w:vAlign w:val="center"/>
            <w:shd w:fill="EAF1F7"/>
          </w:tcPr>
          <w:p>
            <w:pPr>
              <w:spacing w:after="20" w:before="20"/>
            </w:pPr>
            <w:r/>
            <w:r>
              <w:rPr>
                <w:rFonts w:ascii="Aptos" w:hAnsi="Aptos"/>
                <w:b w:val="0"/>
                <w:sz w:val="14"/>
              </w:rPr>
              <w:t>+5 percentage points against baseline</w:t>
            </w:r>
          </w:p>
        </w:tc>
        <w:tc>
          <w:tcPr>
            <w:tcW w:type="dxa" w:w="1944"/>
            <w:vAlign w:val="center"/>
            <w:shd w:fill="EAF1F7"/>
          </w:tcPr>
          <w:p>
            <w:pPr>
              <w:spacing w:after="20" w:before="20"/>
            </w:pPr>
            <w:r/>
            <w:r>
              <w:rPr>
                <w:rFonts w:ascii="Aptos" w:hAnsi="Aptos"/>
                <w:b w:val="0"/>
                <w:sz w:val="14"/>
              </w:rPr>
              <w:t>Quarterly; Talent + business</w:t>
            </w:r>
          </w:p>
        </w:tc>
      </w:tr>
      <w:tr>
        <w:tc>
          <w:tcPr>
            <w:tcW w:type="dxa" w:w="1800"/>
            <w:vAlign w:val="center"/>
          </w:tcPr>
          <w:p>
            <w:pPr>
              <w:spacing w:after="20" w:before="20"/>
            </w:pPr>
            <w:r/>
            <w:r>
              <w:rPr>
                <w:rFonts w:ascii="Aptos" w:hAnsi="Aptos"/>
                <w:b w:val="0"/>
                <w:sz w:val="14"/>
              </w:rPr>
              <w:t>Early attrition reason capture</w:t>
            </w:r>
          </w:p>
        </w:tc>
        <w:tc>
          <w:tcPr>
            <w:tcW w:type="dxa" w:w="3456"/>
            <w:vAlign w:val="center"/>
          </w:tcPr>
          <w:p>
            <w:pPr>
              <w:spacing w:after="20" w:before="20"/>
            </w:pPr>
            <w:r/>
            <w:r>
              <w:rPr>
                <w:rFonts w:ascii="Aptos" w:hAnsi="Aptos"/>
                <w:b w:val="0"/>
                <w:sz w:val="14"/>
              </w:rPr>
              <w:t>Leavers with documented, coded exit reason ÷ eligible early leavers</w:t>
            </w:r>
          </w:p>
        </w:tc>
        <w:tc>
          <w:tcPr>
            <w:tcW w:type="dxa" w:w="2520"/>
            <w:vAlign w:val="center"/>
          </w:tcPr>
          <w:p>
            <w:pPr>
              <w:spacing w:after="20" w:before="20"/>
            </w:pPr>
            <w:r/>
            <w:r>
              <w:rPr>
                <w:rFonts w:ascii="Aptos" w:hAnsi="Aptos"/>
                <w:b w:val="0"/>
                <w:sz w:val="14"/>
              </w:rPr>
              <w:t>At least 90% complete, with privacy safeguards</w:t>
            </w:r>
          </w:p>
        </w:tc>
        <w:tc>
          <w:tcPr>
            <w:tcW w:type="dxa" w:w="1944"/>
            <w:vAlign w:val="center"/>
          </w:tcPr>
          <w:p>
            <w:pPr>
              <w:spacing w:after="20" w:before="20"/>
            </w:pPr>
            <w:r/>
            <w:r>
              <w:rPr>
                <w:rFonts w:ascii="Aptos" w:hAnsi="Aptos"/>
                <w:b w:val="0"/>
                <w:sz w:val="14"/>
              </w:rPr>
              <w:t>Monthly; HR</w:t>
            </w:r>
          </w:p>
        </w:tc>
      </w:tr>
      <w:tr>
        <w:tc>
          <w:tcPr>
            <w:tcW w:type="dxa" w:w="1800"/>
            <w:vAlign w:val="center"/>
            <w:shd w:fill="EAF1F7"/>
          </w:tcPr>
          <w:p>
            <w:pPr>
              <w:spacing w:after="20" w:before="20"/>
            </w:pPr>
            <w:r/>
            <w:r>
              <w:rPr>
                <w:rFonts w:ascii="Aptos" w:hAnsi="Aptos"/>
                <w:b w:val="0"/>
                <w:sz w:val="14"/>
              </w:rPr>
              <w:t>Employee Central data quality</w:t>
            </w:r>
          </w:p>
        </w:tc>
        <w:tc>
          <w:tcPr>
            <w:tcW w:type="dxa" w:w="3456"/>
            <w:vAlign w:val="center"/>
            <w:shd w:fill="EAF1F7"/>
          </w:tcPr>
          <w:p>
            <w:pPr>
              <w:spacing w:after="20" w:before="20"/>
            </w:pPr>
            <w:r/>
            <w:r>
              <w:rPr>
                <w:rFonts w:ascii="Aptos" w:hAnsi="Aptos"/>
                <w:b w:val="0"/>
                <w:sz w:val="14"/>
              </w:rPr>
              <w:t>Required fields complete and validated ÷ required records/fields</w:t>
            </w:r>
          </w:p>
        </w:tc>
        <w:tc>
          <w:tcPr>
            <w:tcW w:type="dxa" w:w="2520"/>
            <w:vAlign w:val="center"/>
            <w:shd w:fill="EAF1F7"/>
          </w:tcPr>
          <w:p>
            <w:pPr>
              <w:spacing w:after="20" w:before="20"/>
            </w:pPr>
            <w:r/>
            <w:r>
              <w:rPr>
                <w:rFonts w:ascii="Aptos" w:hAnsi="Aptos"/>
                <w:b w:val="0"/>
                <w:sz w:val="14"/>
              </w:rPr>
              <w:t>Set a threshold after profiling; target sustained improvement</w:t>
            </w:r>
          </w:p>
        </w:tc>
        <w:tc>
          <w:tcPr>
            <w:tcW w:type="dxa" w:w="1944"/>
            <w:vAlign w:val="center"/>
            <w:shd w:fill="EAF1F7"/>
          </w:tcPr>
          <w:p>
            <w:pPr>
              <w:spacing w:after="20" w:before="20"/>
            </w:pPr>
            <w:r/>
            <w:r>
              <w:rPr>
                <w:rFonts w:ascii="Aptos" w:hAnsi="Aptos"/>
                <w:b w:val="0"/>
                <w:sz w:val="14"/>
              </w:rPr>
              <w:t>Monthly; HR data owner</w:t>
            </w:r>
          </w:p>
        </w:tc>
      </w:tr>
      <w:tr>
        <w:tc>
          <w:tcPr>
            <w:tcW w:type="dxa" w:w="1800"/>
            <w:vAlign w:val="center"/>
          </w:tcPr>
          <w:p>
            <w:pPr>
              <w:spacing w:after="20" w:before="20"/>
            </w:pPr>
            <w:r/>
            <w:r>
              <w:rPr>
                <w:rFonts w:ascii="Aptos" w:hAnsi="Aptos"/>
                <w:b w:val="0"/>
                <w:sz w:val="14"/>
              </w:rPr>
              <w:t>Hiring source quality</w:t>
            </w:r>
          </w:p>
        </w:tc>
        <w:tc>
          <w:tcPr>
            <w:tcW w:type="dxa" w:w="3456"/>
            <w:vAlign w:val="center"/>
          </w:tcPr>
          <w:p>
            <w:pPr>
              <w:spacing w:after="20" w:before="20"/>
            </w:pPr>
            <w:r/>
            <w:r>
              <w:rPr>
                <w:rFonts w:ascii="Aptos" w:hAnsi="Aptos"/>
                <w:b w:val="0"/>
                <w:sz w:val="14"/>
              </w:rPr>
              <w:t>Source-level comparison of interview pass, offer acceptance and retention</w:t>
            </w:r>
          </w:p>
        </w:tc>
        <w:tc>
          <w:tcPr>
            <w:tcW w:type="dxa" w:w="2520"/>
            <w:vAlign w:val="center"/>
          </w:tcPr>
          <w:p>
            <w:pPr>
              <w:spacing w:after="20" w:before="20"/>
            </w:pPr>
            <w:r/>
            <w:r>
              <w:rPr>
                <w:rFonts w:ascii="Aptos" w:hAnsi="Aptos"/>
                <w:b w:val="0"/>
                <w:sz w:val="14"/>
              </w:rPr>
              <w:t>Quarterly decisions to invest, change or stop sources</w:t>
            </w:r>
          </w:p>
        </w:tc>
        <w:tc>
          <w:tcPr>
            <w:tcW w:type="dxa" w:w="1944"/>
            <w:vAlign w:val="center"/>
          </w:tcPr>
          <w:p>
            <w:pPr>
              <w:spacing w:after="20" w:before="20"/>
            </w:pPr>
            <w:r/>
            <w:r>
              <w:rPr>
                <w:rFonts w:ascii="Aptos" w:hAnsi="Aptos"/>
                <w:b w:val="0"/>
                <w:sz w:val="14"/>
              </w:rPr>
              <w:t>Quarterly; Talent Acquisition</w:t>
            </w:r>
          </w:p>
        </w:tc>
      </w:tr>
      <w:tr>
        <w:tc>
          <w:tcPr>
            <w:tcW w:type="dxa" w:w="1800"/>
            <w:vAlign w:val="center"/>
            <w:shd w:fill="EAF1F7"/>
          </w:tcPr>
          <w:p>
            <w:pPr>
              <w:spacing w:after="20" w:before="20"/>
            </w:pPr>
            <w:r/>
            <w:r>
              <w:rPr>
                <w:rFonts w:ascii="Aptos" w:hAnsi="Aptos"/>
                <w:b w:val="0"/>
                <w:sz w:val="14"/>
              </w:rPr>
              <w:t>Learning effectiveness</w:t>
            </w:r>
          </w:p>
        </w:tc>
        <w:tc>
          <w:tcPr>
            <w:tcW w:type="dxa" w:w="3456"/>
            <w:vAlign w:val="center"/>
            <w:shd w:fill="EAF1F7"/>
          </w:tcPr>
          <w:p>
            <w:pPr>
              <w:spacing w:after="20" w:before="20"/>
            </w:pPr>
            <w:r/>
            <w:r>
              <w:rPr>
                <w:rFonts w:ascii="Aptos" w:hAnsi="Aptos"/>
                <w:b w:val="0"/>
                <w:sz w:val="14"/>
              </w:rPr>
              <w:t>Practical assessment pass and workplace observation, not course completion alone</w:t>
            </w:r>
          </w:p>
        </w:tc>
        <w:tc>
          <w:tcPr>
            <w:tcW w:type="dxa" w:w="2520"/>
            <w:vAlign w:val="center"/>
            <w:shd w:fill="EAF1F7"/>
          </w:tcPr>
          <w:p>
            <w:pPr>
              <w:spacing w:after="20" w:before="20"/>
            </w:pPr>
            <w:r/>
            <w:r>
              <w:rPr>
                <w:rFonts w:ascii="Aptos" w:hAnsi="Aptos"/>
                <w:b w:val="0"/>
                <w:sz w:val="14"/>
              </w:rPr>
              <w:t>Set per pathway after pilot</w:t>
            </w:r>
          </w:p>
        </w:tc>
        <w:tc>
          <w:tcPr>
            <w:tcW w:type="dxa" w:w="1944"/>
            <w:vAlign w:val="center"/>
            <w:shd w:fill="EAF1F7"/>
          </w:tcPr>
          <w:p>
            <w:pPr>
              <w:spacing w:after="20" w:before="20"/>
            </w:pPr>
            <w:r/>
            <w:r>
              <w:rPr>
                <w:rFonts w:ascii="Aptos" w:hAnsi="Aptos"/>
                <w:b w:val="0"/>
                <w:sz w:val="14"/>
              </w:rPr>
              <w:t>Each cohort; Learning + safety/quality</w:t>
            </w:r>
          </w:p>
        </w:tc>
      </w:tr>
    </w:tbl>
    <w:p/>
    <w:p>
      <w:r>
        <w:t>KPI safeguards: faster hiring must not come at the expense of candidate quality or fair assessment; faster proficiency must not bypass supervision; safety learning completion must precede authorization where required; and succession coverage must distinguish a name on a list from demonstrated readiness. Every metric needs a named owner, data source, refresh cadence, denominator and documented exclusions.</w:t>
      </w:r>
    </w:p>
    <w:p>
      <w:pPr>
        <w:pStyle w:val="Heading1"/>
      </w:pPr>
      <w:r>
        <w:t>7. Risk Assessment and Mitigation</w:t>
      </w:r>
    </w:p>
    <w:p>
      <w:r>
        <w:t>The risk register below prioritizes implementation and operational risks that could undermine the business outcomes. Likelihood and impact are initial qualitative assessments for planning and must be re-scored after discovery.</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800"/>
            <w:vAlign w:val="center"/>
            <w:shd w:fill="17365D"/>
          </w:tcPr>
          <w:p>
            <w:pPr>
              <w:spacing w:after="20" w:before="20"/>
            </w:pPr>
            <w:r/>
            <w:r>
              <w:rPr>
                <w:rFonts w:ascii="Aptos" w:hAnsi="Aptos"/>
                <w:b/>
                <w:color w:val="FFFFFF"/>
                <w:sz w:val="13"/>
              </w:rPr>
              <w:t>Risk</w:t>
            </w:r>
          </w:p>
        </w:tc>
        <w:tc>
          <w:tcPr>
            <w:tcW w:type="dxa" w:w="1296"/>
            <w:vAlign w:val="center"/>
            <w:shd w:fill="17365D"/>
          </w:tcPr>
          <w:p>
            <w:pPr>
              <w:spacing w:after="20" w:before="20"/>
            </w:pPr>
            <w:r/>
            <w:r>
              <w:rPr>
                <w:rFonts w:ascii="Aptos" w:hAnsi="Aptos"/>
                <w:b/>
                <w:color w:val="FFFFFF"/>
                <w:sz w:val="13"/>
              </w:rPr>
              <w:t>Likelihood / impact</w:t>
            </w:r>
          </w:p>
        </w:tc>
        <w:tc>
          <w:tcPr>
            <w:tcW w:type="dxa" w:w="1944"/>
            <w:vAlign w:val="center"/>
            <w:shd w:fill="17365D"/>
          </w:tcPr>
          <w:p>
            <w:pPr>
              <w:spacing w:after="20" w:before="20"/>
            </w:pPr>
            <w:r/>
            <w:r>
              <w:rPr>
                <w:rFonts w:ascii="Aptos" w:hAnsi="Aptos"/>
                <w:b/>
                <w:color w:val="FFFFFF"/>
                <w:sz w:val="13"/>
              </w:rPr>
              <w:t>Potential consequence</w:t>
            </w:r>
          </w:p>
        </w:tc>
        <w:tc>
          <w:tcPr>
            <w:tcW w:type="dxa" w:w="3384"/>
            <w:vAlign w:val="center"/>
            <w:shd w:fill="17365D"/>
          </w:tcPr>
          <w:p>
            <w:pPr>
              <w:spacing w:after="20" w:before="20"/>
            </w:pPr>
            <w:r/>
            <w:r>
              <w:rPr>
                <w:rFonts w:ascii="Aptos" w:hAnsi="Aptos"/>
                <w:b/>
                <w:color w:val="FFFFFF"/>
                <w:sz w:val="13"/>
              </w:rPr>
              <w:t>Mitigation and control</w:t>
            </w:r>
          </w:p>
        </w:tc>
        <w:tc>
          <w:tcPr>
            <w:tcW w:type="dxa" w:w="1440"/>
            <w:vAlign w:val="center"/>
            <w:shd w:fill="17365D"/>
          </w:tcPr>
          <w:p>
            <w:pPr>
              <w:spacing w:after="20" w:before="20"/>
            </w:pPr>
            <w:r/>
            <w:r>
              <w:rPr>
                <w:rFonts w:ascii="Aptos" w:hAnsi="Aptos"/>
                <w:b/>
                <w:color w:val="FFFFFF"/>
                <w:sz w:val="13"/>
              </w:rPr>
              <w:t>Owner / trigger</w:t>
            </w:r>
          </w:p>
        </w:tc>
      </w:tr>
      <w:tr>
        <w:tc>
          <w:tcPr>
            <w:tcW w:type="dxa" w:w="1800"/>
            <w:vAlign w:val="center"/>
          </w:tcPr>
          <w:p>
            <w:pPr>
              <w:spacing w:after="20" w:before="20"/>
            </w:pPr>
            <w:r/>
            <w:r>
              <w:rPr>
                <w:rFonts w:ascii="Aptos" w:hAnsi="Aptos"/>
                <w:b w:val="0"/>
                <w:sz w:val="13"/>
              </w:rPr>
              <w:t>Poor or inconsistent employee/job data</w:t>
            </w:r>
          </w:p>
        </w:tc>
        <w:tc>
          <w:tcPr>
            <w:tcW w:type="dxa" w:w="1296"/>
            <w:vAlign w:val="center"/>
          </w:tcPr>
          <w:p>
            <w:pPr>
              <w:spacing w:after="20" w:before="20"/>
            </w:pPr>
            <w:r/>
            <w:r>
              <w:rPr>
                <w:rFonts w:ascii="Aptos" w:hAnsi="Aptos"/>
                <w:b w:val="0"/>
                <w:sz w:val="13"/>
              </w:rPr>
              <w:t>High / High</w:t>
            </w:r>
          </w:p>
        </w:tc>
        <w:tc>
          <w:tcPr>
            <w:tcW w:type="dxa" w:w="1944"/>
            <w:vAlign w:val="center"/>
          </w:tcPr>
          <w:p>
            <w:pPr>
              <w:spacing w:after="20" w:before="20"/>
            </w:pPr>
            <w:r/>
            <w:r>
              <w:rPr>
                <w:rFonts w:ascii="Aptos" w:hAnsi="Aptos"/>
                <w:b w:val="0"/>
                <w:sz w:val="13"/>
              </w:rPr>
              <w:t>Incorrect headcount views, failed workflows, unreliable analytics</w:t>
            </w:r>
          </w:p>
        </w:tc>
        <w:tc>
          <w:tcPr>
            <w:tcW w:type="dxa" w:w="3384"/>
            <w:vAlign w:val="center"/>
          </w:tcPr>
          <w:p>
            <w:pPr>
              <w:spacing w:after="20" w:before="20"/>
            </w:pPr>
            <w:r/>
            <w:r>
              <w:rPr>
                <w:rFonts w:ascii="Aptos" w:hAnsi="Aptos"/>
                <w:b w:val="0"/>
                <w:sz w:val="13"/>
              </w:rPr>
              <w:t>Profile and cleanse data; data dictionary; accountable owners; reconciliation; migration mock runs; error queue and monthly audit</w:t>
            </w:r>
          </w:p>
        </w:tc>
        <w:tc>
          <w:tcPr>
            <w:tcW w:type="dxa" w:w="1440"/>
            <w:vAlign w:val="center"/>
          </w:tcPr>
          <w:p>
            <w:pPr>
              <w:spacing w:after="20" w:before="20"/>
            </w:pPr>
            <w:r/>
            <w:r>
              <w:rPr>
                <w:rFonts w:ascii="Aptos" w:hAnsi="Aptos"/>
                <w:b w:val="0"/>
                <w:sz w:val="13"/>
              </w:rPr>
              <w:t>HR data owner; trigger: completeness below agreed threshold</w:t>
            </w:r>
          </w:p>
        </w:tc>
      </w:tr>
      <w:tr>
        <w:tc>
          <w:tcPr>
            <w:tcW w:type="dxa" w:w="1800"/>
            <w:vAlign w:val="center"/>
            <w:shd w:fill="EAF1F7"/>
          </w:tcPr>
          <w:p>
            <w:pPr>
              <w:spacing w:after="20" w:before="20"/>
            </w:pPr>
            <w:r/>
            <w:r>
              <w:rPr>
                <w:rFonts w:ascii="Aptos" w:hAnsi="Aptos"/>
                <w:b w:val="0"/>
                <w:sz w:val="13"/>
              </w:rPr>
              <w:t>Low adoption by plant managers or shift teams</w:t>
            </w:r>
          </w:p>
        </w:tc>
        <w:tc>
          <w:tcPr>
            <w:tcW w:type="dxa" w:w="1296"/>
            <w:vAlign w:val="center"/>
            <w:shd w:fill="EAF1F7"/>
          </w:tcPr>
          <w:p>
            <w:pPr>
              <w:spacing w:after="20" w:before="20"/>
            </w:pPr>
            <w:r/>
            <w:r>
              <w:rPr>
                <w:rFonts w:ascii="Aptos" w:hAnsi="Aptos"/>
                <w:b w:val="0"/>
                <w:sz w:val="13"/>
              </w:rPr>
              <w:t>Medium / High</w:t>
            </w:r>
          </w:p>
        </w:tc>
        <w:tc>
          <w:tcPr>
            <w:tcW w:type="dxa" w:w="1944"/>
            <w:vAlign w:val="center"/>
            <w:shd w:fill="EAF1F7"/>
          </w:tcPr>
          <w:p>
            <w:pPr>
              <w:spacing w:after="20" w:before="20"/>
            </w:pPr>
            <w:r/>
            <w:r>
              <w:rPr>
                <w:rFonts w:ascii="Aptos" w:hAnsi="Aptos"/>
                <w:b w:val="0"/>
                <w:sz w:val="13"/>
              </w:rPr>
              <w:t>Shadow spreadsheets, incomplete tasks, low return on investment</w:t>
            </w:r>
          </w:p>
        </w:tc>
        <w:tc>
          <w:tcPr>
            <w:tcW w:type="dxa" w:w="3384"/>
            <w:vAlign w:val="center"/>
            <w:shd w:fill="EAF1F7"/>
          </w:tcPr>
          <w:p>
            <w:pPr>
              <w:spacing w:after="20" w:before="20"/>
            </w:pPr>
            <w:r/>
            <w:r>
              <w:rPr>
                <w:rFonts w:ascii="Aptos" w:hAnsi="Aptos"/>
                <w:b w:val="0"/>
                <w:sz w:val="13"/>
              </w:rPr>
              <w:t>Co-design with sites; shift-based training; local champions; mobile/kiosk access where secure; manager dashboards; simplify workflows</w:t>
            </w:r>
          </w:p>
        </w:tc>
        <w:tc>
          <w:tcPr>
            <w:tcW w:type="dxa" w:w="1440"/>
            <w:vAlign w:val="center"/>
            <w:shd w:fill="EAF1F7"/>
          </w:tcPr>
          <w:p>
            <w:pPr>
              <w:spacing w:after="20" w:before="20"/>
            </w:pPr>
            <w:r/>
            <w:r>
              <w:rPr>
                <w:rFonts w:ascii="Aptos" w:hAnsi="Aptos"/>
                <w:b w:val="0"/>
                <w:sz w:val="13"/>
              </w:rPr>
              <w:t>Plant leaders; trigger: overdue tasks or adoption gap by site</w:t>
            </w:r>
          </w:p>
        </w:tc>
      </w:tr>
      <w:tr>
        <w:tc>
          <w:tcPr>
            <w:tcW w:type="dxa" w:w="1800"/>
            <w:vAlign w:val="center"/>
          </w:tcPr>
          <w:p>
            <w:pPr>
              <w:spacing w:after="20" w:before="20"/>
            </w:pPr>
            <w:r/>
            <w:r>
              <w:rPr>
                <w:rFonts w:ascii="Aptos" w:hAnsi="Aptos"/>
                <w:b w:val="0"/>
                <w:sz w:val="13"/>
              </w:rPr>
              <w:t>Safety-critical learning treated as a checkbox</w:t>
            </w:r>
          </w:p>
        </w:tc>
        <w:tc>
          <w:tcPr>
            <w:tcW w:type="dxa" w:w="1296"/>
            <w:vAlign w:val="center"/>
          </w:tcPr>
          <w:p>
            <w:pPr>
              <w:spacing w:after="20" w:before="20"/>
            </w:pPr>
            <w:r/>
            <w:r>
              <w:rPr>
                <w:rFonts w:ascii="Aptos" w:hAnsi="Aptos"/>
                <w:b w:val="0"/>
                <w:sz w:val="13"/>
              </w:rPr>
              <w:t>Medium / Very High</w:t>
            </w:r>
          </w:p>
        </w:tc>
        <w:tc>
          <w:tcPr>
            <w:tcW w:type="dxa" w:w="1944"/>
            <w:vAlign w:val="center"/>
          </w:tcPr>
          <w:p>
            <w:pPr>
              <w:spacing w:after="20" w:before="20"/>
            </w:pPr>
            <w:r/>
            <w:r>
              <w:rPr>
                <w:rFonts w:ascii="Aptos" w:hAnsi="Aptos"/>
                <w:b w:val="0"/>
                <w:sz w:val="13"/>
              </w:rPr>
              <w:t>Unqualified work, injury risk, non-compliance</w:t>
            </w:r>
          </w:p>
        </w:tc>
        <w:tc>
          <w:tcPr>
            <w:tcW w:type="dxa" w:w="3384"/>
            <w:vAlign w:val="center"/>
          </w:tcPr>
          <w:p>
            <w:pPr>
              <w:spacing w:after="20" w:before="20"/>
            </w:pPr>
            <w:r/>
            <w:r>
              <w:rPr>
                <w:rFonts w:ascii="Aptos" w:hAnsi="Aptos"/>
                <w:b w:val="0"/>
                <w:sz w:val="13"/>
              </w:rPr>
              <w:t>Separate completion from practical competence; authorization gate; supervisor sign-off; audit trail; stop-work escalation</w:t>
            </w:r>
          </w:p>
        </w:tc>
        <w:tc>
          <w:tcPr>
            <w:tcW w:type="dxa" w:w="1440"/>
            <w:vAlign w:val="center"/>
          </w:tcPr>
          <w:p>
            <w:pPr>
              <w:spacing w:after="20" w:before="20"/>
            </w:pPr>
            <w:r/>
            <w:r>
              <w:rPr>
                <w:rFonts w:ascii="Aptos" w:hAnsi="Aptos"/>
                <w:b w:val="0"/>
                <w:sz w:val="13"/>
              </w:rPr>
              <w:t>Safety leader; trigger: any work authorization without required evidence</w:t>
            </w:r>
          </w:p>
        </w:tc>
      </w:tr>
      <w:tr>
        <w:tc>
          <w:tcPr>
            <w:tcW w:type="dxa" w:w="1800"/>
            <w:vAlign w:val="center"/>
            <w:shd w:fill="EAF1F7"/>
          </w:tcPr>
          <w:p>
            <w:pPr>
              <w:spacing w:after="20" w:before="20"/>
            </w:pPr>
            <w:r/>
            <w:r>
              <w:rPr>
                <w:rFonts w:ascii="Aptos" w:hAnsi="Aptos"/>
                <w:b w:val="0"/>
                <w:sz w:val="13"/>
              </w:rPr>
              <w:t>Biased recruitment or performance decisions</w:t>
            </w:r>
          </w:p>
        </w:tc>
        <w:tc>
          <w:tcPr>
            <w:tcW w:type="dxa" w:w="1296"/>
            <w:vAlign w:val="center"/>
            <w:shd w:fill="EAF1F7"/>
          </w:tcPr>
          <w:p>
            <w:pPr>
              <w:spacing w:after="20" w:before="20"/>
            </w:pPr>
            <w:r/>
            <w:r>
              <w:rPr>
                <w:rFonts w:ascii="Aptos" w:hAnsi="Aptos"/>
                <w:b w:val="0"/>
                <w:sz w:val="13"/>
              </w:rPr>
              <w:t>Medium / High</w:t>
            </w:r>
          </w:p>
        </w:tc>
        <w:tc>
          <w:tcPr>
            <w:tcW w:type="dxa" w:w="1944"/>
            <w:vAlign w:val="center"/>
            <w:shd w:fill="EAF1F7"/>
          </w:tcPr>
          <w:p>
            <w:pPr>
              <w:spacing w:after="20" w:before="20"/>
            </w:pPr>
            <w:r/>
            <w:r>
              <w:rPr>
                <w:rFonts w:ascii="Aptos" w:hAnsi="Aptos"/>
                <w:b w:val="0"/>
                <w:sz w:val="13"/>
              </w:rPr>
              <w:t>Unfair exclusion, reputational/legal risk, weaker talent pool</w:t>
            </w:r>
          </w:p>
        </w:tc>
        <w:tc>
          <w:tcPr>
            <w:tcW w:type="dxa" w:w="3384"/>
            <w:vAlign w:val="center"/>
            <w:shd w:fill="EAF1F7"/>
          </w:tcPr>
          <w:p>
            <w:pPr>
              <w:spacing w:after="20" w:before="20"/>
            </w:pPr>
            <w:r/>
            <w:r>
              <w:rPr>
                <w:rFonts w:ascii="Aptos" w:hAnsi="Aptos"/>
                <w:b w:val="0"/>
                <w:sz w:val="13"/>
              </w:rPr>
              <w:t>Structured rubrics; job-related criteria; interviewer training; periodic adverse-pattern review; human review of automated recommendations</w:t>
            </w:r>
          </w:p>
        </w:tc>
        <w:tc>
          <w:tcPr>
            <w:tcW w:type="dxa" w:w="1440"/>
            <w:vAlign w:val="center"/>
            <w:shd w:fill="EAF1F7"/>
          </w:tcPr>
          <w:p>
            <w:pPr>
              <w:spacing w:after="20" w:before="20"/>
            </w:pPr>
            <w:r/>
            <w:r>
              <w:rPr>
                <w:rFonts w:ascii="Aptos" w:hAnsi="Aptos"/>
                <w:b w:val="0"/>
                <w:sz w:val="13"/>
              </w:rPr>
              <w:t>HR / legal; trigger: unexplained outcome differences</w:t>
            </w:r>
          </w:p>
        </w:tc>
      </w:tr>
      <w:tr>
        <w:tc>
          <w:tcPr>
            <w:tcW w:type="dxa" w:w="1800"/>
            <w:vAlign w:val="center"/>
          </w:tcPr>
          <w:p>
            <w:pPr>
              <w:spacing w:after="20" w:before="20"/>
            </w:pPr>
            <w:r/>
            <w:r>
              <w:rPr>
                <w:rFonts w:ascii="Aptos" w:hAnsi="Aptos"/>
                <w:b w:val="0"/>
                <w:sz w:val="13"/>
              </w:rPr>
              <w:t>Privacy, cybersecurity or excessive access</w:t>
            </w:r>
          </w:p>
        </w:tc>
        <w:tc>
          <w:tcPr>
            <w:tcW w:type="dxa" w:w="1296"/>
            <w:vAlign w:val="center"/>
          </w:tcPr>
          <w:p>
            <w:pPr>
              <w:spacing w:after="20" w:before="20"/>
            </w:pPr>
            <w:r/>
            <w:r>
              <w:rPr>
                <w:rFonts w:ascii="Aptos" w:hAnsi="Aptos"/>
                <w:b w:val="0"/>
                <w:sz w:val="13"/>
              </w:rPr>
              <w:t>Medium / High</w:t>
            </w:r>
          </w:p>
        </w:tc>
        <w:tc>
          <w:tcPr>
            <w:tcW w:type="dxa" w:w="1944"/>
            <w:vAlign w:val="center"/>
          </w:tcPr>
          <w:p>
            <w:pPr>
              <w:spacing w:after="20" w:before="20"/>
            </w:pPr>
            <w:r/>
            <w:r>
              <w:rPr>
                <w:rFonts w:ascii="Aptos" w:hAnsi="Aptos"/>
                <w:b w:val="0"/>
                <w:sz w:val="13"/>
              </w:rPr>
              <w:t>Exposure of employee/candidate data, loss of trust, regulatory consequences</w:t>
            </w:r>
          </w:p>
        </w:tc>
        <w:tc>
          <w:tcPr>
            <w:tcW w:type="dxa" w:w="3384"/>
            <w:vAlign w:val="center"/>
          </w:tcPr>
          <w:p>
            <w:pPr>
              <w:spacing w:after="20" w:before="20"/>
            </w:pPr>
            <w:r/>
            <w:r>
              <w:rPr>
                <w:rFonts w:ascii="Aptos" w:hAnsi="Aptos"/>
                <w:b w:val="0"/>
                <w:sz w:val="13"/>
              </w:rPr>
              <w:t>Least-privilege access; retention schedules; privacy notices; vendor/integration review; audit logs; incident response and access recertification</w:t>
            </w:r>
          </w:p>
        </w:tc>
        <w:tc>
          <w:tcPr>
            <w:tcW w:type="dxa" w:w="1440"/>
            <w:vAlign w:val="center"/>
          </w:tcPr>
          <w:p>
            <w:pPr>
              <w:spacing w:after="20" w:before="20"/>
            </w:pPr>
            <w:r/>
            <w:r>
              <w:rPr>
                <w:rFonts w:ascii="Aptos" w:hAnsi="Aptos"/>
                <w:b w:val="0"/>
                <w:sz w:val="13"/>
              </w:rPr>
              <w:t>IT/security + data protection; trigger: unauthorized access or incident</w:t>
            </w:r>
          </w:p>
        </w:tc>
      </w:tr>
      <w:tr>
        <w:tc>
          <w:tcPr>
            <w:tcW w:type="dxa" w:w="1800"/>
            <w:vAlign w:val="center"/>
            <w:shd w:fill="EAF1F7"/>
          </w:tcPr>
          <w:p>
            <w:pPr>
              <w:spacing w:after="20" w:before="20"/>
            </w:pPr>
            <w:r/>
            <w:r>
              <w:rPr>
                <w:rFonts w:ascii="Aptos" w:hAnsi="Aptos"/>
                <w:b w:val="0"/>
                <w:sz w:val="13"/>
              </w:rPr>
              <w:t>Integration or configuration failure</w:t>
            </w:r>
          </w:p>
        </w:tc>
        <w:tc>
          <w:tcPr>
            <w:tcW w:type="dxa" w:w="1296"/>
            <w:vAlign w:val="center"/>
            <w:shd w:fill="EAF1F7"/>
          </w:tcPr>
          <w:p>
            <w:pPr>
              <w:spacing w:after="20" w:before="20"/>
            </w:pPr>
            <w:r/>
            <w:r>
              <w:rPr>
                <w:rFonts w:ascii="Aptos" w:hAnsi="Aptos"/>
                <w:b w:val="0"/>
                <w:sz w:val="13"/>
              </w:rPr>
              <w:t>Medium / High</w:t>
            </w:r>
          </w:p>
        </w:tc>
        <w:tc>
          <w:tcPr>
            <w:tcW w:type="dxa" w:w="1944"/>
            <w:vAlign w:val="center"/>
            <w:shd w:fill="EAF1F7"/>
          </w:tcPr>
          <w:p>
            <w:pPr>
              <w:spacing w:after="20" w:before="20"/>
            </w:pPr>
            <w:r/>
            <w:r>
              <w:rPr>
                <w:rFonts w:ascii="Aptos" w:hAnsi="Aptos"/>
                <w:b w:val="0"/>
                <w:sz w:val="13"/>
              </w:rPr>
              <w:t>Recruit-to-hire breaks, duplicate entry, inaccurate employee creation</w:t>
            </w:r>
          </w:p>
        </w:tc>
        <w:tc>
          <w:tcPr>
            <w:tcW w:type="dxa" w:w="3384"/>
            <w:vAlign w:val="center"/>
            <w:shd w:fill="EAF1F7"/>
          </w:tcPr>
          <w:p>
            <w:pPr>
              <w:spacing w:after="20" w:before="20"/>
            </w:pPr>
            <w:r/>
            <w:r>
              <w:rPr>
                <w:rFonts w:ascii="Aptos" w:hAnsi="Aptos"/>
                <w:b w:val="0"/>
                <w:sz w:val="13"/>
              </w:rPr>
              <w:t>Document interfaces; end-to-end testing; reconciliation reports; rollback plan; release/change control; named technical owner</w:t>
            </w:r>
          </w:p>
        </w:tc>
        <w:tc>
          <w:tcPr>
            <w:tcW w:type="dxa" w:w="1440"/>
            <w:vAlign w:val="center"/>
            <w:shd w:fill="EAF1F7"/>
          </w:tcPr>
          <w:p>
            <w:pPr>
              <w:spacing w:after="20" w:before="20"/>
            </w:pPr>
            <w:r/>
            <w:r>
              <w:rPr>
                <w:rFonts w:ascii="Aptos" w:hAnsi="Aptos"/>
                <w:b w:val="0"/>
                <w:sz w:val="13"/>
              </w:rPr>
              <w:t>IT product owner; trigger: failed test or reconciliation variance</w:t>
            </w:r>
          </w:p>
        </w:tc>
      </w:tr>
      <w:tr>
        <w:tc>
          <w:tcPr>
            <w:tcW w:type="dxa" w:w="1800"/>
            <w:vAlign w:val="center"/>
          </w:tcPr>
          <w:p>
            <w:pPr>
              <w:spacing w:after="20" w:before="20"/>
            </w:pPr>
            <w:r/>
            <w:r>
              <w:rPr>
                <w:rFonts w:ascii="Aptos" w:hAnsi="Aptos"/>
                <w:b w:val="0"/>
                <w:sz w:val="13"/>
              </w:rPr>
              <w:t>Unrealistic benefits or weak baseline</w:t>
            </w:r>
          </w:p>
        </w:tc>
        <w:tc>
          <w:tcPr>
            <w:tcW w:type="dxa" w:w="1296"/>
            <w:vAlign w:val="center"/>
          </w:tcPr>
          <w:p>
            <w:pPr>
              <w:spacing w:after="20" w:before="20"/>
            </w:pPr>
            <w:r/>
            <w:r>
              <w:rPr>
                <w:rFonts w:ascii="Aptos" w:hAnsi="Aptos"/>
                <w:b w:val="0"/>
                <w:sz w:val="13"/>
              </w:rPr>
              <w:t>Medium / Medium</w:t>
            </w:r>
          </w:p>
        </w:tc>
        <w:tc>
          <w:tcPr>
            <w:tcW w:type="dxa" w:w="1944"/>
            <w:vAlign w:val="center"/>
          </w:tcPr>
          <w:p>
            <w:pPr>
              <w:spacing w:after="20" w:before="20"/>
            </w:pPr>
            <w:r/>
            <w:r>
              <w:rPr>
                <w:rFonts w:ascii="Aptos" w:hAnsi="Aptos"/>
                <w:b w:val="0"/>
                <w:sz w:val="13"/>
              </w:rPr>
              <w:t>Benefits overstated; leadership loses confidence</w:t>
            </w:r>
          </w:p>
        </w:tc>
        <w:tc>
          <w:tcPr>
            <w:tcW w:type="dxa" w:w="3384"/>
            <w:vAlign w:val="center"/>
          </w:tcPr>
          <w:p>
            <w:pPr>
              <w:spacing w:after="20" w:before="20"/>
            </w:pPr>
            <w:r/>
            <w:r>
              <w:rPr>
                <w:rFonts w:ascii="Aptos" w:hAnsi="Aptos"/>
                <w:b w:val="0"/>
                <w:sz w:val="13"/>
              </w:rPr>
              <w:t>Predefine KPI formulas; finance validates savings; compare like-for-like cohorts; separate correlation from causation</w:t>
            </w:r>
          </w:p>
        </w:tc>
        <w:tc>
          <w:tcPr>
            <w:tcW w:type="dxa" w:w="1440"/>
            <w:vAlign w:val="center"/>
          </w:tcPr>
          <w:p>
            <w:pPr>
              <w:spacing w:after="20" w:before="20"/>
            </w:pPr>
            <w:r/>
            <w:r>
              <w:rPr>
                <w:rFonts w:ascii="Aptos" w:hAnsi="Aptos"/>
                <w:b w:val="0"/>
                <w:sz w:val="13"/>
              </w:rPr>
              <w:t>Finance + PMO; trigger: metric definitions change mid-pilot</w:t>
            </w:r>
          </w:p>
        </w:tc>
      </w:tr>
      <w:tr>
        <w:tc>
          <w:tcPr>
            <w:tcW w:type="dxa" w:w="1800"/>
            <w:vAlign w:val="center"/>
            <w:shd w:fill="EAF1F7"/>
          </w:tcPr>
          <w:p>
            <w:pPr>
              <w:spacing w:after="20" w:before="20"/>
            </w:pPr>
            <w:r/>
            <w:r>
              <w:rPr>
                <w:rFonts w:ascii="Aptos" w:hAnsi="Aptos"/>
                <w:b w:val="0"/>
                <w:sz w:val="13"/>
              </w:rPr>
              <w:t>Overtraining without production coverage</w:t>
            </w:r>
          </w:p>
        </w:tc>
        <w:tc>
          <w:tcPr>
            <w:tcW w:type="dxa" w:w="1296"/>
            <w:vAlign w:val="center"/>
            <w:shd w:fill="EAF1F7"/>
          </w:tcPr>
          <w:p>
            <w:pPr>
              <w:spacing w:after="20" w:before="20"/>
            </w:pPr>
            <w:r/>
            <w:r>
              <w:rPr>
                <w:rFonts w:ascii="Aptos" w:hAnsi="Aptos"/>
                <w:b w:val="0"/>
                <w:sz w:val="13"/>
              </w:rPr>
              <w:t>Medium / High</w:t>
            </w:r>
          </w:p>
        </w:tc>
        <w:tc>
          <w:tcPr>
            <w:tcW w:type="dxa" w:w="1944"/>
            <w:vAlign w:val="center"/>
            <w:shd w:fill="EAF1F7"/>
          </w:tcPr>
          <w:p>
            <w:pPr>
              <w:spacing w:after="20" w:before="20"/>
            </w:pPr>
            <w:r/>
            <w:r>
              <w:rPr>
                <w:rFonts w:ascii="Aptos" w:hAnsi="Aptos"/>
                <w:b w:val="0"/>
                <w:sz w:val="13"/>
              </w:rPr>
              <w:t>Lost production hours, low attendance, employee frustration</w:t>
            </w:r>
          </w:p>
        </w:tc>
        <w:tc>
          <w:tcPr>
            <w:tcW w:type="dxa" w:w="3384"/>
            <w:vAlign w:val="center"/>
            <w:shd w:fill="EAF1F7"/>
          </w:tcPr>
          <w:p>
            <w:pPr>
              <w:spacing w:after="20" w:before="20"/>
            </w:pPr>
            <w:r/>
            <w:r>
              <w:rPr>
                <w:rFonts w:ascii="Aptos" w:hAnsi="Aptos"/>
                <w:b w:val="0"/>
                <w:sz w:val="13"/>
              </w:rPr>
              <w:t>Staggered cohorts; shift coverage plan; protected learning time; blend digital and practical delivery; monitor overtime and throughput</w:t>
            </w:r>
          </w:p>
        </w:tc>
        <w:tc>
          <w:tcPr>
            <w:tcW w:type="dxa" w:w="1440"/>
            <w:vAlign w:val="center"/>
            <w:shd w:fill="EAF1F7"/>
          </w:tcPr>
          <w:p>
            <w:pPr>
              <w:spacing w:after="20" w:before="20"/>
            </w:pPr>
            <w:r/>
            <w:r>
              <w:rPr>
                <w:rFonts w:ascii="Aptos" w:hAnsi="Aptos"/>
                <w:b w:val="0"/>
                <w:sz w:val="13"/>
              </w:rPr>
              <w:t>Operations + Learning; trigger: missed training or overtime rise</w:t>
            </w:r>
          </w:p>
        </w:tc>
      </w:tr>
      <w:tr>
        <w:tc>
          <w:tcPr>
            <w:tcW w:type="dxa" w:w="1800"/>
            <w:vAlign w:val="center"/>
          </w:tcPr>
          <w:p>
            <w:pPr>
              <w:spacing w:after="20" w:before="20"/>
            </w:pPr>
            <w:r/>
            <w:r>
              <w:rPr>
                <w:rFonts w:ascii="Aptos" w:hAnsi="Aptos"/>
                <w:b w:val="0"/>
                <w:sz w:val="13"/>
              </w:rPr>
              <w:t>External talent scarcity / wage competition</w:t>
            </w:r>
          </w:p>
        </w:tc>
        <w:tc>
          <w:tcPr>
            <w:tcW w:type="dxa" w:w="1296"/>
            <w:vAlign w:val="center"/>
          </w:tcPr>
          <w:p>
            <w:pPr>
              <w:spacing w:after="20" w:before="20"/>
            </w:pPr>
            <w:r/>
            <w:r>
              <w:rPr>
                <w:rFonts w:ascii="Aptos" w:hAnsi="Aptos"/>
                <w:b w:val="0"/>
                <w:sz w:val="13"/>
              </w:rPr>
              <w:t>High / Medium</w:t>
            </w:r>
          </w:p>
        </w:tc>
        <w:tc>
          <w:tcPr>
            <w:tcW w:type="dxa" w:w="1944"/>
            <w:vAlign w:val="center"/>
          </w:tcPr>
          <w:p>
            <w:pPr>
              <w:spacing w:after="20" w:before="20"/>
            </w:pPr>
            <w:r/>
            <w:r>
              <w:rPr>
                <w:rFonts w:ascii="Aptos" w:hAnsi="Aptos"/>
                <w:b w:val="0"/>
                <w:sz w:val="13"/>
              </w:rPr>
              <w:t>Persistent vacancies, offer declines, retention pressure</w:t>
            </w:r>
          </w:p>
        </w:tc>
        <w:tc>
          <w:tcPr>
            <w:tcW w:type="dxa" w:w="3384"/>
            <w:vAlign w:val="center"/>
          </w:tcPr>
          <w:p>
            <w:pPr>
              <w:spacing w:after="20" w:before="20"/>
            </w:pPr>
            <w:r/>
            <w:r>
              <w:rPr>
                <w:rFonts w:ascii="Aptos" w:hAnsi="Aptos"/>
                <w:b w:val="0"/>
                <w:sz w:val="13"/>
              </w:rPr>
              <w:t>Build internal pathways; technical-institution partnerships; realistic job previews; pay review; geographically targeted sourcing</w:t>
            </w:r>
          </w:p>
        </w:tc>
        <w:tc>
          <w:tcPr>
            <w:tcW w:type="dxa" w:w="1440"/>
            <w:vAlign w:val="center"/>
          </w:tcPr>
          <w:p>
            <w:pPr>
              <w:spacing w:after="20" w:before="20"/>
            </w:pPr>
            <w:r/>
            <w:r>
              <w:rPr>
                <w:rFonts w:ascii="Aptos" w:hAnsi="Aptos"/>
                <w:b w:val="0"/>
                <w:sz w:val="13"/>
              </w:rPr>
              <w:t>Talent Acquisition + business; trigger: repeated low offer acceptance</w:t>
            </w:r>
          </w:p>
        </w:tc>
      </w:tr>
      <w:tr>
        <w:tc>
          <w:tcPr>
            <w:tcW w:type="dxa" w:w="1800"/>
            <w:vAlign w:val="center"/>
            <w:shd w:fill="EAF1F7"/>
          </w:tcPr>
          <w:p>
            <w:pPr>
              <w:spacing w:after="20" w:before="20"/>
            </w:pPr>
            <w:r/>
            <w:r>
              <w:rPr>
                <w:rFonts w:ascii="Aptos" w:hAnsi="Aptos"/>
                <w:b w:val="0"/>
                <w:sz w:val="13"/>
              </w:rPr>
              <w:t>Knowledge loss from retirements or exits</w:t>
            </w:r>
          </w:p>
        </w:tc>
        <w:tc>
          <w:tcPr>
            <w:tcW w:type="dxa" w:w="1296"/>
            <w:vAlign w:val="center"/>
            <w:shd w:fill="EAF1F7"/>
          </w:tcPr>
          <w:p>
            <w:pPr>
              <w:spacing w:after="20" w:before="20"/>
            </w:pPr>
            <w:r/>
            <w:r>
              <w:rPr>
                <w:rFonts w:ascii="Aptos" w:hAnsi="Aptos"/>
                <w:b w:val="0"/>
                <w:sz w:val="13"/>
              </w:rPr>
              <w:t>Medium / High</w:t>
            </w:r>
          </w:p>
        </w:tc>
        <w:tc>
          <w:tcPr>
            <w:tcW w:type="dxa" w:w="1944"/>
            <w:vAlign w:val="center"/>
            <w:shd w:fill="EAF1F7"/>
          </w:tcPr>
          <w:p>
            <w:pPr>
              <w:spacing w:after="20" w:before="20"/>
            </w:pPr>
            <w:r/>
            <w:r>
              <w:rPr>
                <w:rFonts w:ascii="Aptos" w:hAnsi="Aptos"/>
                <w:b w:val="0"/>
                <w:sz w:val="13"/>
              </w:rPr>
              <w:t>Longer downtime, quality issues, dependence on individuals</w:t>
            </w:r>
          </w:p>
        </w:tc>
        <w:tc>
          <w:tcPr>
            <w:tcW w:type="dxa" w:w="3384"/>
            <w:vAlign w:val="center"/>
            <w:shd w:fill="EAF1F7"/>
          </w:tcPr>
          <w:p>
            <w:pPr>
              <w:spacing w:after="20" w:before="20"/>
            </w:pPr>
            <w:r/>
            <w:r>
              <w:rPr>
                <w:rFonts w:ascii="Aptos" w:hAnsi="Aptos"/>
                <w:b w:val="0"/>
                <w:sz w:val="13"/>
              </w:rPr>
              <w:t>Critical-role inventory; successors and interim cover; mentoring; standard-work documentation; handover checklists</w:t>
            </w:r>
          </w:p>
        </w:tc>
        <w:tc>
          <w:tcPr>
            <w:tcW w:type="dxa" w:w="1440"/>
            <w:vAlign w:val="center"/>
            <w:shd w:fill="EAF1F7"/>
          </w:tcPr>
          <w:p>
            <w:pPr>
              <w:spacing w:after="20" w:before="20"/>
            </w:pPr>
            <w:r/>
            <w:r>
              <w:rPr>
                <w:rFonts w:ascii="Aptos" w:hAnsi="Aptos"/>
                <w:b w:val="0"/>
                <w:sz w:val="13"/>
              </w:rPr>
              <w:t>Functional heads; trigger: critical-role departure notice</w:t>
            </w:r>
          </w:p>
        </w:tc>
      </w:tr>
      <w:tr>
        <w:tc>
          <w:tcPr>
            <w:tcW w:type="dxa" w:w="1800"/>
            <w:vAlign w:val="center"/>
          </w:tcPr>
          <w:p>
            <w:pPr>
              <w:spacing w:after="20" w:before="20"/>
            </w:pPr>
            <w:r/>
            <w:r>
              <w:rPr>
                <w:rFonts w:ascii="Aptos" w:hAnsi="Aptos"/>
                <w:b w:val="0"/>
                <w:sz w:val="13"/>
              </w:rPr>
              <w:t>Change fatigue and competing programmes</w:t>
            </w:r>
          </w:p>
        </w:tc>
        <w:tc>
          <w:tcPr>
            <w:tcW w:type="dxa" w:w="1296"/>
            <w:vAlign w:val="center"/>
          </w:tcPr>
          <w:p>
            <w:pPr>
              <w:spacing w:after="20" w:before="20"/>
            </w:pPr>
            <w:r/>
            <w:r>
              <w:rPr>
                <w:rFonts w:ascii="Aptos" w:hAnsi="Aptos"/>
                <w:b w:val="0"/>
                <w:sz w:val="13"/>
              </w:rPr>
              <w:t>Medium / Medium</w:t>
            </w:r>
          </w:p>
        </w:tc>
        <w:tc>
          <w:tcPr>
            <w:tcW w:type="dxa" w:w="1944"/>
            <w:vAlign w:val="center"/>
          </w:tcPr>
          <w:p>
            <w:pPr>
              <w:spacing w:after="20" w:before="20"/>
            </w:pPr>
            <w:r/>
            <w:r>
              <w:rPr>
                <w:rFonts w:ascii="Aptos" w:hAnsi="Aptos"/>
                <w:b w:val="0"/>
                <w:sz w:val="13"/>
              </w:rPr>
              <w:t>Low participation and delays</w:t>
            </w:r>
          </w:p>
        </w:tc>
        <w:tc>
          <w:tcPr>
            <w:tcW w:type="dxa" w:w="3384"/>
            <w:vAlign w:val="center"/>
          </w:tcPr>
          <w:p>
            <w:pPr>
              <w:spacing w:after="20" w:before="20"/>
            </w:pPr>
            <w:r/>
            <w:r>
              <w:rPr>
                <w:rFonts w:ascii="Aptos" w:hAnsi="Aptos"/>
                <w:b w:val="0"/>
                <w:sz w:val="13"/>
              </w:rPr>
              <w:t>Sequence work; limit pilot scope; publish change calendar; show quick wins; stop low-value reporting</w:t>
            </w:r>
          </w:p>
        </w:tc>
        <w:tc>
          <w:tcPr>
            <w:tcW w:type="dxa" w:w="1440"/>
            <w:vAlign w:val="center"/>
          </w:tcPr>
          <w:p>
            <w:pPr>
              <w:spacing w:after="20" w:before="20"/>
            </w:pPr>
            <w:r/>
            <w:r>
              <w:rPr>
                <w:rFonts w:ascii="Aptos" w:hAnsi="Aptos"/>
                <w:b w:val="0"/>
                <w:sz w:val="13"/>
              </w:rPr>
              <w:t>Programme sponsor; trigger: repeated milestone slippage</w:t>
            </w:r>
          </w:p>
        </w:tc>
      </w:tr>
      <w:tr>
        <w:tc>
          <w:tcPr>
            <w:tcW w:type="dxa" w:w="1800"/>
            <w:vAlign w:val="center"/>
            <w:shd w:fill="EAF1F7"/>
          </w:tcPr>
          <w:p>
            <w:pPr>
              <w:spacing w:after="20" w:before="20"/>
            </w:pPr>
            <w:r/>
            <w:r>
              <w:rPr>
                <w:rFonts w:ascii="Aptos" w:hAnsi="Aptos"/>
                <w:b w:val="0"/>
                <w:sz w:val="13"/>
              </w:rPr>
              <w:t>Local legal / works council / labour-relations mismatch</w:t>
            </w:r>
          </w:p>
        </w:tc>
        <w:tc>
          <w:tcPr>
            <w:tcW w:type="dxa" w:w="1296"/>
            <w:vAlign w:val="center"/>
            <w:shd w:fill="EAF1F7"/>
          </w:tcPr>
          <w:p>
            <w:pPr>
              <w:spacing w:after="20" w:before="20"/>
            </w:pPr>
            <w:r/>
            <w:r>
              <w:rPr>
                <w:rFonts w:ascii="Aptos" w:hAnsi="Aptos"/>
                <w:b w:val="0"/>
                <w:sz w:val="13"/>
              </w:rPr>
              <w:t>Medium / High</w:t>
            </w:r>
          </w:p>
        </w:tc>
        <w:tc>
          <w:tcPr>
            <w:tcW w:type="dxa" w:w="1944"/>
            <w:vAlign w:val="center"/>
            <w:shd w:fill="EAF1F7"/>
          </w:tcPr>
          <w:p>
            <w:pPr>
              <w:spacing w:after="20" w:before="20"/>
            </w:pPr>
            <w:r/>
            <w:r>
              <w:rPr>
                <w:rFonts w:ascii="Aptos" w:hAnsi="Aptos"/>
                <w:b w:val="0"/>
                <w:sz w:val="13"/>
              </w:rPr>
              <w:t>Implementation delay or non-compliant practices</w:t>
            </w:r>
          </w:p>
        </w:tc>
        <w:tc>
          <w:tcPr>
            <w:tcW w:type="dxa" w:w="3384"/>
            <w:vAlign w:val="center"/>
            <w:shd w:fill="EAF1F7"/>
          </w:tcPr>
          <w:p>
            <w:pPr>
              <w:spacing w:after="20" w:before="20"/>
            </w:pPr>
            <w:r/>
            <w:r>
              <w:rPr>
                <w:rFonts w:ascii="Aptos" w:hAnsi="Aptos"/>
                <w:b w:val="0"/>
                <w:sz w:val="13"/>
              </w:rPr>
              <w:t>Local legal review; employee consultation; country-specific rules; localization tests; avoid one-size-fits-all workflows</w:t>
            </w:r>
          </w:p>
        </w:tc>
        <w:tc>
          <w:tcPr>
            <w:tcW w:type="dxa" w:w="1440"/>
            <w:vAlign w:val="center"/>
            <w:shd w:fill="EAF1F7"/>
          </w:tcPr>
          <w:p>
            <w:pPr>
              <w:spacing w:after="20" w:before="20"/>
            </w:pPr>
            <w:r/>
            <w:r>
              <w:rPr>
                <w:rFonts w:ascii="Aptos" w:hAnsi="Aptos"/>
                <w:b w:val="0"/>
                <w:sz w:val="13"/>
              </w:rPr>
              <w:t>Legal / employee relations; trigger: jurisdiction or agreement conflict</w:t>
            </w:r>
          </w:p>
        </w:tc>
      </w:tr>
    </w:tbl>
    <w:p/>
    <w:p>
      <w:pPr>
        <w:pStyle w:val="Heading2"/>
      </w:pPr>
      <w:r>
        <w:t>7.1 Risk review method</w:t>
      </w:r>
    </w:p>
    <w:p>
      <w:r>
        <w:t>Use a simple risk score: likelihood (1–5) × impact (1–5), with a documented rationale and named owner. Very-high-impact safety risks require controls regardless of the numerical score. Review the register monthly during the pilot and quarterly after stabilization. Record mitigation status, residual risk, evidence, escalation date and the decision-maker who accepts any residual exposure. An issue log should distinguish a risk that might occur from an issue that has already happened.</w:t>
      </w:r>
    </w:p>
    <w:p>
      <w:pPr>
        <w:pStyle w:val="Heading2"/>
      </w:pPr>
      <w:r>
        <w:t>7.2 Ethical and operational safeguards</w:t>
      </w:r>
    </w:p>
    <w:p>
      <w:r>
        <w:t>The plan should not use algorithmic scores as the sole basis for hiring, promotion, performance or termination decisions. Candidate and employee data must be handled under applicable law and internal policy, with transparent notices, limited access, retention controls and a way to correct inaccurate records. Skill profiles should support development and safe deployment, not label employees permanently or restrict mobility without review. The system must also account for accessibility, language, shift patterns and fair access to learning.</w:t>
      </w:r>
    </w:p>
    <w:p>
      <w:pPr>
        <w:pStyle w:val="Heading1"/>
      </w:pPr>
      <w:r>
        <w:t>8. Evaluation, Expected Impact and Continuous Improvement</w:t>
      </w:r>
    </w:p>
    <w:p>
      <w:pPr>
        <w:pStyle w:val="Heading2"/>
      </w:pPr>
      <w:r>
        <w:t>8.1 Expected business impact</w:t>
      </w:r>
    </w:p>
    <w:p>
      <w:r>
        <w:t>If implemented with disciplined governance, the programme should improve four linked outcomes. First, hiring becomes more predictable because requisitions, assessments and approvals are standardized and source quality is measured. Second, onboarding becomes more operationally meaningful because each new hire receives the tasks, training and supervision required for their role and site. Third, internal capability increases because learning pathways are tied to verified skill gaps and operational requirements. Fourth, workforce risk becomes more visible through succession, attrition and demand scenarios.</w:t>
      </w:r>
    </w:p>
    <w:p>
      <w:r>
        <w:t>The Kongsberg Automotive case offers a relevant illustration of potential HR service and recruitment benefits, including reported reductions in time-to-fill and HR requests [3]. Gestamp illustrates the value of consolidating data and processes across countries [4]. Neither case proves that the proposed programme will achieve identical results. Differences in workforce size, labour market, implementation scope, baseline process maturity and module configuration make direct transfer inappropriate.</w:t>
      </w:r>
    </w:p>
    <w:p>
      <w:pPr>
        <w:pStyle w:val="Heading2"/>
      </w:pPr>
      <w:r>
        <w:t>8.2 Pilot evaluation design</w:t>
      </w:r>
    </w:p>
    <w:p>
      <w:r>
        <w:t>At the end of month six and month twelve, compare pilot outcomes with the baseline and, where feasible, a similar non-pilot site or job family. Review quantitative metrics alongside interviews with new hires, recruiters, supervisors and trainers. Check for unintended consequences: are candidates being rejected faster but less fairly? Are training completion figures improving while practical pass rates remain flat? Has time-to-proficiency improved at the cost of rework or safety? Are internal appointments concentrated in a narrow group? The scale decision should depend on outcome evidence and control performance.</w:t>
      </w:r>
    </w:p>
    <w:p>
      <w:pPr>
        <w:pStyle w:val="Heading2"/>
      </w:pPr>
      <w:r>
        <w:t>8.3 Continuous improvement cycle</w:t>
      </w:r>
    </w:p>
    <w:p>
      <w:r>
        <w:t>Use a quarterly Plan–Do–Check–Act cycle. Plan: select one measurable issue, such as long approval delays for maintenance roles. Do: test a change in one pilot group. Check: compare data and gather feedback, controlling for material differences. Act: standardize the change if it works, revise it if the result is mixed, or stop it if the benefit is not demonstrated. Maintain a backlog ranked by business impact, risk, effort and employee experience. Revisit the skills taxonomy twice a year and whenever a major product, process or safety requirement changes.</w:t>
      </w:r>
    </w:p>
    <w:p>
      <w:pPr>
        <w:pStyle w:val="Heading1"/>
      </w:pPr>
      <w:r>
        <w:t>9. Conclusion and Recommendations</w:t>
      </w:r>
    </w:p>
    <w:p>
      <w:r>
        <w:t>Automotive talent management must be designed around production reality and technological change. The strongest plan does not begin with a list of software features; it begins with the roles, skills and behaviours required to deliver safe production, quality, product launches, customer support and future competitiveness. SAP SuccessFactors can provide a connected framework for managing the employee lifecycle, but the business value depends on reliable data, well-designed processes, manager accountability, employee trust and evidence-based measurement.</w:t>
      </w:r>
    </w:p>
    <w:p>
      <w:r>
        <w:t>The recommended priorities are to establish a trusted Employee Central foundation; redesign recruiting around structured and job-relevant assessment; create onboarding journeys with safety and competence gates; build Learning curricula for EV, automation, quality and digital roles; align Performance &amp; Goals with balanced operational outcomes; use Succession &amp; Development to protect critical capability; and apply Compensation and analytics to support fair retention and workforce decisions. A controlled 24-month roadmap reduces implementation risk by testing outcomes before scaling.</w:t>
      </w:r>
    </w:p>
    <w:p>
      <w:r>
        <w:t>Leadership should approve the first 90-day discovery and design phase, appoint cross-functional owners, validate the baseline and select a pilot site and job family. It should then release further investment only when the pilot demonstrates acceptable data quality, adoption, fairness and safety controls alongside measurable business improvement. This approach responds directly to the central weakness of a generic talent plan: it turns broad intentions into specific roles, system-enabled workflows, owners, timelines, measures and risk controls.</w:t>
      </w:r>
    </w:p>
    <w:p>
      <w:pPr>
        <w:pStyle w:val="Heading1"/>
      </w:pPr>
      <w:r>
        <w:t>References</w:t>
      </w:r>
    </w:p>
    <w:p>
      <w:pPr>
        <w:pStyle w:val="ListNumber"/>
        <w:spacing w:after="80"/>
      </w:pPr>
      <w:r>
        <w:t>[1] International Energy Agency (IEA). (2025). Global EV Outlook 2025: Executive Summary. https://www.iea.org/reports/global-ev-outlook-2025/executive-summary</w:t>
      </w:r>
    </w:p>
    <w:p>
      <w:pPr>
        <w:pStyle w:val="ListNumber"/>
        <w:spacing w:after="80"/>
      </w:pPr>
      <w:r>
        <w:t>[2] National Council of Applied Economic Research (NCAER). (26 October 2025). Bridging the skill gap in India’s automobile industry. https://ncaer.org/publication/bridging-the-skill-gap-in-indias-automobile-industry/</w:t>
      </w:r>
    </w:p>
    <w:p>
      <w:pPr>
        <w:pStyle w:val="ListNumber"/>
        <w:spacing w:after="80"/>
      </w:pPr>
      <w:r>
        <w:t>[3] CaseStudies.com / SAP SuccessFactors. Kongsberg Automotive achieves modern mobile HR and continuous employee development with SAP SuccessFactors. https://www.casestudies.com/company/sap-successfactors/case-study/putting-employees-in-control-to-support-continuous-development</w:t>
      </w:r>
    </w:p>
    <w:p>
      <w:pPr>
        <w:pStyle w:val="ListNumber"/>
        <w:spacing w:after="80"/>
      </w:pPr>
      <w:r>
        <w:t>[4] NTT DATA. (10 March 2026). A “big bang” leap into the future of talent: Gestamp’s global transformation. https://uk.nttdata.com/insights/case-studies/gestamp</w:t>
      </w:r>
    </w:p>
    <w:p>
      <w:pPr>
        <w:pStyle w:val="ListNumber"/>
        <w:spacing w:after="80"/>
      </w:pPr>
      <w:r>
        <w:t>[5] BMW Group. (2025). BMW Group Report 2024: Management Report. https://www.bmwgroup.com/en/report/2024/management-report/index.html</w:t>
      </w:r>
    </w:p>
    <w:p>
      <w:pPr>
        <w:pStyle w:val="ListNumber"/>
        <w:spacing w:after="80"/>
      </w:pPr>
      <w:r>
        <w:t>[6] Toyota Kirloskar Motor. (2023). Sustainability Report 2023: Learning &amp; Development. https://www.toyotabharat.com/documents/toyota-in-india/environment/tkm-sustainability-report-2023.pdf</w:t>
      </w:r>
    </w:p>
    <w:p>
      <w:pPr>
        <w:pStyle w:val="ListNumber"/>
        <w:spacing w:after="80"/>
      </w:pPr>
      <w:r>
        <w:t>[7] SAP Help Portal. SAP SuccessFactors Recruiting: Setting Up and Maintaining SAP SuccessFactors Recruiting. https://help.sap.com/docs/successfactors-recruiting/setting-up-and-maintaining-sap-successfactors-recruiting/recruiting-advanced-analytics-configuration</w:t>
      </w:r>
    </w:p>
    <w:p>
      <w:pPr>
        <w:pStyle w:val="ListNumber"/>
        <w:spacing w:after="80"/>
      </w:pPr>
      <w:r>
        <w:t>[8] SAP Learning. Explaining the Main Pillars of SAP SuccessFactors Recruiting. https://learning.sap.com/courses/explore-sap-successfactors-solutions/explaining-the-main-pillars-of-sap-successfactors-recruiting_dbfe279a-785f-497a-8cf3-ceacbcb0f7f7</w:t>
      </w:r>
    </w:p>
    <w:p>
      <w:pPr>
        <w:pStyle w:val="ListNumber"/>
        <w:spacing w:after="80"/>
      </w:pPr>
      <w:r>
        <w:t>[9] SAP Help Portal. Features Supported in SAP SuccessFactors Onboarding. https://help.sap.com/docs/successfactors-onboarding/implementing-onboarding/features-supported-in-sap-successfactors-onboarding</w:t>
      </w:r>
    </w:p>
    <w:p>
      <w:pPr>
        <w:pStyle w:val="ListNumber"/>
        <w:spacing w:after="80"/>
      </w:pPr>
      <w:r>
        <w:t>[10] SAP Help Portal. Setting Up Onboarding Programs. https://help.sap.com/docs/successfactors-onboarding/implementing-onboarding/setting-up-onboarding-programs</w:t>
      </w:r>
    </w:p>
    <w:p>
      <w:pPr>
        <w:pStyle w:val="ListNumber"/>
        <w:spacing w:after="80"/>
      </w:pPr>
      <w:r>
        <w:t>[11] SAP Help Portal. Curriculum Assignment and Management in SAP SuccessFactors Learning. https://help.sap.com/docs/successfactors-learning/managing-sap-successfactors-learning-for-administrators/curriculum-assignment-and-management</w:t>
      </w:r>
    </w:p>
    <w:p>
      <w:pPr>
        <w:pStyle w:val="ListNumber"/>
        <w:spacing w:after="80"/>
      </w:pPr>
      <w:r>
        <w:t>[12] SAP Help Portal. Learning Assessments. https://help.sap.com/docs/successfactors-learning/learning-assessments-test-script/learning-assessments</w:t>
      </w:r>
    </w:p>
    <w:p>
      <w:pPr>
        <w:pStyle w:val="ListNumber"/>
        <w:spacing w:after="80"/>
      </w:pPr>
      <w:r>
        <w:t>[13] SAP Help Portal. SAP SuccessFactors Performance and Goals. https://help.sap.com/docs/SAP_SUCCESSFACTORS_PERFORMANCE_AND_GOALS</w:t>
      </w:r>
    </w:p>
    <w:p>
      <w:pPr>
        <w:pStyle w:val="ListNumber"/>
        <w:spacing w:after="80"/>
      </w:pPr>
      <w:r>
        <w:t>[14] SAP Help Portal. SAP SuccessFactors Succession and Development. https://help.sap.com/docs/SAP_SUCCESSFACTORS_SUCCESSION_AND_DEVELOPMENT</w:t>
      </w:r>
    </w:p>
    <w:p>
      <w:pPr>
        <w:pStyle w:val="ListNumber"/>
        <w:spacing w:after="80"/>
      </w:pPr>
      <w:r>
        <w:t>[15] SAP Help Portal. SAP SuccessFactors Compensation. https://help.sap.com/docs/SAP_SUCCESSFACTORS_COMPENSATION</w:t>
      </w:r>
    </w:p>
    <w:p>
      <w:pPr>
        <w:pStyle w:val="Heading1"/>
      </w:pPr>
      <w:r>
        <w:t>Appendix A: Pilot Readiness Checklist</w:t>
      </w:r>
    </w:p>
    <w:p>
      <w:pPr>
        <w:pStyle w:val="ListBullet"/>
        <w:spacing w:after="40"/>
      </w:pPr>
      <w:r>
        <w:t>☐ Executive sponsor, process owners and site-level champions are named.</w:t>
      </w:r>
    </w:p>
    <w:p>
      <w:pPr>
        <w:pStyle w:val="ListBullet"/>
        <w:spacing w:after="40"/>
      </w:pPr>
      <w:r>
        <w:t>☐ Baseline definitions and data sources are approved by HR and Finance.</w:t>
      </w:r>
    </w:p>
    <w:p>
      <w:pPr>
        <w:pStyle w:val="ListBullet"/>
        <w:spacing w:after="40"/>
      </w:pPr>
      <w:r>
        <w:t>☐ Priority roles, job codes and skill requirements are agreed by operations and functional experts.</w:t>
      </w:r>
    </w:p>
    <w:p>
      <w:pPr>
        <w:pStyle w:val="ListBullet"/>
        <w:spacing w:after="40"/>
      </w:pPr>
      <w:r>
        <w:t>☐ Recruiting assessment rubrics are job-related, documented and interviewer-tested.</w:t>
      </w:r>
    </w:p>
    <w:p>
      <w:pPr>
        <w:pStyle w:val="ListBullet"/>
        <w:spacing w:after="40"/>
      </w:pPr>
      <w:r>
        <w:t>☐ Onboarding programmes are mapped to site, role and employment type.</w:t>
      </w:r>
    </w:p>
    <w:p>
      <w:pPr>
        <w:pStyle w:val="ListBullet"/>
        <w:spacing w:after="40"/>
      </w:pPr>
      <w:r>
        <w:t>☐ Safety-critical tasks have explicit prerequisites, practical assessment and authorization controls.</w:t>
      </w:r>
    </w:p>
    <w:p>
      <w:pPr>
        <w:pStyle w:val="ListBullet"/>
        <w:spacing w:after="40"/>
      </w:pPr>
      <w:r>
        <w:t>☐ Learning delivery is feasible across shifts and accessible to the target workforce.</w:t>
      </w:r>
    </w:p>
    <w:p>
      <w:pPr>
        <w:pStyle w:val="ListBullet"/>
        <w:spacing w:after="40"/>
      </w:pPr>
      <w:r>
        <w:t>☐ Privacy, access, retention and local legal requirements have been reviewed.</w:t>
      </w:r>
    </w:p>
    <w:p>
      <w:pPr>
        <w:pStyle w:val="ListBullet"/>
        <w:spacing w:after="40"/>
      </w:pPr>
      <w:r>
        <w:t>☐ End-to-end test cases cover requisition-to-hire, onboarding, learning, transfers and reporting.</w:t>
      </w:r>
    </w:p>
    <w:p>
      <w:pPr>
        <w:pStyle w:val="ListBullet"/>
        <w:spacing w:after="40"/>
      </w:pPr>
      <w:r>
        <w:t>☐ Pilot success criteria, stop/go gates and feedback channels are communicated.</w:t>
      </w:r>
    </w:p>
    <w:p>
      <w:pPr>
        <w:pStyle w:val="Heading1"/>
      </w:pPr>
      <w:r>
        <w:t>Appendix B: Definitions</w:t>
      </w:r>
    </w:p>
    <w:tbl>
      <w:tblPr>
        <w:tblStyle w:val="TableGrid"/>
        <w:tblW w:type="auto" w:w="0"/>
        <w:jc w:val="center"/>
        <w:tblLook w:firstColumn="1" w:firstRow="1" w:lastColumn="0" w:lastRow="0" w:noHBand="0" w:noVBand="1" w:val="04A0"/>
      </w:tblPr>
      <w:tblGrid>
        <w:gridCol w:w="4997"/>
        <w:gridCol w:w="4997"/>
      </w:tblGrid>
      <w:tr>
        <w:tc>
          <w:tcPr>
            <w:tcW w:type="dxa" w:w="2160"/>
            <w:vAlign w:val="center"/>
            <w:shd w:fill="17365D"/>
          </w:tcPr>
          <w:p>
            <w:pPr>
              <w:spacing w:after="20" w:before="20"/>
            </w:pPr>
            <w:r/>
            <w:r>
              <w:rPr>
                <w:rFonts w:ascii="Aptos" w:hAnsi="Aptos"/>
                <w:b/>
                <w:color w:val="FFFFFF"/>
                <w:sz w:val="16"/>
              </w:rPr>
              <w:t>Term</w:t>
            </w:r>
          </w:p>
        </w:tc>
        <w:tc>
          <w:tcPr>
            <w:tcW w:type="dxa" w:w="7632"/>
            <w:vAlign w:val="center"/>
            <w:shd w:fill="17365D"/>
          </w:tcPr>
          <w:p>
            <w:pPr>
              <w:spacing w:after="20" w:before="20"/>
            </w:pPr>
            <w:r/>
            <w:r>
              <w:rPr>
                <w:rFonts w:ascii="Aptos" w:hAnsi="Aptos"/>
                <w:b/>
                <w:color w:val="FFFFFF"/>
                <w:sz w:val="16"/>
              </w:rPr>
              <w:t>Meaning in this plan</w:t>
            </w:r>
          </w:p>
        </w:tc>
      </w:tr>
      <w:tr>
        <w:tc>
          <w:tcPr>
            <w:tcW w:type="dxa" w:w="2160"/>
            <w:vAlign w:val="center"/>
          </w:tcPr>
          <w:p>
            <w:pPr>
              <w:spacing w:after="20" w:before="20"/>
            </w:pPr>
            <w:r/>
            <w:r>
              <w:rPr>
                <w:rFonts w:ascii="Aptos" w:hAnsi="Aptos"/>
                <w:b w:val="0"/>
                <w:sz w:val="16"/>
              </w:rPr>
              <w:t>Time-to-fill</w:t>
            </w:r>
          </w:p>
        </w:tc>
        <w:tc>
          <w:tcPr>
            <w:tcW w:type="dxa" w:w="7632"/>
            <w:vAlign w:val="center"/>
          </w:tcPr>
          <w:p>
            <w:pPr>
              <w:spacing w:after="20" w:before="20"/>
            </w:pPr>
            <w:r/>
            <w:r>
              <w:rPr>
                <w:rFonts w:ascii="Aptos" w:hAnsi="Aptos"/>
                <w:b w:val="0"/>
                <w:sz w:val="16"/>
              </w:rPr>
              <w:t>Calendar time from an approved requisition to the defined hiring endpoint; this report recommends accepted offer as the endpoint, provided it is used consistently.</w:t>
            </w:r>
          </w:p>
        </w:tc>
      </w:tr>
      <w:tr>
        <w:tc>
          <w:tcPr>
            <w:tcW w:type="dxa" w:w="2160"/>
            <w:vAlign w:val="center"/>
            <w:shd w:fill="EAF1F7"/>
          </w:tcPr>
          <w:p>
            <w:pPr>
              <w:spacing w:after="20" w:before="20"/>
            </w:pPr>
            <w:r/>
            <w:r>
              <w:rPr>
                <w:rFonts w:ascii="Aptos" w:hAnsi="Aptos"/>
                <w:b w:val="0"/>
                <w:sz w:val="16"/>
              </w:rPr>
              <w:t>Time-to-proficiency</w:t>
            </w:r>
          </w:p>
        </w:tc>
        <w:tc>
          <w:tcPr>
            <w:tcW w:type="dxa" w:w="7632"/>
            <w:vAlign w:val="center"/>
            <w:shd w:fill="EAF1F7"/>
          </w:tcPr>
          <w:p>
            <w:pPr>
              <w:spacing w:after="20" w:before="20"/>
            </w:pPr>
            <w:r/>
            <w:r>
              <w:rPr>
                <w:rFonts w:ascii="Aptos" w:hAnsi="Aptos"/>
                <w:b w:val="0"/>
                <w:sz w:val="16"/>
              </w:rPr>
              <w:t>Time from start date until a person demonstrates the agreed standard for independent work in their role.</w:t>
            </w:r>
          </w:p>
        </w:tc>
      </w:tr>
      <w:tr>
        <w:tc>
          <w:tcPr>
            <w:tcW w:type="dxa" w:w="2160"/>
            <w:vAlign w:val="center"/>
          </w:tcPr>
          <w:p>
            <w:pPr>
              <w:spacing w:after="20" w:before="20"/>
            </w:pPr>
            <w:r/>
            <w:r>
              <w:rPr>
                <w:rFonts w:ascii="Aptos" w:hAnsi="Aptos"/>
                <w:b w:val="0"/>
                <w:sz w:val="16"/>
              </w:rPr>
              <w:t>Critical role</w:t>
            </w:r>
          </w:p>
        </w:tc>
        <w:tc>
          <w:tcPr>
            <w:tcW w:type="dxa" w:w="7632"/>
            <w:vAlign w:val="center"/>
          </w:tcPr>
          <w:p>
            <w:pPr>
              <w:spacing w:after="20" w:before="20"/>
            </w:pPr>
            <w:r/>
            <w:r>
              <w:rPr>
                <w:rFonts w:ascii="Aptos" w:hAnsi="Aptos"/>
                <w:b w:val="0"/>
                <w:sz w:val="16"/>
              </w:rPr>
              <w:t>A role whose vacancy or capability failure creates material safety, production, quality, launch, customer or compliance risk.</w:t>
            </w:r>
          </w:p>
        </w:tc>
      </w:tr>
      <w:tr>
        <w:tc>
          <w:tcPr>
            <w:tcW w:type="dxa" w:w="2160"/>
            <w:vAlign w:val="center"/>
            <w:shd w:fill="EAF1F7"/>
          </w:tcPr>
          <w:p>
            <w:pPr>
              <w:spacing w:after="20" w:before="20"/>
            </w:pPr>
            <w:r/>
            <w:r>
              <w:rPr>
                <w:rFonts w:ascii="Aptos" w:hAnsi="Aptos"/>
                <w:b w:val="0"/>
                <w:sz w:val="16"/>
              </w:rPr>
              <w:t>Skills gap</w:t>
            </w:r>
          </w:p>
        </w:tc>
        <w:tc>
          <w:tcPr>
            <w:tcW w:type="dxa" w:w="7632"/>
            <w:vAlign w:val="center"/>
            <w:shd w:fill="EAF1F7"/>
          </w:tcPr>
          <w:p>
            <w:pPr>
              <w:spacing w:after="20" w:before="20"/>
            </w:pPr>
            <w:r/>
            <w:r>
              <w:rPr>
                <w:rFonts w:ascii="Aptos" w:hAnsi="Aptos"/>
                <w:b w:val="0"/>
                <w:sz w:val="16"/>
              </w:rPr>
              <w:t>Difference between the required proficiency for a role and the evidence-backed proficiency currently available.</w:t>
            </w:r>
          </w:p>
        </w:tc>
      </w:tr>
      <w:tr>
        <w:tc>
          <w:tcPr>
            <w:tcW w:type="dxa" w:w="2160"/>
            <w:vAlign w:val="center"/>
          </w:tcPr>
          <w:p>
            <w:pPr>
              <w:spacing w:after="20" w:before="20"/>
            </w:pPr>
            <w:r/>
            <w:r>
              <w:rPr>
                <w:rFonts w:ascii="Aptos" w:hAnsi="Aptos"/>
                <w:b w:val="0"/>
                <w:sz w:val="16"/>
              </w:rPr>
              <w:t>90-day retention</w:t>
            </w:r>
          </w:p>
        </w:tc>
        <w:tc>
          <w:tcPr>
            <w:tcW w:type="dxa" w:w="7632"/>
            <w:vAlign w:val="center"/>
          </w:tcPr>
          <w:p>
            <w:pPr>
              <w:spacing w:after="20" w:before="20"/>
            </w:pPr>
            <w:r/>
            <w:r>
              <w:rPr>
                <w:rFonts w:ascii="Aptos" w:hAnsi="Aptos"/>
                <w:b w:val="0"/>
                <w:sz w:val="16"/>
              </w:rPr>
              <w:t>Share of a defined new-hire cohort still employed 90 days after start; cohort exclusions must be documented.</w:t>
            </w:r>
          </w:p>
        </w:tc>
      </w:tr>
      <w:tr>
        <w:tc>
          <w:tcPr>
            <w:tcW w:type="dxa" w:w="2160"/>
            <w:vAlign w:val="center"/>
            <w:shd w:fill="EAF1F7"/>
          </w:tcPr>
          <w:p>
            <w:pPr>
              <w:spacing w:after="20" w:before="20"/>
            </w:pPr>
            <w:r/>
            <w:r>
              <w:rPr>
                <w:rFonts w:ascii="Aptos" w:hAnsi="Aptos"/>
                <w:b w:val="0"/>
                <w:sz w:val="16"/>
              </w:rPr>
              <w:t>Successor readiness</w:t>
            </w:r>
          </w:p>
        </w:tc>
        <w:tc>
          <w:tcPr>
            <w:tcW w:type="dxa" w:w="7632"/>
            <w:vAlign w:val="center"/>
            <w:shd w:fill="EAF1F7"/>
          </w:tcPr>
          <w:p>
            <w:pPr>
              <w:spacing w:after="20" w:before="20"/>
            </w:pPr>
            <w:r/>
            <w:r>
              <w:rPr>
                <w:rFonts w:ascii="Aptos" w:hAnsi="Aptos"/>
                <w:b w:val="0"/>
                <w:sz w:val="16"/>
              </w:rPr>
              <w:t>Evidence-based assessment of whether a potential successor could perform the role now or after a defined development period.</w:t>
            </w:r>
          </w:p>
        </w:tc>
      </w:tr>
      <w:tr>
        <w:tc>
          <w:tcPr>
            <w:tcW w:type="dxa" w:w="2160"/>
            <w:vAlign w:val="center"/>
          </w:tcPr>
          <w:p>
            <w:pPr>
              <w:spacing w:after="20" w:before="20"/>
            </w:pPr>
            <w:r/>
            <w:r>
              <w:rPr>
                <w:rFonts w:ascii="Aptos" w:hAnsi="Aptos"/>
                <w:b w:val="0"/>
                <w:sz w:val="16"/>
              </w:rPr>
              <w:t>Build / buy / borrow / automate / redesign</w:t>
            </w:r>
          </w:p>
        </w:tc>
        <w:tc>
          <w:tcPr>
            <w:tcW w:type="dxa" w:w="7632"/>
            <w:vAlign w:val="center"/>
          </w:tcPr>
          <w:p>
            <w:pPr>
              <w:spacing w:after="20" w:before="20"/>
            </w:pPr>
            <w:r/>
            <w:r>
              <w:rPr>
                <w:rFonts w:ascii="Aptos" w:hAnsi="Aptos"/>
                <w:b w:val="0"/>
                <w:sz w:val="16"/>
              </w:rPr>
              <w:t>A workforce response framework: develop existing staff, recruit externally, use temporary/partner capacity, automate tasks, or change how work is designed.</w:t>
            </w:r>
          </w:p>
        </w:tc>
      </w:tr>
    </w:tbl>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Strategic Talent Management | SAP SuccessFactors Concepts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E78"/>
        <w:sz w:val="16"/>
      </w:rPr>
      <w:t>STRATEGIC TALENT MANAGEMENT PLAN  |  AUTOMOTIVE INDUSTRY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7C9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3550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Talent Management Plan for the Automotive Industry Using SAP SuccessFactors Concepts</dc:title>
  <dc:subject>Automotive talent acquisition, onboarding, retention, learning, succession, risk assessment and SAP SuccessFactors</dc:subject>
  <dc:creator>OpenAI</dc:creator>
  <cp:keywords>Automotive, SAP SuccessFactors, talent management, recruitment, onboarding, workforce planning</cp:keywords>
  <dc:description>generated by python-docx</dc:description>
  <cp:lastModifiedBy/>
  <cp:revision>1</cp:revision>
  <dcterms:created xsi:type="dcterms:W3CDTF">2013-12-23T23:15:00Z</dcterms:created>
  <dcterms:modified xsi:type="dcterms:W3CDTF">2013-12-23T23:15:00Z</dcterms:modified>
  <cp:category/>
</cp:coreProperties>
</file>