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STRATEGIC TALENT</w:t>
        <w:br/>
        <w:t>MANAGEMENT PLAN</w:t>
      </w:r>
    </w:p>
    <w:p>
      <w:pPr>
        <w:jc w:val="center"/>
      </w:pPr>
      <w:r>
        <w:rPr>
          <w:b/>
          <w:sz w:val="30"/>
        </w:rPr>
        <w:t>For the Automotive Industry Using SAP SuccessFactors Concepts</w:t>
      </w:r>
    </w:p>
    <w:p/>
    <w:p>
      <w:pPr>
        <w:jc w:val="center"/>
      </w:pPr>
      <w:r>
        <w:rPr>
          <w:i/>
        </w:rPr>
        <w:t>Strategic planning document | Illustrative 24-month roadmap | October 2026</w:t>
      </w:r>
    </w:p>
    <w:p/>
    <w:p>
      <w:r>
        <w:t>Prepared as an applied strategic framework for an automotive original equipment manufacturer (OEM) or large component supplier operating across manufacturing, engineering, software, sales, and after-sales service.</w:t>
      </w:r>
    </w:p>
    <w:p>
      <w:r>
        <w:br w:type="page"/>
      </w:r>
    </w:p>
    <w:p>
      <w:pPr>
        <w:pStyle w:val="Heading1"/>
      </w:pPr>
      <w:r>
        <w:t>Executive Summary</w:t>
      </w:r>
    </w:p>
    <w:p>
      <w:r>
        <w:t>Automotive companies are managing a workforce transition as significant as their product and manufacturing transitions. Electrification, connected and software-defined vehicles, advanced driver-assistance systems, robotics, data-driven quality, cybersecurity, and more flexible production systems are changing the skills needed across the value chain. At the same time, manufacturers must maintain safety, quality, cost, delivery, regulatory compliance, and customer satisfaction. These demands make talent management a strategic operating capability rather than a stand-alone human resources activity.</w:t>
      </w:r>
    </w:p>
    <w:p>
      <w:r>
        <w:t>This plan proposes an integrated talent framework using SAP SuccessFactors concepts to connect business strategy with workforce planning, recruiting, onboarding, learning, performance, career development, succession, compensation, employee experience, and people analytics. It is designed for an illustrative automotive organization and should be tailored to its geography, workforce size, collective agreements, technology landscape, and business priorities. SAP SuccessFactors is treated as an enabling platform: software can standardize workflows and improve visibility, but it cannot substitute for credible leadership, good jobs, capable managers, safe working conditions, or meaningful career opportunities.</w:t>
      </w:r>
    </w:p>
    <w:p>
      <w:r>
        <w:t>The strategy has five priorities: (1) forecast critical skills and workforce demand; (2) build talent pipelines for EV, battery, embedded software, cybersecurity, automation, quality, and skilled trades; (3) improve the candidate-to-employee experience; (4) retain and redeploy talent through continuous learning, internal mobility, fair performance practices, and visible career paths; and (5) govern the programme through measurable outcomes, risk controls, and phased implementation. A 24-month roadmap starts with discovery and data foundations, pilots high-priority roles and plants, then scales proven practices.</w:t>
      </w:r>
    </w:p>
    <w:p>
      <w:r>
        <w:t>Illustrative targets include reducing time-to-fill for critical roles by 15–20%, increasing offer acceptance by 5 percentage points, achieving 90% completion of structured 90-day onboarding, improving internal fill rates for selected roles, and reducing regrettable turnover in critical-skill populations. These are planning targets, not guaranteed product outcomes; baselines should be established before targets are finalized. Success will be judged by workforce readiness and business results—quality, safety, productivity, launch readiness, and reduced vacancy disruption—not by software adoption alone.</w:t>
      </w:r>
    </w:p>
    <w:p>
      <w:pPr>
        <w:pStyle w:val="Heading1"/>
      </w:pPr>
      <w:r>
        <w:t>1. Introduction: Talent Management in the Automotive Sector</w:t>
      </w:r>
    </w:p>
    <w:p>
      <w:pPr>
        <w:pStyle w:val="Heading2"/>
      </w:pPr>
      <w:r>
        <w:t>1.1 Meaning and strategic importance</w:t>
      </w:r>
    </w:p>
    <w:p>
      <w:r>
        <w:t>Strategic talent management is the coordinated process of anticipating workforce needs, attracting people, placing them in suitable roles, developing capability, evaluating contribution, rewarding fairly, and retaining or redeploying skills. In automotive businesses, the process spans corporate and plant employees, product and manufacturing engineers, technicians, software developers, quality specialists, supply-chain professionals, dealer and service teams, and temporary or contract workers. A single talent model must therefore accommodate different work settings without assuming that every employee has the same access to a laptop, learning time, or a desk-based workflow.</w:t>
      </w:r>
    </w:p>
    <w:p>
      <w:r>
        <w:t>Talent is strategically important because vehicle programmes and factory operations are tightly linked to timing, quality, safety, and cost. A shortage of battery-validation engineers can delay a product milestone; a shortage of maintenance technicians can reduce equipment availability; gaps in high-voltage safety skills can create serious hazards; and weak frontline supervision can affect quality, attendance, and retention. Hiring delays and unwanted turnover also increase overtime, agency costs, training costs, and pressure on remaining employees.</w:t>
      </w:r>
    </w:p>
    <w:p>
      <w:r>
        <w:t>Talent management should therefore be integrated with product strategy, manufacturing strategy, capital investment, launch schedules, regional expansion, supplier plans, and after-sales service requirements. A people plan that is disconnected from business planning risks hiring too late, training for obsolete work, or building capabilities in locations where they are not needed.</w:t>
      </w:r>
    </w:p>
    <w:p>
      <w:pPr>
        <w:pStyle w:val="Heading2"/>
      </w:pPr>
      <w:r>
        <w:t>1.2 Industry forces shaping workforce demand</w:t>
      </w:r>
    </w:p>
    <w:p>
      <w:pPr>
        <w:pStyle w:val="ListBullet"/>
      </w:pPr>
      <w:r>
        <w:t>Electrification: battery systems, power electronics, electric motors, thermal management, charging, high-voltage safety, and battery recycling require new capabilities alongside continuing ICE and hybrid expertise.</w:t>
      </w:r>
    </w:p>
    <w:p>
      <w:pPr>
        <w:pStyle w:val="ListBullet"/>
      </w:pPr>
      <w:r>
        <w:t>Software-defined and connected vehicles: embedded software, cloud platforms, cybersecurity, data engineering, systems integration, validation, OTA updates, and functional safety become more important.</w:t>
      </w:r>
    </w:p>
    <w:p>
      <w:pPr>
        <w:pStyle w:val="ListBullet"/>
      </w:pPr>
      <w:r>
        <w:t>Industry 4.0 and advanced manufacturing: robotics, machine vision, industrial data, predictive maintenance, digital twins, automation integration, and human-machine collaboration alter production roles.</w:t>
      </w:r>
    </w:p>
    <w:p>
      <w:pPr>
        <w:pStyle w:val="ListBullet"/>
      </w:pPr>
      <w:r>
        <w:t>Quality, safety, and regulation: employees need disciplined problem-solving, traceability, process control, product safety awareness, and appropriate technical certifications.</w:t>
      </w:r>
    </w:p>
    <w:p>
      <w:pPr>
        <w:pStyle w:val="ListBullet"/>
      </w:pPr>
      <w:r>
        <w:t>Demographic and labour-market pressure: experienced technicians and engineers may retire, while employers compete for digital talent with technology companies and other sectors.</w:t>
      </w:r>
    </w:p>
    <w:p>
      <w:pPr>
        <w:pStyle w:val="ListBullet"/>
      </w:pPr>
      <w:r>
        <w:t>Supply-chain and cost volatility: demand may change rapidly by product, region, plant, or supplier. Workforce planning must include scenarios, redeployment, and flexible training.</w:t>
      </w:r>
    </w:p>
    <w:p>
      <w:r>
        <w:t>For India-focused automotive organizations, the skills transition is especially relevant as the sector develops EVs, automation, and software-enabled products. NITI Aayog has highlighted demand for skills in electric powertrains, battery management, software integration, AI-driven manufacturing, robotics, and related areas [1]. The Government of India’s 2025 announcement about a Software-Defined Vehicle academy collaboration also illustrates the growing importance of software and cross-disciplinary capability [2]. These examples support a skills-led strategy, rather than a recruitment-only response.</w:t>
      </w:r>
    </w:p>
    <w:p>
      <w:pPr>
        <w:pStyle w:val="Heading2"/>
      </w:pPr>
      <w:r>
        <w:t>1.3 Strategic principles</w:t>
      </w:r>
    </w:p>
    <w:p>
      <w:pPr>
        <w:pStyle w:val="ListBullet"/>
      </w:pPr>
      <w:r>
        <w:t>Business-first: start with business capabilities, launch dates, plant constraints, and customer commitments.</w:t>
      </w:r>
    </w:p>
    <w:p>
      <w:pPr>
        <w:pStyle w:val="ListBullet"/>
      </w:pPr>
      <w:r>
        <w:t>Skills-based: describe roles through demonstrable skills and proficiency, not only job titles or degrees.</w:t>
      </w:r>
    </w:p>
    <w:p>
      <w:pPr>
        <w:pStyle w:val="ListBullet"/>
      </w:pPr>
      <w:r>
        <w:t>Build, buy, borrow, and redeploy: develop current employees where feasible, recruit externally for scarce skills, use partners responsibly, and move talent internally.</w:t>
      </w:r>
    </w:p>
    <w:p>
      <w:pPr>
        <w:pStyle w:val="ListBullet"/>
      </w:pPr>
      <w:r>
        <w:t>Inclusive and practical: provide accessible routes for frontline, shift-based, regional-language, and non-desk employees.</w:t>
      </w:r>
    </w:p>
    <w:p>
      <w:pPr>
        <w:pStyle w:val="ListBullet"/>
      </w:pPr>
      <w:r>
        <w:t>Evidence-led: use reliable workforce data, structured decision criteria, and outcome measures.</w:t>
      </w:r>
    </w:p>
    <w:p>
      <w:pPr>
        <w:pStyle w:val="ListBullet"/>
      </w:pPr>
      <w:r>
        <w:t>Human accountability: managers remain accountable for hiring, performance, development, and employee wellbeing; technology supports decisions rather than making opaque high-impact decisions.</w:t>
      </w:r>
    </w:p>
    <w:p>
      <w:pPr>
        <w:pStyle w:val="Heading1"/>
      </w:pPr>
      <w:r>
        <w:t>2. Strategic Alignment and Workforce Planning</w:t>
      </w:r>
    </w:p>
    <w:p>
      <w:pPr>
        <w:pStyle w:val="Heading2"/>
      </w:pPr>
      <w:r>
        <w:t>2.1 Translate business goals into talent outcomes</w:t>
      </w:r>
    </w:p>
    <w:p>
      <w:r>
        <w:t>The organization should establish a joint annual planning cycle involving business-unit leaders, plant operations, engineering, finance, HR, learning teams, IT, safety, and employee representatives where applicable. Each business goal should be translated into capabilities, roles, location, timing, proficiency, and workforce quantity. For example, a new EV line may require battery process engineers before pilot production, high-voltage-certified technicians before commissioning, and quality auditors before customer validation.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8"/>
              </w:rPr>
              <w:t>Business priority</w:t>
            </w:r>
          </w:p>
        </w:tc>
        <w:tc>
          <w:tcPr>
            <w:tcW w:type="dxa" w:w="2484"/>
            <w:shd w:fill="1F4E79"/>
          </w:tcPr>
          <w:p>
            <w:r>
              <w:rPr>
                <w:b/>
                <w:color w:val="FFFFFF"/>
                <w:sz w:val="18"/>
              </w:rPr>
              <w:t>Workforce implication</w:t>
            </w:r>
          </w:p>
        </w:tc>
        <w:tc>
          <w:tcPr>
            <w:tcW w:type="dxa" w:w="2484"/>
            <w:shd w:fill="1F4E79"/>
          </w:tcPr>
          <w:p>
            <w:r>
              <w:rPr>
                <w:b/>
                <w:color w:val="FFFFFF"/>
                <w:sz w:val="18"/>
              </w:rPr>
              <w:t>Talent response</w:t>
            </w:r>
          </w:p>
        </w:tc>
        <w:tc>
          <w:tcPr>
            <w:tcW w:type="dxa" w:w="2484"/>
            <w:shd w:fill="1F4E79"/>
          </w:tcPr>
          <w:p>
            <w:r>
              <w:rPr>
                <w:b/>
                <w:color w:val="FFFFFF"/>
                <w:sz w:val="18"/>
              </w:rPr>
              <w:t>Business measure</w:t>
            </w:r>
          </w:p>
        </w:tc>
      </w:tr>
      <w:tr>
        <w:tc>
          <w:tcPr>
            <w:tcW w:type="dxa" w:w="2484"/>
            <w:vAlign w:val="top"/>
          </w:tcPr>
          <w:p>
            <w:pPr>
              <w:spacing w:after="40"/>
            </w:pPr>
            <w:r>
              <w:rPr>
                <w:sz w:val="17"/>
              </w:rPr>
              <w:t>Launch EV / hybrid products on time</w:t>
            </w:r>
          </w:p>
        </w:tc>
        <w:tc>
          <w:tcPr>
            <w:tcW w:type="dxa" w:w="2484"/>
            <w:vAlign w:val="top"/>
          </w:tcPr>
          <w:p>
            <w:pPr>
              <w:spacing w:after="40"/>
            </w:pPr>
            <w:r>
              <w:rPr>
                <w:sz w:val="17"/>
              </w:rPr>
              <w:t>Battery, power-electronics, validation, and quality skills needed at milestone dates</w:t>
            </w:r>
          </w:p>
        </w:tc>
        <w:tc>
          <w:tcPr>
            <w:tcW w:type="dxa" w:w="2484"/>
            <w:vAlign w:val="top"/>
          </w:tcPr>
          <w:p>
            <w:pPr>
              <w:spacing w:after="40"/>
            </w:pPr>
            <w:r>
              <w:rPr>
                <w:sz w:val="17"/>
              </w:rPr>
              <w:t>Skills inventory, targeted hiring, certification pathways, launch-readiness learning</w:t>
            </w:r>
          </w:p>
        </w:tc>
        <w:tc>
          <w:tcPr>
            <w:tcW w:type="dxa" w:w="2484"/>
            <w:vAlign w:val="top"/>
          </w:tcPr>
          <w:p>
            <w:pPr>
              <w:spacing w:after="40"/>
            </w:pPr>
            <w:r>
              <w:rPr>
                <w:sz w:val="17"/>
              </w:rPr>
              <w:t>Milestones met; vacancies in critical roles; launch defects</w:t>
            </w:r>
          </w:p>
        </w:tc>
      </w:tr>
      <w:tr>
        <w:tc>
          <w:tcPr>
            <w:tcW w:type="dxa" w:w="2484"/>
            <w:vAlign w:val="top"/>
          </w:tcPr>
          <w:p>
            <w:pPr>
              <w:spacing w:after="40"/>
            </w:pPr>
            <w:r>
              <w:rPr>
                <w:sz w:val="17"/>
              </w:rPr>
              <w:t>Improve plant productivity and uptime</w:t>
            </w:r>
          </w:p>
        </w:tc>
        <w:tc>
          <w:tcPr>
            <w:tcW w:type="dxa" w:w="2484"/>
            <w:vAlign w:val="top"/>
          </w:tcPr>
          <w:p>
            <w:pPr>
              <w:spacing w:after="40"/>
            </w:pPr>
            <w:r>
              <w:rPr>
                <w:sz w:val="17"/>
              </w:rPr>
              <w:t>Automation, maintenance, industrial data, and frontline leadership capability</w:t>
            </w:r>
          </w:p>
        </w:tc>
        <w:tc>
          <w:tcPr>
            <w:tcW w:type="dxa" w:w="2484"/>
            <w:vAlign w:val="top"/>
          </w:tcPr>
          <w:p>
            <w:pPr>
              <w:spacing w:after="40"/>
            </w:pPr>
            <w:r>
              <w:rPr>
                <w:sz w:val="17"/>
              </w:rPr>
              <w:t>Cross-training, maintenance skill academies, internal mobility</w:t>
            </w:r>
          </w:p>
        </w:tc>
        <w:tc>
          <w:tcPr>
            <w:tcW w:type="dxa" w:w="2484"/>
            <w:vAlign w:val="top"/>
          </w:tcPr>
          <w:p>
            <w:pPr>
              <w:spacing w:after="40"/>
            </w:pPr>
            <w:r>
              <w:rPr>
                <w:sz w:val="17"/>
              </w:rPr>
              <w:t>OEE, downtime, training proficiency</w:t>
            </w:r>
          </w:p>
        </w:tc>
      </w:tr>
      <w:tr>
        <w:tc>
          <w:tcPr>
            <w:tcW w:type="dxa" w:w="2484"/>
            <w:vAlign w:val="top"/>
          </w:tcPr>
          <w:p>
            <w:pPr>
              <w:spacing w:after="40"/>
            </w:pPr>
            <w:r>
              <w:rPr>
                <w:sz w:val="17"/>
              </w:rPr>
              <w:t>Improve product quality and safety</w:t>
            </w:r>
          </w:p>
        </w:tc>
        <w:tc>
          <w:tcPr>
            <w:tcW w:type="dxa" w:w="2484"/>
            <w:vAlign w:val="top"/>
          </w:tcPr>
          <w:p>
            <w:pPr>
              <w:spacing w:after="40"/>
            </w:pPr>
            <w:r>
              <w:rPr>
                <w:sz w:val="17"/>
              </w:rPr>
              <w:t>Problem-solving, process control, functional safety, and traceability capability</w:t>
            </w:r>
          </w:p>
        </w:tc>
        <w:tc>
          <w:tcPr>
            <w:tcW w:type="dxa" w:w="2484"/>
            <w:vAlign w:val="top"/>
          </w:tcPr>
          <w:p>
            <w:pPr>
              <w:spacing w:after="40"/>
            </w:pPr>
            <w:r>
              <w:rPr>
                <w:sz w:val="17"/>
              </w:rPr>
              <w:t>Role-based learning, coaching, skills validation</w:t>
            </w:r>
          </w:p>
        </w:tc>
        <w:tc>
          <w:tcPr>
            <w:tcW w:type="dxa" w:w="2484"/>
            <w:vAlign w:val="top"/>
          </w:tcPr>
          <w:p>
            <w:pPr>
              <w:spacing w:after="40"/>
            </w:pPr>
            <w:r>
              <w:rPr>
                <w:sz w:val="17"/>
              </w:rPr>
              <w:t>First-pass yield, rework, audit findings</w:t>
            </w:r>
          </w:p>
        </w:tc>
      </w:tr>
      <w:tr>
        <w:tc>
          <w:tcPr>
            <w:tcW w:type="dxa" w:w="2484"/>
            <w:vAlign w:val="top"/>
          </w:tcPr>
          <w:p>
            <w:pPr>
              <w:spacing w:after="40"/>
            </w:pPr>
            <w:r>
              <w:rPr>
                <w:sz w:val="17"/>
              </w:rPr>
              <w:t>Accelerate software-defined vehicle capability</w:t>
            </w:r>
          </w:p>
        </w:tc>
        <w:tc>
          <w:tcPr>
            <w:tcW w:type="dxa" w:w="2484"/>
            <w:vAlign w:val="top"/>
          </w:tcPr>
          <w:p>
            <w:pPr>
              <w:spacing w:after="40"/>
            </w:pPr>
            <w:r>
              <w:rPr>
                <w:sz w:val="17"/>
              </w:rPr>
              <w:t>Embedded software, cybersecurity, systems engineering, test automation</w:t>
            </w:r>
          </w:p>
        </w:tc>
        <w:tc>
          <w:tcPr>
            <w:tcW w:type="dxa" w:w="2484"/>
            <w:vAlign w:val="top"/>
          </w:tcPr>
          <w:p>
            <w:pPr>
              <w:spacing w:after="40"/>
            </w:pPr>
            <w:r>
              <w:rPr>
                <w:sz w:val="17"/>
              </w:rPr>
              <w:t>University partnerships, specialist recruitment, communities of practice</w:t>
            </w:r>
          </w:p>
        </w:tc>
        <w:tc>
          <w:tcPr>
            <w:tcW w:type="dxa" w:w="2484"/>
            <w:vAlign w:val="top"/>
          </w:tcPr>
          <w:p>
            <w:pPr>
              <w:spacing w:after="40"/>
            </w:pPr>
            <w:r>
              <w:rPr>
                <w:sz w:val="17"/>
              </w:rPr>
              <w:t>Time-to-fill, release quality, critical-skill coverage</w:t>
            </w:r>
          </w:p>
        </w:tc>
      </w:tr>
      <w:tr>
        <w:tc>
          <w:tcPr>
            <w:tcW w:type="dxa" w:w="2484"/>
            <w:vAlign w:val="top"/>
          </w:tcPr>
          <w:p>
            <w:pPr>
              <w:spacing w:after="40"/>
            </w:pPr>
            <w:r>
              <w:rPr>
                <w:sz w:val="17"/>
              </w:rPr>
              <w:t>Control cost and improve resilience</w:t>
            </w:r>
          </w:p>
        </w:tc>
        <w:tc>
          <w:tcPr>
            <w:tcW w:type="dxa" w:w="2484"/>
            <w:vAlign w:val="top"/>
          </w:tcPr>
          <w:p>
            <w:pPr>
              <w:spacing w:after="40"/>
            </w:pPr>
            <w:r>
              <w:rPr>
                <w:sz w:val="17"/>
              </w:rPr>
              <w:t>Reduced avoidable turnover, better workforce deployment, lower agency reliance</w:t>
            </w:r>
          </w:p>
        </w:tc>
        <w:tc>
          <w:tcPr>
            <w:tcW w:type="dxa" w:w="2484"/>
            <w:vAlign w:val="top"/>
          </w:tcPr>
          <w:p>
            <w:pPr>
              <w:spacing w:after="40"/>
            </w:pPr>
            <w:r>
              <w:rPr>
                <w:sz w:val="17"/>
              </w:rPr>
              <w:t>Retention plans, succession, redeployment, workforce analytics</w:t>
            </w:r>
          </w:p>
        </w:tc>
        <w:tc>
          <w:tcPr>
            <w:tcW w:type="dxa" w:w="2484"/>
            <w:vAlign w:val="top"/>
          </w:tcPr>
          <w:p>
            <w:pPr>
              <w:spacing w:after="40"/>
            </w:pPr>
            <w:r>
              <w:rPr>
                <w:sz w:val="17"/>
              </w:rPr>
              <w:t>Cost per hire, regrettable attrition, internal fill rate</w:t>
            </w:r>
          </w:p>
        </w:tc>
      </w:tr>
    </w:tbl>
    <w:p/>
    <w:p>
      <w:pPr>
        <w:pStyle w:val="Heading2"/>
      </w:pPr>
      <w:r>
        <w:t>2.2 Strategic workforce planning process</w:t>
      </w:r>
    </w:p>
    <w:p>
      <w:pPr>
        <w:pStyle w:val="ListNumber"/>
      </w:pPr>
      <w:r>
        <w:t>Segment the workforce into strategic populations: scarce digital/engineering skills, safety-critical technical roles, high-volume plant roles, frontline leaders, and commercial/service roles.</w:t>
      </w:r>
    </w:p>
    <w:p>
      <w:pPr>
        <w:pStyle w:val="ListNumber"/>
      </w:pPr>
      <w:r>
        <w:t>Create a demand forecast for 12, 24, and 36 months using product launches, automation projects, retirement exposure, attrition trends, capacity plans, and regional expansion scenarios.</w:t>
      </w:r>
    </w:p>
    <w:p>
      <w:pPr>
        <w:pStyle w:val="ListNumber"/>
      </w:pPr>
      <w:r>
        <w:t>Build a supply view from employee records, skills assessments, certifications, performance and development data, succession pools, and internal mobility history.</w:t>
      </w:r>
    </w:p>
    <w:p>
      <w:pPr>
        <w:pStyle w:val="ListNumber"/>
      </w:pPr>
      <w:r>
        <w:t>Identify gaps by skill, proficiency, location, timing, and business criticality. Distinguish a shortage of people from a shortage of capability; the remedies differ.</w:t>
      </w:r>
    </w:p>
    <w:p>
      <w:pPr>
        <w:pStyle w:val="ListNumber"/>
      </w:pPr>
      <w:r>
        <w:t>Choose a build-buy-borrow-redeploy response, estimate costs, name accountable owners, and review the forecast quarterly.</w:t>
      </w:r>
    </w:p>
    <w:p>
      <w:r>
        <w:t>SAP SuccessFactors Employee Central can provide a common employee data foundation, while people analytics and planning capabilities can help leaders inspect workforce composition and trends. Actual planning functions and integrations depend on the modules licensed and the organization’s architecture. Data definitions must be standardized before dashboards are trusted.</w:t>
      </w:r>
    </w:p>
    <w:p>
      <w:pPr>
        <w:pStyle w:val="Heading1"/>
      </w:pPr>
      <w:r>
        <w:t>3. SAP SuccessFactors Modules Relevant to Talent Management</w:t>
      </w:r>
    </w:p>
    <w:p>
      <w:r>
        <w:t>SAP SuccessFactors is a cloud-based human capital management suite connecting core HR and talent processes. The portfolio includes recruiting, onboarding, performance and goals, learning, compensation, succession and development, and analytics/planning capabilities [3–5]. The following analysis maps these concepts to automotive requirements. Availability, naming, licensing, and feature details should be confirmed against the organization’s current SAP contract and product documentation.</w:t>
      </w:r>
    </w:p>
    <w:p>
      <w:pPr>
        <w:pStyle w:val="Heading2"/>
      </w:pPr>
      <w:r>
        <w:t>3.1 Employee Central and core HR data</w:t>
      </w:r>
    </w:p>
    <w:p>
      <w:r>
        <w:t>Employee Central serves as a central employee-data foundation, supporting organizational structures, job and position information, employment events, and employee self-service. In an automotive group with multiple plants, subsidiaries, acquired entities, and regional policies, consistent people data can improve visibility into headcount, location, reporting lines, skills, and movement. Data governance should define who owns job codes, position data, cost centres, plant/location structures, and employee identifiers. Local employment requirements and works-council or employee-representative processes must be respected.</w:t>
      </w:r>
    </w:p>
    <w:p>
      <w:pPr>
        <w:pStyle w:val="Heading2"/>
      </w:pPr>
      <w:r>
        <w:t>3.2 SAP SuccessFactors Recruiting</w:t>
      </w:r>
    </w:p>
    <w:p>
      <w:r>
        <w:t>Recruiting supports candidate sourcing and management, job requisitions, applicant workflows, and communication. For automotive roles, requisitions should specify skill requirements, proficiency, required certifications, shift or travel expectations, work location, and the real work context. Talent pools can be organized around battery engineering, embedded software, automation, quality, maintenance, and skilled trades. Standardized interview scorecards and realistic job previews reduce inconsistent selection and early exits. Recruitment analytics can reveal where candidates drop out, which channels yield qualified hires, and whether time-to-fill differs by plant or role.</w:t>
      </w:r>
    </w:p>
    <w:p>
      <w:r>
        <w:t>The strategy should not optimize only for speed. Hiring quality, candidate experience, diversity, safety-critical credential checks, and manager responsiveness must be balanced. Automated ranking should be explainable, monitored for disparate impact, and subject to human review.</w:t>
      </w:r>
    </w:p>
    <w:p>
      <w:pPr>
        <w:pStyle w:val="Heading2"/>
      </w:pPr>
      <w:r>
        <w:t>3.3 SAP SuccessFactors Onboarding</w:t>
      </w:r>
    </w:p>
    <w:p>
      <w:r>
        <w:t>Onboarding can coordinate pre-day-one tasks, documentation, introductions, training, equipment, and manager actions through guided journeys [6]. Automotive onboarding should be role-specific: an office-based software engineer needs product architecture, secure development, and team access; a plant technician needs site orientation, personal protective equipment, emergency response, quality standards, and task-specific authorization. A structured 30/60/90-day journey should include a named buddy, manager check-ins, learning milestones, and a clear path to independent work. High-risk tasks must not be assigned until required training and authorization are verified.</w:t>
      </w:r>
    </w:p>
    <w:p>
      <w:pPr>
        <w:pStyle w:val="Heading2"/>
      </w:pPr>
      <w:r>
        <w:t>3.4 SAP SuccessFactors Learning</w:t>
      </w:r>
    </w:p>
    <w:p>
      <w:r>
        <w:t>Learning supports the assignment, delivery, and tracking of training. The automotive learning architecture should combine digital modules, instructor-led training, practical workshops, simulations, mentoring, and supervised on-the-job practice. Learning paths should map to roles and skills—for example, battery fundamentals, high-voltage safety, robotics maintenance, statistical process control, cybersecurity, and functional safety. Completion alone is not competence; practical assessment, observed demonstrations, certification status, and refresh intervals are necessary for safety-critical work.</w:t>
      </w:r>
    </w:p>
    <w:p>
      <w:r>
        <w:t>A skills academy can combine internal experts with technical institutes, universities, suppliers, and accredited training partners. Learning plans should provide paid learning time and shift-compatible access so that frontline employees are not disadvantaged compared with office-based employees.</w:t>
      </w:r>
    </w:p>
    <w:p>
      <w:pPr>
        <w:pStyle w:val="Heading2"/>
      </w:pPr>
      <w:r>
        <w:t>3.5 Performance and Goals</w:t>
      </w:r>
    </w:p>
    <w:p>
      <w:r>
        <w:t>Performance and Goals can connect employee objectives with business targets, enable regular performance conversations, and support evaluations and calibration [4]. Goals should include both results and the way results are achieved. Plant roles may include safety, quality, productivity, problem-solving, and team development; engineers may include validation quality, design maturity, collaboration, and learning; managers may include retention, coaching, succession readiness, and inclusive team practices. Targets must be within the employee’s influence and must not reward unsafe shortcuts or concealment of defects.</w:t>
      </w:r>
    </w:p>
    <w:p>
      <w:r>
        <w:t>Quarterly check-ins are recommended, with a formal annual review retained where appropriate. Calibration can improve consistency across departments, but should not become forced ranking. Employees should be able to comment on evidence, understand ratings, and request review through a documented process.</w:t>
      </w:r>
    </w:p>
    <w:p>
      <w:pPr>
        <w:pStyle w:val="Heading2"/>
      </w:pPr>
      <w:r>
        <w:t>3.6 Succession and Development / Career Development</w:t>
      </w:r>
    </w:p>
    <w:p>
      <w:r>
        <w:t>Succession and development processes identify critical roles, assess readiness, and prepare internal successors. Automotive critical roles may include plant manager, launch leader, battery safety lead, quality director, controls engineer, and specialist maintenance roles. A succession plan should identify more than one potential successor where possible and record development actions rather than labels alone. Career development tools and opportunity marketplaces can support internal moves, mentoring, project assignments, and visibility into opportunities [5].</w:t>
      </w:r>
    </w:p>
    <w:p>
      <w:r>
        <w:t>Career paths should include technical expert routes as well as people-management routes. A highly capable controls engineer should not have to become a manager to progress. Transparent criteria, skills evidence, and cross-plant opportunities help retain people who might otherwise leave to gain experience elsewhere.</w:t>
      </w:r>
    </w:p>
    <w:p>
      <w:pPr>
        <w:pStyle w:val="Heading2"/>
      </w:pPr>
      <w:r>
        <w:t>3.7 Compensation and recognition</w:t>
      </w:r>
    </w:p>
    <w:p>
      <w:r>
        <w:t>Compensation planning can support structured salary and incentive decisions. Rewards should be internally equitable, externally informed, and aligned with desired behaviour. Incentives may recognize quality improvement, safe operations, team delivery, skills certification, innovation, and mentoring—not output volume alone. Pay decisions require governance, local legal review, budget control, and checks for unexplained disparities. Recognition should be timely and accessible to production teams as well as corporate employees.</w:t>
      </w:r>
    </w:p>
    <w:p>
      <w:pPr>
        <w:pStyle w:val="Heading2"/>
      </w:pPr>
      <w:r>
        <w:t>3.8 People analytics and integration</w:t>
      </w:r>
    </w:p>
    <w:p>
      <w:r>
        <w:t>People analytics should connect recruiting, onboarding, learning, performance, mobility, absence, and turnover measures to operational outcomes. Leaders need a small, trusted set of indicators with definitions and owners, rather than numerous unverified dashboards. Where possible, workforce indicators can be compared with plant quality, safety, maintenance, and production data, with appropriate privacy controls. Integration with manufacturing, identity, learning, payroll, and finance systems should be documented and tested. Analytics should support questions and decisions, not merely produce reports.</w:t>
      </w:r>
    </w:p>
    <w:p>
      <w:pPr>
        <w:pStyle w:val="Heading1"/>
      </w:pPr>
      <w:r>
        <w:t>4. Proposed Strategic Initiatives</w:t>
      </w:r>
    </w:p>
    <w:p>
      <w:pPr>
        <w:pStyle w:val="Heading2"/>
      </w:pPr>
      <w:r>
        <w:t>4.1 Initiative A: Automotive Critical Skills Map</w:t>
      </w:r>
    </w:p>
    <w:p>
      <w:r>
        <w:t>Within the first 90 days, define a skills taxonomy for the organization’s priority job families. Include technical skills, proficiency levels, evidence requirements, certifications, and expiry dates where applicable. Start with five to eight critical families rather than attempting to catalogue every role immediately. Examples include EV/battery, embedded software, automation and robotics, quality and validation, maintenance, supply chain, and frontline leadership. Validate the taxonomy with subject-matter experts and employees who perform the work.</w:t>
      </w:r>
    </w:p>
    <w:p>
      <w:r>
        <w:t>Expected impact: clearer requisitions, more accurate training assignments, better internal matching, and a shared language for workforce planning. The principal risk is over-engineering the taxonomy; mitigate it by piloting with a small number of roles and reviewing usefulness every six months.</w:t>
      </w:r>
    </w:p>
    <w:p>
      <w:pPr>
        <w:pStyle w:val="Heading2"/>
      </w:pPr>
      <w:r>
        <w:t>4.2 Initiative B: Targeted Talent Pipelines</w:t>
      </w:r>
    </w:p>
    <w:p>
      <w:r>
        <w:t>Create a differentiated pipeline for each scarce role family. For digital and engineering roles, use university projects, internships, technical communities, employee referrals, and targeted sourcing. For technicians and operators, partner with Industrial Training Institutes (ITIs), polytechnics, apprenticeship programmes, and local training providers. Use practical work samples or job-relevant assessments, structured interviews, and realistic job previews. Maintain candidate pools with transparent consent and retention rules.</w:t>
      </w:r>
    </w:p>
    <w:p>
      <w:r>
        <w:t>A strategic workforce review should determine which skills are best built internally and which need external recruitment. For example, experienced battery systems architects may be recruited externally, while existing electrical or maintenance technicians may be reskilled for selected EV service tasks after suitable assessment and training. Hiring plans should be synchronized with plant commissioning and product milestones.</w:t>
      </w:r>
    </w:p>
    <w:p>
      <w:r>
        <w:t>Expected impact: better qualified applicant pools, less dependence on last-minute agency hiring, and improved regional availability. Metrics include qualified applicants per vacancy, offer acceptance, candidate withdrawal reasons, time-to-fill, and early turnover.</w:t>
      </w:r>
    </w:p>
    <w:p>
      <w:pPr>
        <w:pStyle w:val="Heading2"/>
      </w:pPr>
      <w:r>
        <w:t>4.3 Initiative C: Role-Based 30/60/90-Day Onboarding</w:t>
      </w:r>
    </w:p>
    <w:p>
      <w:r>
        <w:t>Build onboarding journeys for plant employees, engineers, digital teams, managers, and sales/service employees. Before day one, confirm documentation, equipment, access, shift details, and required training. By day 30, employees should understand safety, quality, team norms, and role expectations. By day 60, managers should review early work evidence and remove barriers. By day 90, the employee and manager should agree on proficiency progress and the next development goals. New hires should have a named buddy and scheduled check-ins.</w:t>
      </w:r>
    </w:p>
    <w:p>
      <w:r>
        <w:t>Expected impact: faster time to productive contribution, fewer preventable early exits, and consistent compliance. Measure completion of critical steps, new-hire satisfaction, 90-day retention, manager check-in completion, and time to demonstrated proficiency. Do not use satisfaction scores as the sole measure of onboarding quality.</w:t>
      </w:r>
    </w:p>
    <w:p>
      <w:pPr>
        <w:pStyle w:val="Heading2"/>
      </w:pPr>
      <w:r>
        <w:t>4.4 Initiative D: EV and Digital Skills Academy</w:t>
      </w:r>
    </w:p>
    <w:p>
      <w:r>
        <w:t>Launch a blended academy that combines learning content, practical assessment, mentoring, and work-based projects. Initial pathways could include EV fundamentals, battery handling and safety, power electronics, embedded software testing, industrial robotics, predictive maintenance, cybersecurity awareness, and quality analytics. Each pathway should define prerequisites, learning hours, proficiency standards, practical assessment, and refresh requirements. The academy should be open to eligible current employees and external early-career talent.</w:t>
      </w:r>
    </w:p>
    <w:p>
      <w:r>
        <w:t>Managers must release employees for learning and offer opportunities to apply new skills. Completion should be linked to internal job opportunities where appropriate, but not promise automatic promotion. Training should be reviewed with production and engineering leaders to ensure it addresses real capability gaps rather than generic course completion.</w:t>
      </w:r>
    </w:p>
    <w:p>
      <w:r>
        <w:t>Expected impact: increased internal supply of emerging skills, lower dependence on external hiring for selected roles, and better employee career prospects. Track proficiency gains, certification attainment, internal placement, post-training performance, and retention of participants against an appropriate comparison group where feasible.</w:t>
      </w:r>
    </w:p>
    <w:p>
      <w:pPr>
        <w:pStyle w:val="Heading2"/>
      </w:pPr>
      <w:r>
        <w:t>4.5 Initiative E: Internal Mobility and Career Architecture</w:t>
      </w:r>
    </w:p>
    <w:p>
      <w:r>
        <w:t>Publish clear career pathways for technical specialists, operators, technicians, engineers, and managers. Establish transparent criteria for lateral moves, promotions, cross-training, and project assignments. Use internal opportunity listings and employee skills profiles to match people to vacancies or short-term projects. Prioritize skill adjacency: for example, a maintenance technician with electrical experience may be able to progress toward automation support after structured training and validation.</w:t>
      </w:r>
    </w:p>
    <w:p>
      <w:r>
        <w:t>Expected impact: more internal fills, better use of existing knowledge, reduced recruitment costs for selected roles, and stronger retention. Risks include managers hoarding talent or employees perceiving unfair access. Mitigate through executive sponsorship, consistent eligibility rules, service-level expectations for releasing internal candidates, and audits of who receives opportunities.</w:t>
      </w:r>
    </w:p>
    <w:p>
      <w:pPr>
        <w:pStyle w:val="Heading2"/>
      </w:pPr>
      <w:r>
        <w:t>4.6 Initiative F: Frontline Leadership and Employee Experience</w:t>
      </w:r>
    </w:p>
    <w:p>
      <w:r>
        <w:t>Supervisors and team leaders have an outsized influence on safety, engagement, attendance, learning transfer, and turnover. Create a practical leadership programme covering coaching, daily problem-solving, respectful communication, conflict resolution, fair scheduling, inclusion, and early identification of skill gaps. Provide mobile-friendly or kiosk-accessible HR services for employees without regular computer access. Offer clear communication in relevant languages and schedule feedback sessions across shifts.</w:t>
      </w:r>
    </w:p>
    <w:p>
      <w:r>
        <w:t>Retention should be addressed through listening, not only incentives. Conduct short pulse surveys, stay interviews for critical talent, exit analysis, and focus groups. Communicate what action followed feedback. If employees report poor supervision, unpredictable shifts, limited development, or unsafe pressure, those issues require operational action—not another engagement campaign.</w:t>
      </w:r>
    </w:p>
    <w:p>
      <w:r>
        <w:t>Expected impact: stronger trust, better retention, and more consistent team performance. Track regrettable turnover, absence trends, employee feedback response rates, grievance themes, and manager effectiveness, while protecting confidentiality.</w:t>
      </w:r>
    </w:p>
    <w:p>
      <w:pPr>
        <w:pStyle w:val="Heading2"/>
      </w:pPr>
      <w:r>
        <w:t>4.7 Initiative G: Critical-Role Succession and Knowledge Transfer</w:t>
      </w:r>
    </w:p>
    <w:p>
      <w:r>
        <w:t>Identify roles where vacancy would threaten safety, launch milestones, product quality, customer relationships, or regulatory compliance. Assess successor readiness using evidence and documented criteria. Create individual development plans involving mentoring, temporary assignments, shadowing, and project leadership. For experienced employees approaching retirement, capture work instructions, troubleshooting logic, supplier knowledge, and lessons learned through structured knowledge-transfer sessions.</w:t>
      </w:r>
    </w:p>
    <w:p>
      <w:r>
        <w:t>Expected impact: reduced single-person dependency, stronger leadership continuity, and preservation of tacit knowledge. Review succession coverage twice yearly and avoid treating a succession label as a guarantee. Employees should be informed appropriately, and sensitive talent data must be restricted.</w:t>
      </w:r>
    </w:p>
    <w:p>
      <w:pPr>
        <w:pStyle w:val="Heading1"/>
      </w:pPr>
      <w:r>
        <w:t>5. Talent Acquisition and Retention Operating Model</w:t>
      </w:r>
    </w:p>
    <w:p>
      <w:pPr>
        <w:pStyle w:val="Heading2"/>
      </w:pPr>
      <w:r>
        <w:t>5.1 Candidate-to-employee journey</w:t>
      </w:r>
    </w:p>
    <w:p>
      <w:r>
        <w:t>The recommended journey begins with demand approval and a skills-based requisition. Recruiters and hiring managers agree on essential criteria and a realistic timeline. Candidates receive clear communication, accessible assessment options, and timely feedback. Selected candidates move through verification and offer stages, then into role-based onboarding. Learning, goals, and manager check-ins continue after the first week so that recruitment is not considered complete when an offer is accepted.</w:t>
      </w:r>
    </w:p>
    <w:p>
      <w:r>
        <w:t>A monthly talent review should examine critical vacancies, candidate pipeline quality, onboarding barriers, training capacity, and turnover signals. For plant hiring, recruiters should coordinate with operations on shift requirements, transport, medical/fitness requirements where legally appropriate, site access, and start dates. Avoid promising job conditions that operations cannot reliably deliver.</w:t>
      </w:r>
    </w:p>
    <w:p>
      <w:pPr>
        <w:pStyle w:val="Heading2"/>
      </w:pPr>
      <w:r>
        <w:t>5.2 Retention framework</w:t>
      </w:r>
    </w:p>
    <w:p>
      <w:r>
        <w:t>Retention should be segmented. Scarce specialists may value technical challenge, access to modern tools, recognition, flexible work where feasible, and opportunities to publish or present work. Plant employees may place greater importance on safe conditions, fair supervisors, reliable schedules, transparent pay, transport, and a clear route to skilled roles. Frontline managers need realistic spans of control, coaching, and time to develop employees. The organization should identify the drivers of regrettable turnover by location, tenure, job family, manager, and skill group, while avoiding simplistic assumptions from small samples.</w:t>
      </w:r>
    </w:p>
    <w:p>
      <w:r>
        <w:t>The retention package should combine fair compensation, credible development, good management, safe and respectful work, internal opportunities, and regular communication. Counteroffers may be appropriate in limited cases but should not substitute for diagnosing systemic causes. HR and business leaders should review whether retention actions actually change outcomes.</w:t>
      </w:r>
    </w:p>
    <w:p>
      <w:pPr>
        <w:pStyle w:val="Heading1"/>
      </w:pPr>
      <w:r>
        <w:t>6. Implementation Roadmap: 24 Months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8"/>
              </w:rPr>
              <w:t>Phase and timing</w:t>
            </w:r>
          </w:p>
        </w:tc>
        <w:tc>
          <w:tcPr>
            <w:tcW w:type="dxa" w:w="2484"/>
            <w:shd w:fill="1F4E79"/>
          </w:tcPr>
          <w:p>
            <w:r>
              <w:rPr>
                <w:b/>
                <w:color w:val="FFFFFF"/>
                <w:sz w:val="18"/>
              </w:rPr>
              <w:t>Key actions</w:t>
            </w:r>
          </w:p>
        </w:tc>
        <w:tc>
          <w:tcPr>
            <w:tcW w:type="dxa" w:w="2484"/>
            <w:shd w:fill="1F4E79"/>
          </w:tcPr>
          <w:p>
            <w:r>
              <w:rPr>
                <w:b/>
                <w:color w:val="FFFFFF"/>
                <w:sz w:val="18"/>
              </w:rPr>
              <w:t>Accountable owners</w:t>
            </w:r>
          </w:p>
        </w:tc>
        <w:tc>
          <w:tcPr>
            <w:tcW w:type="dxa" w:w="2484"/>
            <w:shd w:fill="1F4E79"/>
          </w:tcPr>
          <w:p>
            <w:r>
              <w:rPr>
                <w:b/>
                <w:color w:val="FFFFFF"/>
                <w:sz w:val="18"/>
              </w:rPr>
              <w:t>Deliverables / gate</w:t>
            </w:r>
          </w:p>
        </w:tc>
      </w:tr>
      <w:tr>
        <w:tc>
          <w:tcPr>
            <w:tcW w:type="dxa" w:w="2484"/>
            <w:vAlign w:val="top"/>
          </w:tcPr>
          <w:p>
            <w:pPr>
              <w:spacing w:after="40"/>
            </w:pPr>
            <w:r>
              <w:rPr>
                <w:sz w:val="17"/>
              </w:rPr>
              <w:t>Phase 1: Diagnose (Months 0–3)</w:t>
            </w:r>
          </w:p>
        </w:tc>
        <w:tc>
          <w:tcPr>
            <w:tcW w:type="dxa" w:w="2484"/>
            <w:vAlign w:val="top"/>
          </w:tcPr>
          <w:p>
            <w:pPr>
              <w:spacing w:after="40"/>
            </w:pPr>
            <w:r>
              <w:rPr>
                <w:sz w:val="17"/>
              </w:rPr>
              <w:t>Confirm business priorities; map critical roles; audit HR data and current processes; establish baselines; consult plants and employees</w:t>
            </w:r>
          </w:p>
        </w:tc>
        <w:tc>
          <w:tcPr>
            <w:tcW w:type="dxa" w:w="2484"/>
            <w:vAlign w:val="top"/>
          </w:tcPr>
          <w:p>
            <w:pPr>
              <w:spacing w:after="40"/>
            </w:pPr>
            <w:r>
              <w:rPr>
                <w:sz w:val="17"/>
              </w:rPr>
              <w:t>CHRO, business HR, operations, IT, finance</w:t>
            </w:r>
          </w:p>
        </w:tc>
        <w:tc>
          <w:tcPr>
            <w:tcW w:type="dxa" w:w="2484"/>
            <w:vAlign w:val="top"/>
          </w:tcPr>
          <w:p>
            <w:pPr>
              <w:spacing w:after="40"/>
            </w:pPr>
            <w:r>
              <w:rPr>
                <w:sz w:val="17"/>
              </w:rPr>
              <w:t>Approved scope, data dictionary, critical-role list, baseline dashboard</w:t>
            </w:r>
          </w:p>
        </w:tc>
      </w:tr>
      <w:tr>
        <w:tc>
          <w:tcPr>
            <w:tcW w:type="dxa" w:w="2484"/>
            <w:vAlign w:val="top"/>
          </w:tcPr>
          <w:p>
            <w:pPr>
              <w:spacing w:after="40"/>
            </w:pPr>
            <w:r>
              <w:rPr>
                <w:sz w:val="17"/>
              </w:rPr>
              <w:t>Phase 2: Design (Months 3–6)</w:t>
            </w:r>
          </w:p>
        </w:tc>
        <w:tc>
          <w:tcPr>
            <w:tcW w:type="dxa" w:w="2484"/>
            <w:vAlign w:val="top"/>
          </w:tcPr>
          <w:p>
            <w:pPr>
              <w:spacing w:after="40"/>
            </w:pPr>
            <w:r>
              <w:rPr>
                <w:sz w:val="17"/>
              </w:rPr>
              <w:t>Define skills taxonomy; redesign requisitions and scorecards; create onboarding journeys; design academy pilots; privacy/security review</w:t>
            </w:r>
          </w:p>
        </w:tc>
        <w:tc>
          <w:tcPr>
            <w:tcW w:type="dxa" w:w="2484"/>
            <w:vAlign w:val="top"/>
          </w:tcPr>
          <w:p>
            <w:pPr>
              <w:spacing w:after="40"/>
            </w:pPr>
            <w:r>
              <w:rPr>
                <w:sz w:val="17"/>
              </w:rPr>
              <w:t>Talent acquisition, learning, HRIS, legal, safety</w:t>
            </w:r>
          </w:p>
        </w:tc>
        <w:tc>
          <w:tcPr>
            <w:tcW w:type="dxa" w:w="2484"/>
            <w:vAlign w:val="top"/>
          </w:tcPr>
          <w:p>
            <w:pPr>
              <w:spacing w:after="40"/>
            </w:pPr>
            <w:r>
              <w:rPr>
                <w:sz w:val="17"/>
              </w:rPr>
              <w:t>Future-state process maps, pilot requirements, governance and controls</w:t>
            </w:r>
          </w:p>
        </w:tc>
      </w:tr>
      <w:tr>
        <w:tc>
          <w:tcPr>
            <w:tcW w:type="dxa" w:w="2484"/>
            <w:vAlign w:val="top"/>
          </w:tcPr>
          <w:p>
            <w:pPr>
              <w:spacing w:after="40"/>
            </w:pPr>
            <w:r>
              <w:rPr>
                <w:sz w:val="17"/>
              </w:rPr>
              <w:t>Phase 3: Pilot (Months 6–9)</w:t>
            </w:r>
          </w:p>
        </w:tc>
        <w:tc>
          <w:tcPr>
            <w:tcW w:type="dxa" w:w="2484"/>
            <w:vAlign w:val="top"/>
          </w:tcPr>
          <w:p>
            <w:pPr>
              <w:spacing w:after="40"/>
            </w:pPr>
            <w:r>
              <w:rPr>
                <w:sz w:val="17"/>
              </w:rPr>
              <w:t>Pilot in one plant and one engineering/software population; train managers; test integrations; collect user feedback</w:t>
            </w:r>
          </w:p>
        </w:tc>
        <w:tc>
          <w:tcPr>
            <w:tcW w:type="dxa" w:w="2484"/>
            <w:vAlign w:val="top"/>
          </w:tcPr>
          <w:p>
            <w:pPr>
              <w:spacing w:after="40"/>
            </w:pPr>
            <w:r>
              <w:rPr>
                <w:sz w:val="17"/>
              </w:rPr>
              <w:t>Plant manager, engineering leader, HR project lead</w:t>
            </w:r>
          </w:p>
        </w:tc>
        <w:tc>
          <w:tcPr>
            <w:tcW w:type="dxa" w:w="2484"/>
            <w:vAlign w:val="top"/>
          </w:tcPr>
          <w:p>
            <w:pPr>
              <w:spacing w:after="40"/>
            </w:pPr>
            <w:r>
              <w:rPr>
                <w:sz w:val="17"/>
              </w:rPr>
              <w:t>Pilot scorecard, issue log, adoption and quality gate</w:t>
            </w:r>
          </w:p>
        </w:tc>
      </w:tr>
      <w:tr>
        <w:tc>
          <w:tcPr>
            <w:tcW w:type="dxa" w:w="2484"/>
            <w:vAlign w:val="top"/>
          </w:tcPr>
          <w:p>
            <w:pPr>
              <w:spacing w:after="40"/>
            </w:pPr>
            <w:r>
              <w:rPr>
                <w:sz w:val="17"/>
              </w:rPr>
              <w:t>Phase 4: Refine and scale (Months 9–15)</w:t>
            </w:r>
          </w:p>
        </w:tc>
        <w:tc>
          <w:tcPr>
            <w:tcW w:type="dxa" w:w="2484"/>
            <w:vAlign w:val="top"/>
          </w:tcPr>
          <w:p>
            <w:pPr>
              <w:spacing w:after="40"/>
            </w:pPr>
            <w:r>
              <w:rPr>
                <w:sz w:val="17"/>
              </w:rPr>
              <w:t>Fix data/process issues; extend recruiting, onboarding, and learning pathways to priority locations; launch internal opportunity process</w:t>
            </w:r>
          </w:p>
        </w:tc>
        <w:tc>
          <w:tcPr>
            <w:tcW w:type="dxa" w:w="2484"/>
            <w:vAlign w:val="top"/>
          </w:tcPr>
          <w:p>
            <w:pPr>
              <w:spacing w:after="40"/>
            </w:pPr>
            <w:r>
              <w:rPr>
                <w:sz w:val="17"/>
              </w:rPr>
              <w:t>Programme board, HR operations, site HR</w:t>
            </w:r>
          </w:p>
        </w:tc>
        <w:tc>
          <w:tcPr>
            <w:tcW w:type="dxa" w:w="2484"/>
            <w:vAlign w:val="top"/>
          </w:tcPr>
          <w:p>
            <w:pPr>
              <w:spacing w:after="40"/>
            </w:pPr>
            <w:r>
              <w:rPr>
                <w:sz w:val="17"/>
              </w:rPr>
              <w:t>Standard templates, trained champions, approved rollout wave</w:t>
            </w:r>
          </w:p>
        </w:tc>
      </w:tr>
      <w:tr>
        <w:tc>
          <w:tcPr>
            <w:tcW w:type="dxa" w:w="2484"/>
            <w:vAlign w:val="top"/>
          </w:tcPr>
          <w:p>
            <w:pPr>
              <w:spacing w:after="40"/>
            </w:pPr>
            <w:r>
              <w:rPr>
                <w:sz w:val="17"/>
              </w:rPr>
              <w:t>Phase 5: Embed (Months 15–21)</w:t>
            </w:r>
          </w:p>
        </w:tc>
        <w:tc>
          <w:tcPr>
            <w:tcW w:type="dxa" w:w="2484"/>
            <w:vAlign w:val="top"/>
          </w:tcPr>
          <w:p>
            <w:pPr>
              <w:spacing w:after="40"/>
            </w:pPr>
            <w:r>
              <w:rPr>
                <w:sz w:val="17"/>
              </w:rPr>
              <w:t>Add succession and career development; connect talent reviews to annual planning; strengthen analytics and manager capability</w:t>
            </w:r>
          </w:p>
        </w:tc>
        <w:tc>
          <w:tcPr>
            <w:tcW w:type="dxa" w:w="2484"/>
            <w:vAlign w:val="top"/>
          </w:tcPr>
          <w:p>
            <w:pPr>
              <w:spacing w:after="40"/>
            </w:pPr>
            <w:r>
              <w:rPr>
                <w:sz w:val="17"/>
              </w:rPr>
              <w:t>CHRO, business leaders, people analytics</w:t>
            </w:r>
          </w:p>
        </w:tc>
        <w:tc>
          <w:tcPr>
            <w:tcW w:type="dxa" w:w="2484"/>
            <w:vAlign w:val="top"/>
          </w:tcPr>
          <w:p>
            <w:pPr>
              <w:spacing w:after="40"/>
            </w:pPr>
            <w:r>
              <w:rPr>
                <w:sz w:val="17"/>
              </w:rPr>
              <w:t>Quarterly workforce review, succession plans, mobility reporting</w:t>
            </w:r>
          </w:p>
        </w:tc>
      </w:tr>
      <w:tr>
        <w:tc>
          <w:tcPr>
            <w:tcW w:type="dxa" w:w="2484"/>
            <w:vAlign w:val="top"/>
          </w:tcPr>
          <w:p>
            <w:pPr>
              <w:spacing w:after="40"/>
            </w:pPr>
            <w:r>
              <w:rPr>
                <w:sz w:val="17"/>
              </w:rPr>
              <w:t>Phase 6: Evaluate (Months 21–24)</w:t>
            </w:r>
          </w:p>
        </w:tc>
        <w:tc>
          <w:tcPr>
            <w:tcW w:type="dxa" w:w="2484"/>
            <w:vAlign w:val="top"/>
          </w:tcPr>
          <w:p>
            <w:pPr>
              <w:spacing w:after="40"/>
            </w:pPr>
            <w:r>
              <w:rPr>
                <w:sz w:val="17"/>
              </w:rPr>
              <w:t>Compare results with baselines; assess benefits and fairness; retire redundant processes; set next two-year roadmap</w:t>
            </w:r>
          </w:p>
        </w:tc>
        <w:tc>
          <w:tcPr>
            <w:tcW w:type="dxa" w:w="2484"/>
            <w:vAlign w:val="top"/>
          </w:tcPr>
          <w:p>
            <w:pPr>
              <w:spacing w:after="40"/>
            </w:pPr>
            <w:r>
              <w:rPr>
                <w:sz w:val="17"/>
              </w:rPr>
              <w:t>Executive sponsor, finance, audit, HR</w:t>
            </w:r>
          </w:p>
        </w:tc>
        <w:tc>
          <w:tcPr>
            <w:tcW w:type="dxa" w:w="2484"/>
            <w:vAlign w:val="top"/>
          </w:tcPr>
          <w:p>
            <w:pPr>
              <w:spacing w:after="40"/>
            </w:pPr>
            <w:r>
              <w:rPr>
                <w:sz w:val="17"/>
              </w:rPr>
              <w:t>Benefits review, control assurance, improvement backlog</w:t>
            </w:r>
          </w:p>
        </w:tc>
      </w:tr>
    </w:tbl>
    <w:p/>
    <w:p>
      <w:r>
        <w:t>The sequence is intentionally phased. A company should not deploy every module at once if core data, role definitions, or manager capability are weak. Pilot sites should represent different realities—for example, a high-volume plant and a technical engineering function—so that the design is tested across non-desk and professional populations.</w:t>
      </w:r>
    </w:p>
    <w:p>
      <w:pPr>
        <w:pStyle w:val="Heading1"/>
      </w:pPr>
      <w:r>
        <w:t>7. Governance, Roles, and Change Management</w:t>
      </w:r>
    </w:p>
    <w:p>
      <w:pPr>
        <w:pStyle w:val="Heading2"/>
      </w:pPr>
      <w:r>
        <w:t>7.1 Governance structure</w:t>
      </w:r>
    </w:p>
    <w:p>
      <w:pPr>
        <w:pStyle w:val="ListBullet"/>
      </w:pPr>
      <w:r>
        <w:t>Executive sponsor: CHRO or COO accountable for strategic alignment, funding, and resolution of cross-functional barriers.</w:t>
      </w:r>
    </w:p>
    <w:p>
      <w:pPr>
        <w:pStyle w:val="ListBullet"/>
      </w:pPr>
      <w:r>
        <w:t>Talent steering committee: HR, operations, engineering, finance, IT, legal, safety, and selected employee representatives; meets monthly during implementation.</w:t>
      </w:r>
    </w:p>
    <w:p>
      <w:pPr>
        <w:pStyle w:val="ListBullet"/>
      </w:pPr>
      <w:r>
        <w:t>Module/process owners: accountable for process definitions, data quality, training, access, and continuous improvement.</w:t>
      </w:r>
    </w:p>
    <w:p>
      <w:pPr>
        <w:pStyle w:val="ListBullet"/>
      </w:pPr>
      <w:r>
        <w:t>Site champions: support frontline communication, feedback, and practical adoption across shifts.</w:t>
      </w:r>
    </w:p>
    <w:p>
      <w:pPr>
        <w:pStyle w:val="ListBullet"/>
      </w:pPr>
      <w:r>
        <w:t>Data protection and security leads: approve data access, retention, integrations, vendor controls, and incident response.</w:t>
      </w:r>
    </w:p>
    <w:p>
      <w:pPr>
        <w:pStyle w:val="ListBullet"/>
      </w:pPr>
      <w:r>
        <w:t>Finance/benefits owner: validates cost baselines, savings assumptions, and realized benefits.</w:t>
      </w:r>
    </w:p>
    <w:p>
      <w:pPr>
        <w:pStyle w:val="Heading2"/>
      </w:pPr>
      <w:r>
        <w:t>7.2 Change management</w:t>
      </w:r>
    </w:p>
    <w:p>
      <w:r>
        <w:t>Communicate why the programme is changing, what will be different for each employee group, what will not change, and how feedback will be acted upon. Provide role-specific demonstrations, manager toolkits, short learning sessions, and a help route during rollout. Involve employee representatives early where required. Avoid framing the platform as a surveillance tool or promising that algorithms will objectively determine talent. Explain how data will be used and who can see it.</w:t>
      </w:r>
    </w:p>
    <w:p>
      <w:r>
        <w:t>Adoption should be measured through completion of useful workflows, user confidence, data quality, and process outcomes—not login counts alone. Maintain a visible issue register and publish improvements made from pilot feedback.</w:t>
      </w:r>
    </w:p>
    <w:p>
      <w:pPr>
        <w:pStyle w:val="Heading1"/>
      </w:pPr>
      <w:r>
        <w:t>8. Key Performance Indicators and Evaluation</w:t>
      </w:r>
    </w:p>
    <w:p>
      <w:r>
        <w:t>Baselines should be collected during the first three months, then targets approved by the steering committee. The following targets are illustrative and should be adjusted for business scale, labour-market conditions, and starting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8"/>
              </w:rPr>
              <w:t>KPI</w:t>
            </w:r>
          </w:p>
        </w:tc>
        <w:tc>
          <w:tcPr>
            <w:tcW w:type="dxa" w:w="2484"/>
            <w:shd w:fill="1F4E79"/>
          </w:tcPr>
          <w:p>
            <w:r>
              <w:rPr>
                <w:b/>
                <w:color w:val="FFFFFF"/>
                <w:sz w:val="18"/>
              </w:rPr>
              <w:t>Definition / method</w:t>
            </w:r>
          </w:p>
        </w:tc>
        <w:tc>
          <w:tcPr>
            <w:tcW w:type="dxa" w:w="2484"/>
            <w:shd w:fill="1F4E79"/>
          </w:tcPr>
          <w:p>
            <w:r>
              <w:rPr>
                <w:b/>
                <w:color w:val="FFFFFF"/>
                <w:sz w:val="18"/>
              </w:rPr>
              <w:t>Illustrative 12–24 month target</w:t>
            </w:r>
          </w:p>
        </w:tc>
        <w:tc>
          <w:tcPr>
            <w:tcW w:type="dxa" w:w="2484"/>
            <w:shd w:fill="1F4E79"/>
          </w:tcPr>
          <w:p>
            <w:r>
              <w:rPr>
                <w:b/>
                <w:color w:val="FFFFFF"/>
                <w:sz w:val="18"/>
              </w:rPr>
              <w:t>Review frequency</w:t>
            </w:r>
          </w:p>
        </w:tc>
      </w:tr>
      <w:tr>
        <w:tc>
          <w:tcPr>
            <w:tcW w:type="dxa" w:w="2484"/>
            <w:vAlign w:val="top"/>
          </w:tcPr>
          <w:p>
            <w:pPr>
              <w:spacing w:after="40"/>
            </w:pPr>
            <w:r>
              <w:rPr>
                <w:sz w:val="17"/>
              </w:rPr>
              <w:t>Time-to-fill (critical roles)</w:t>
            </w:r>
          </w:p>
        </w:tc>
        <w:tc>
          <w:tcPr>
            <w:tcW w:type="dxa" w:w="2484"/>
            <w:vAlign w:val="top"/>
          </w:tcPr>
          <w:p>
            <w:pPr>
              <w:spacing w:after="40"/>
            </w:pPr>
            <w:r>
              <w:rPr>
                <w:sz w:val="17"/>
              </w:rPr>
              <w:t>Median days from approved requisition to accepted offer</w:t>
            </w:r>
          </w:p>
        </w:tc>
        <w:tc>
          <w:tcPr>
            <w:tcW w:type="dxa" w:w="2484"/>
            <w:vAlign w:val="top"/>
          </w:tcPr>
          <w:p>
            <w:pPr>
              <w:spacing w:after="40"/>
            </w:pPr>
            <w:r>
              <w:rPr>
                <w:sz w:val="17"/>
              </w:rPr>
              <w:t>Reduce by 15–20% from baseline</w:t>
            </w:r>
          </w:p>
        </w:tc>
        <w:tc>
          <w:tcPr>
            <w:tcW w:type="dxa" w:w="2484"/>
            <w:vAlign w:val="top"/>
          </w:tcPr>
          <w:p>
            <w:pPr>
              <w:spacing w:after="40"/>
            </w:pPr>
            <w:r>
              <w:rPr>
                <w:sz w:val="17"/>
              </w:rPr>
              <w:t>Monthly</w:t>
            </w:r>
          </w:p>
        </w:tc>
      </w:tr>
      <w:tr>
        <w:tc>
          <w:tcPr>
            <w:tcW w:type="dxa" w:w="2484"/>
            <w:vAlign w:val="top"/>
          </w:tcPr>
          <w:p>
            <w:pPr>
              <w:spacing w:after="40"/>
            </w:pPr>
            <w:r>
              <w:rPr>
                <w:sz w:val="17"/>
              </w:rPr>
              <w:t>Offer acceptance</w:t>
            </w:r>
          </w:p>
        </w:tc>
        <w:tc>
          <w:tcPr>
            <w:tcW w:type="dxa" w:w="2484"/>
            <w:vAlign w:val="top"/>
          </w:tcPr>
          <w:p>
            <w:pPr>
              <w:spacing w:after="40"/>
            </w:pPr>
            <w:r>
              <w:rPr>
                <w:sz w:val="17"/>
              </w:rPr>
              <w:t>Accepted offers divided by offers made</w:t>
            </w:r>
          </w:p>
        </w:tc>
        <w:tc>
          <w:tcPr>
            <w:tcW w:type="dxa" w:w="2484"/>
            <w:vAlign w:val="top"/>
          </w:tcPr>
          <w:p>
            <w:pPr>
              <w:spacing w:after="40"/>
            </w:pPr>
            <w:r>
              <w:rPr>
                <w:sz w:val="17"/>
              </w:rPr>
              <w:t>Increase by 5 percentage points</w:t>
            </w:r>
          </w:p>
        </w:tc>
        <w:tc>
          <w:tcPr>
            <w:tcW w:type="dxa" w:w="2484"/>
            <w:vAlign w:val="top"/>
          </w:tcPr>
          <w:p>
            <w:pPr>
              <w:spacing w:after="40"/>
            </w:pPr>
            <w:r>
              <w:rPr>
                <w:sz w:val="17"/>
              </w:rPr>
              <w:t>Monthly</w:t>
            </w:r>
          </w:p>
        </w:tc>
      </w:tr>
      <w:tr>
        <w:tc>
          <w:tcPr>
            <w:tcW w:type="dxa" w:w="2484"/>
            <w:vAlign w:val="top"/>
          </w:tcPr>
          <w:p>
            <w:pPr>
              <w:spacing w:after="40"/>
            </w:pPr>
            <w:r>
              <w:rPr>
                <w:sz w:val="17"/>
              </w:rPr>
              <w:t>Quality of hire</w:t>
            </w:r>
          </w:p>
        </w:tc>
        <w:tc>
          <w:tcPr>
            <w:tcW w:type="dxa" w:w="2484"/>
            <w:vAlign w:val="top"/>
          </w:tcPr>
          <w:p>
            <w:pPr>
              <w:spacing w:after="40"/>
            </w:pPr>
            <w:r>
              <w:rPr>
                <w:sz w:val="17"/>
              </w:rPr>
              <w:t>Combined 6-month performance/proficiency and manager assessment, with defined rubric</w:t>
            </w:r>
          </w:p>
        </w:tc>
        <w:tc>
          <w:tcPr>
            <w:tcW w:type="dxa" w:w="2484"/>
            <w:vAlign w:val="top"/>
          </w:tcPr>
          <w:p>
            <w:pPr>
              <w:spacing w:after="40"/>
            </w:pPr>
            <w:r>
              <w:rPr>
                <w:sz w:val="17"/>
              </w:rPr>
              <w:t>Improve against baseline; validate rubric</w:t>
            </w:r>
          </w:p>
        </w:tc>
        <w:tc>
          <w:tcPr>
            <w:tcW w:type="dxa" w:w="2484"/>
            <w:vAlign w:val="top"/>
          </w:tcPr>
          <w:p>
            <w:pPr>
              <w:spacing w:after="40"/>
            </w:pPr>
            <w:r>
              <w:rPr>
                <w:sz w:val="17"/>
              </w:rPr>
              <w:t>Quarterly</w:t>
            </w:r>
          </w:p>
        </w:tc>
      </w:tr>
      <w:tr>
        <w:tc>
          <w:tcPr>
            <w:tcW w:type="dxa" w:w="2484"/>
            <w:vAlign w:val="top"/>
          </w:tcPr>
          <w:p>
            <w:pPr>
              <w:spacing w:after="40"/>
            </w:pPr>
            <w:r>
              <w:rPr>
                <w:sz w:val="17"/>
              </w:rPr>
              <w:t>90-day onboarding completion</w:t>
            </w:r>
          </w:p>
        </w:tc>
        <w:tc>
          <w:tcPr>
            <w:tcW w:type="dxa" w:w="2484"/>
            <w:vAlign w:val="top"/>
          </w:tcPr>
          <w:p>
            <w:pPr>
              <w:spacing w:after="40"/>
            </w:pPr>
            <w:r>
              <w:rPr>
                <w:sz w:val="17"/>
              </w:rPr>
              <w:t>New hires completing required journey and check-ins</w:t>
            </w:r>
          </w:p>
        </w:tc>
        <w:tc>
          <w:tcPr>
            <w:tcW w:type="dxa" w:w="2484"/>
            <w:vAlign w:val="top"/>
          </w:tcPr>
          <w:p>
            <w:pPr>
              <w:spacing w:after="40"/>
            </w:pPr>
            <w:r>
              <w:rPr>
                <w:sz w:val="17"/>
              </w:rPr>
              <w:t>At least 90%</w:t>
            </w:r>
          </w:p>
        </w:tc>
        <w:tc>
          <w:tcPr>
            <w:tcW w:type="dxa" w:w="2484"/>
            <w:vAlign w:val="top"/>
          </w:tcPr>
          <w:p>
            <w:pPr>
              <w:spacing w:after="40"/>
            </w:pPr>
            <w:r>
              <w:rPr>
                <w:sz w:val="17"/>
              </w:rPr>
              <w:t>Monthly</w:t>
            </w:r>
          </w:p>
        </w:tc>
      </w:tr>
      <w:tr>
        <w:tc>
          <w:tcPr>
            <w:tcW w:type="dxa" w:w="2484"/>
            <w:vAlign w:val="top"/>
          </w:tcPr>
          <w:p>
            <w:pPr>
              <w:spacing w:after="40"/>
            </w:pPr>
            <w:r>
              <w:rPr>
                <w:sz w:val="17"/>
              </w:rPr>
              <w:t>Early attrition</w:t>
            </w:r>
          </w:p>
        </w:tc>
        <w:tc>
          <w:tcPr>
            <w:tcW w:type="dxa" w:w="2484"/>
            <w:vAlign w:val="top"/>
          </w:tcPr>
          <w:p>
            <w:pPr>
              <w:spacing w:after="40"/>
            </w:pPr>
            <w:r>
              <w:rPr>
                <w:sz w:val="17"/>
              </w:rPr>
              <w:t>New hires leaving within 6 or 12 months</w:t>
            </w:r>
          </w:p>
        </w:tc>
        <w:tc>
          <w:tcPr>
            <w:tcW w:type="dxa" w:w="2484"/>
            <w:vAlign w:val="top"/>
          </w:tcPr>
          <w:p>
            <w:pPr>
              <w:spacing w:after="40"/>
            </w:pPr>
            <w:r>
              <w:rPr>
                <w:sz w:val="17"/>
              </w:rPr>
              <w:t>Reduce from baseline, segmented by role/site</w:t>
            </w:r>
          </w:p>
        </w:tc>
        <w:tc>
          <w:tcPr>
            <w:tcW w:type="dxa" w:w="2484"/>
            <w:vAlign w:val="top"/>
          </w:tcPr>
          <w:p>
            <w:pPr>
              <w:spacing w:after="40"/>
            </w:pPr>
            <w:r>
              <w:rPr>
                <w:sz w:val="17"/>
              </w:rPr>
              <w:t>Quarterly</w:t>
            </w:r>
          </w:p>
        </w:tc>
      </w:tr>
      <w:tr>
        <w:tc>
          <w:tcPr>
            <w:tcW w:type="dxa" w:w="2484"/>
            <w:vAlign w:val="top"/>
          </w:tcPr>
          <w:p>
            <w:pPr>
              <w:spacing w:after="40"/>
            </w:pPr>
            <w:r>
              <w:rPr>
                <w:sz w:val="17"/>
              </w:rPr>
              <w:t>Critical skill coverage</w:t>
            </w:r>
          </w:p>
        </w:tc>
        <w:tc>
          <w:tcPr>
            <w:tcW w:type="dxa" w:w="2484"/>
            <w:vAlign w:val="top"/>
          </w:tcPr>
          <w:p>
            <w:pPr>
              <w:spacing w:after="40"/>
            </w:pPr>
            <w:r>
              <w:rPr>
                <w:sz w:val="17"/>
              </w:rPr>
              <w:t>Share of priority positions with required skills available or a funded plan</w:t>
            </w:r>
          </w:p>
        </w:tc>
        <w:tc>
          <w:tcPr>
            <w:tcW w:type="dxa" w:w="2484"/>
            <w:vAlign w:val="top"/>
          </w:tcPr>
          <w:p>
            <w:pPr>
              <w:spacing w:after="40"/>
            </w:pPr>
            <w:r>
              <w:rPr>
                <w:sz w:val="17"/>
              </w:rPr>
              <w:t>At least 85% have coverage or approved mitigation</w:t>
            </w:r>
          </w:p>
        </w:tc>
        <w:tc>
          <w:tcPr>
            <w:tcW w:type="dxa" w:w="2484"/>
            <w:vAlign w:val="top"/>
          </w:tcPr>
          <w:p>
            <w:pPr>
              <w:spacing w:after="40"/>
            </w:pPr>
            <w:r>
              <w:rPr>
                <w:sz w:val="17"/>
              </w:rPr>
              <w:t>Quarterly</w:t>
            </w:r>
          </w:p>
        </w:tc>
      </w:tr>
      <w:tr>
        <w:tc>
          <w:tcPr>
            <w:tcW w:type="dxa" w:w="2484"/>
            <w:vAlign w:val="top"/>
          </w:tcPr>
          <w:p>
            <w:pPr>
              <w:spacing w:after="40"/>
            </w:pPr>
            <w:r>
              <w:rPr>
                <w:sz w:val="17"/>
              </w:rPr>
              <w:t>Learning effectiveness</w:t>
            </w:r>
          </w:p>
        </w:tc>
        <w:tc>
          <w:tcPr>
            <w:tcW w:type="dxa" w:w="2484"/>
            <w:vAlign w:val="top"/>
          </w:tcPr>
          <w:p>
            <w:pPr>
              <w:spacing w:after="40"/>
            </w:pPr>
            <w:r>
              <w:rPr>
                <w:sz w:val="17"/>
              </w:rPr>
              <w:t>Practical proficiency gain or successful assessment, not only course completion</w:t>
            </w:r>
          </w:p>
        </w:tc>
        <w:tc>
          <w:tcPr>
            <w:tcW w:type="dxa" w:w="2484"/>
            <w:vAlign w:val="top"/>
          </w:tcPr>
          <w:p>
            <w:pPr>
              <w:spacing w:after="40"/>
            </w:pPr>
            <w:r>
              <w:rPr>
                <w:sz w:val="17"/>
              </w:rPr>
              <w:t>Set role-specific pass and improvement targets</w:t>
            </w:r>
          </w:p>
        </w:tc>
        <w:tc>
          <w:tcPr>
            <w:tcW w:type="dxa" w:w="2484"/>
            <w:vAlign w:val="top"/>
          </w:tcPr>
          <w:p>
            <w:pPr>
              <w:spacing w:after="40"/>
            </w:pPr>
            <w:r>
              <w:rPr>
                <w:sz w:val="17"/>
              </w:rPr>
              <w:t>Quarterly</w:t>
            </w:r>
          </w:p>
        </w:tc>
      </w:tr>
      <w:tr>
        <w:tc>
          <w:tcPr>
            <w:tcW w:type="dxa" w:w="2484"/>
            <w:vAlign w:val="top"/>
          </w:tcPr>
          <w:p>
            <w:pPr>
              <w:spacing w:after="40"/>
            </w:pPr>
            <w:r>
              <w:rPr>
                <w:sz w:val="17"/>
              </w:rPr>
              <w:t>Internal fill rate</w:t>
            </w:r>
          </w:p>
        </w:tc>
        <w:tc>
          <w:tcPr>
            <w:tcW w:type="dxa" w:w="2484"/>
            <w:vAlign w:val="top"/>
          </w:tcPr>
          <w:p>
            <w:pPr>
              <w:spacing w:after="40"/>
            </w:pPr>
            <w:r>
              <w:rPr>
                <w:sz w:val="17"/>
              </w:rPr>
              <w:t>Share of eligible vacancies filled by internal candidates</w:t>
            </w:r>
          </w:p>
        </w:tc>
        <w:tc>
          <w:tcPr>
            <w:tcW w:type="dxa" w:w="2484"/>
            <w:vAlign w:val="top"/>
          </w:tcPr>
          <w:p>
            <w:pPr>
              <w:spacing w:after="40"/>
            </w:pPr>
            <w:r>
              <w:rPr>
                <w:sz w:val="17"/>
              </w:rPr>
              <w:t>Increase 5–10 percentage points in pilot job families</w:t>
            </w:r>
          </w:p>
        </w:tc>
        <w:tc>
          <w:tcPr>
            <w:tcW w:type="dxa" w:w="2484"/>
            <w:vAlign w:val="top"/>
          </w:tcPr>
          <w:p>
            <w:pPr>
              <w:spacing w:after="40"/>
            </w:pPr>
            <w:r>
              <w:rPr>
                <w:sz w:val="17"/>
              </w:rPr>
              <w:t>Quarterly</w:t>
            </w:r>
          </w:p>
        </w:tc>
      </w:tr>
      <w:tr>
        <w:tc>
          <w:tcPr>
            <w:tcW w:type="dxa" w:w="2484"/>
            <w:vAlign w:val="top"/>
          </w:tcPr>
          <w:p>
            <w:pPr>
              <w:spacing w:after="40"/>
            </w:pPr>
            <w:r>
              <w:rPr>
                <w:sz w:val="17"/>
              </w:rPr>
              <w:t>Regrettable turnover</w:t>
            </w:r>
          </w:p>
        </w:tc>
        <w:tc>
          <w:tcPr>
            <w:tcW w:type="dxa" w:w="2484"/>
            <w:vAlign w:val="top"/>
          </w:tcPr>
          <w:p>
            <w:pPr>
              <w:spacing w:after="40"/>
            </w:pPr>
            <w:r>
              <w:rPr>
                <w:sz w:val="17"/>
              </w:rPr>
              <w:t>Voluntary exits in defined critical populations, validated with business owners</w:t>
            </w:r>
          </w:p>
        </w:tc>
        <w:tc>
          <w:tcPr>
            <w:tcW w:type="dxa" w:w="2484"/>
            <w:vAlign w:val="top"/>
          </w:tcPr>
          <w:p>
            <w:pPr>
              <w:spacing w:after="40"/>
            </w:pPr>
            <w:r>
              <w:rPr>
                <w:sz w:val="17"/>
              </w:rPr>
              <w:t>Reduce 10–15% from baseline where feasible</w:t>
            </w:r>
          </w:p>
        </w:tc>
        <w:tc>
          <w:tcPr>
            <w:tcW w:type="dxa" w:w="2484"/>
            <w:vAlign w:val="top"/>
          </w:tcPr>
          <w:p>
            <w:pPr>
              <w:spacing w:after="40"/>
            </w:pPr>
            <w:r>
              <w:rPr>
                <w:sz w:val="17"/>
              </w:rPr>
              <w:t>Quarterly</w:t>
            </w:r>
          </w:p>
        </w:tc>
      </w:tr>
      <w:tr>
        <w:tc>
          <w:tcPr>
            <w:tcW w:type="dxa" w:w="2484"/>
            <w:vAlign w:val="top"/>
          </w:tcPr>
          <w:p>
            <w:pPr>
              <w:spacing w:after="40"/>
            </w:pPr>
            <w:r>
              <w:rPr>
                <w:sz w:val="17"/>
              </w:rPr>
              <w:t>Succession coverage</w:t>
            </w:r>
          </w:p>
        </w:tc>
        <w:tc>
          <w:tcPr>
            <w:tcW w:type="dxa" w:w="2484"/>
            <w:vAlign w:val="top"/>
          </w:tcPr>
          <w:p>
            <w:pPr>
              <w:spacing w:after="40"/>
            </w:pPr>
            <w:r>
              <w:rPr>
                <w:sz w:val="17"/>
              </w:rPr>
              <w:t>Critical roles with at least one credible ready-now or ready-soon successor/development plan</w:t>
            </w:r>
          </w:p>
        </w:tc>
        <w:tc>
          <w:tcPr>
            <w:tcW w:type="dxa" w:w="2484"/>
            <w:vAlign w:val="top"/>
          </w:tcPr>
          <w:p>
            <w:pPr>
              <w:spacing w:after="40"/>
            </w:pPr>
            <w:r>
              <w:rPr>
                <w:sz w:val="17"/>
              </w:rPr>
              <w:t>At least 80% of identified critical roles covered</w:t>
            </w:r>
          </w:p>
        </w:tc>
        <w:tc>
          <w:tcPr>
            <w:tcW w:type="dxa" w:w="2484"/>
            <w:vAlign w:val="top"/>
          </w:tcPr>
          <w:p>
            <w:pPr>
              <w:spacing w:after="40"/>
            </w:pPr>
            <w:r>
              <w:rPr>
                <w:sz w:val="17"/>
              </w:rPr>
              <w:t>Twice yearly</w:t>
            </w:r>
          </w:p>
        </w:tc>
      </w:tr>
      <w:tr>
        <w:tc>
          <w:tcPr>
            <w:tcW w:type="dxa" w:w="2484"/>
            <w:vAlign w:val="top"/>
          </w:tcPr>
          <w:p>
            <w:pPr>
              <w:spacing w:after="40"/>
            </w:pPr>
            <w:r>
              <w:rPr>
                <w:sz w:val="17"/>
              </w:rPr>
              <w:t>Manager check-ins</w:t>
            </w:r>
          </w:p>
        </w:tc>
        <w:tc>
          <w:tcPr>
            <w:tcW w:type="dxa" w:w="2484"/>
            <w:vAlign w:val="top"/>
          </w:tcPr>
          <w:p>
            <w:pPr>
              <w:spacing w:after="40"/>
            </w:pPr>
            <w:r>
              <w:rPr>
                <w:sz w:val="17"/>
              </w:rPr>
              <w:t>Scheduled onboarding and development conversations completed on time</w:t>
            </w:r>
          </w:p>
        </w:tc>
        <w:tc>
          <w:tcPr>
            <w:tcW w:type="dxa" w:w="2484"/>
            <w:vAlign w:val="top"/>
          </w:tcPr>
          <w:p>
            <w:pPr>
              <w:spacing w:after="40"/>
            </w:pPr>
            <w:r>
              <w:rPr>
                <w:sz w:val="17"/>
              </w:rPr>
              <w:t>At least 90% for pilot populations</w:t>
            </w:r>
          </w:p>
        </w:tc>
        <w:tc>
          <w:tcPr>
            <w:tcW w:type="dxa" w:w="2484"/>
            <w:vAlign w:val="top"/>
          </w:tcPr>
          <w:p>
            <w:pPr>
              <w:spacing w:after="40"/>
            </w:pPr>
            <w:r>
              <w:rPr>
                <w:sz w:val="17"/>
              </w:rPr>
              <w:t>Monthly</w:t>
            </w:r>
          </w:p>
        </w:tc>
      </w:tr>
      <w:tr>
        <w:tc>
          <w:tcPr>
            <w:tcW w:type="dxa" w:w="2484"/>
            <w:vAlign w:val="top"/>
          </w:tcPr>
          <w:p>
            <w:pPr>
              <w:spacing w:after="40"/>
            </w:pPr>
            <w:r>
              <w:rPr>
                <w:sz w:val="17"/>
              </w:rPr>
              <w:t>Fairness and experience</w:t>
            </w:r>
          </w:p>
        </w:tc>
        <w:tc>
          <w:tcPr>
            <w:tcW w:type="dxa" w:w="2484"/>
            <w:vAlign w:val="top"/>
          </w:tcPr>
          <w:p>
            <w:pPr>
              <w:spacing w:after="40"/>
            </w:pPr>
            <w:r>
              <w:rPr>
                <w:sz w:val="17"/>
              </w:rPr>
              <w:t>Candidate/new-hire/employee feedback and selection outcomes by relevant groups</w:t>
            </w:r>
          </w:p>
        </w:tc>
        <w:tc>
          <w:tcPr>
            <w:tcW w:type="dxa" w:w="2484"/>
            <w:vAlign w:val="top"/>
          </w:tcPr>
          <w:p>
            <w:pPr>
              <w:spacing w:after="40"/>
            </w:pPr>
            <w:r>
              <w:rPr>
                <w:sz w:val="17"/>
              </w:rPr>
              <w:t>No unexplained adverse patterns; close action items</w:t>
            </w:r>
          </w:p>
        </w:tc>
        <w:tc>
          <w:tcPr>
            <w:tcW w:type="dxa" w:w="2484"/>
            <w:vAlign w:val="top"/>
          </w:tcPr>
          <w:p>
            <w:pPr>
              <w:spacing w:after="40"/>
            </w:pPr>
            <w:r>
              <w:rPr>
                <w:sz w:val="17"/>
              </w:rPr>
              <w:t>Quarterly</w:t>
            </w:r>
          </w:p>
        </w:tc>
      </w:tr>
    </w:tbl>
    <w:p/>
    <w:p>
      <w:r>
        <w:t>Measurement discipline matters. Define each numerator, denominator, inclusion rule, and reporting cut. Do not compare sites with different labour markets without context. Use leading indicators—skill coverage, learning assessment, candidate pipeline health—alongside lagging indicators such as attrition, defects, and productivity. Where possible, evaluate pilots against comparable non-pilot groups or a before-and-after baseline, while documenting other changes that may influence results.</w:t>
      </w:r>
    </w:p>
    <w:p>
      <w:pPr>
        <w:pStyle w:val="Heading1"/>
      </w:pPr>
      <w:r>
        <w:t>9. Risk Assessment and Mitigation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8"/>
              </w:rPr>
              <w:t>Risk</w:t>
            </w:r>
          </w:p>
        </w:tc>
        <w:tc>
          <w:tcPr>
            <w:tcW w:type="dxa" w:w="2484"/>
            <w:shd w:fill="1F4E79"/>
          </w:tcPr>
          <w:p>
            <w:r>
              <w:rPr>
                <w:b/>
                <w:color w:val="FFFFFF"/>
                <w:sz w:val="18"/>
              </w:rPr>
              <w:t>Potential effect</w:t>
            </w:r>
          </w:p>
        </w:tc>
        <w:tc>
          <w:tcPr>
            <w:tcW w:type="dxa" w:w="2484"/>
            <w:shd w:fill="1F4E79"/>
          </w:tcPr>
          <w:p>
            <w:r>
              <w:rPr>
                <w:b/>
                <w:color w:val="FFFFFF"/>
                <w:sz w:val="18"/>
              </w:rPr>
              <w:t>Mitigation and control</w:t>
            </w:r>
          </w:p>
        </w:tc>
        <w:tc>
          <w:tcPr>
            <w:tcW w:type="dxa" w:w="2484"/>
            <w:shd w:fill="1F4E79"/>
          </w:tcPr>
          <w:p>
            <w:r>
              <w:rPr>
                <w:b/>
                <w:color w:val="FFFFFF"/>
                <w:sz w:val="18"/>
              </w:rPr>
              <w:t>Owner</w:t>
            </w:r>
          </w:p>
        </w:tc>
      </w:tr>
      <w:tr>
        <w:tc>
          <w:tcPr>
            <w:tcW w:type="dxa" w:w="2484"/>
            <w:vAlign w:val="top"/>
          </w:tcPr>
          <w:p>
            <w:pPr>
              <w:spacing w:after="40"/>
            </w:pPr>
            <w:r>
              <w:rPr>
                <w:sz w:val="17"/>
              </w:rPr>
              <w:t>Poor or inconsistent HR data</w:t>
            </w:r>
          </w:p>
        </w:tc>
        <w:tc>
          <w:tcPr>
            <w:tcW w:type="dxa" w:w="2484"/>
            <w:vAlign w:val="top"/>
          </w:tcPr>
          <w:p>
            <w:pPr>
              <w:spacing w:after="40"/>
            </w:pPr>
            <w:r>
              <w:rPr>
                <w:sz w:val="17"/>
              </w:rPr>
              <w:t>Misleading forecasts, duplicate records, unreliable dashboards</w:t>
            </w:r>
          </w:p>
        </w:tc>
        <w:tc>
          <w:tcPr>
            <w:tcW w:type="dxa" w:w="2484"/>
            <w:vAlign w:val="top"/>
          </w:tcPr>
          <w:p>
            <w:pPr>
              <w:spacing w:after="40"/>
            </w:pPr>
            <w:r>
              <w:rPr>
                <w:sz w:val="17"/>
              </w:rPr>
              <w:t>Data dictionary, ownership, validation rules, periodic audits, data-quality scorecards</w:t>
            </w:r>
          </w:p>
        </w:tc>
        <w:tc>
          <w:tcPr>
            <w:tcW w:type="dxa" w:w="2484"/>
            <w:vAlign w:val="top"/>
          </w:tcPr>
          <w:p>
            <w:pPr>
              <w:spacing w:after="40"/>
            </w:pPr>
            <w:r>
              <w:rPr>
                <w:sz w:val="17"/>
              </w:rPr>
              <w:t>HRIS / data owners</w:t>
            </w:r>
          </w:p>
        </w:tc>
      </w:tr>
      <w:tr>
        <w:tc>
          <w:tcPr>
            <w:tcW w:type="dxa" w:w="2484"/>
            <w:vAlign w:val="top"/>
          </w:tcPr>
          <w:p>
            <w:pPr>
              <w:spacing w:after="40"/>
            </w:pPr>
            <w:r>
              <w:rPr>
                <w:sz w:val="17"/>
              </w:rPr>
              <w:t>Low frontline adoption</w:t>
            </w:r>
          </w:p>
        </w:tc>
        <w:tc>
          <w:tcPr>
            <w:tcW w:type="dxa" w:w="2484"/>
            <w:vAlign w:val="top"/>
          </w:tcPr>
          <w:p>
            <w:pPr>
              <w:spacing w:after="40"/>
            </w:pPr>
            <w:r>
              <w:rPr>
                <w:sz w:val="17"/>
              </w:rPr>
              <w:t>Processes remain manual; unequal employee experience</w:t>
            </w:r>
          </w:p>
        </w:tc>
        <w:tc>
          <w:tcPr>
            <w:tcW w:type="dxa" w:w="2484"/>
            <w:vAlign w:val="top"/>
          </w:tcPr>
          <w:p>
            <w:pPr>
              <w:spacing w:after="40"/>
            </w:pPr>
            <w:r>
              <w:rPr>
                <w:sz w:val="17"/>
              </w:rPr>
              <w:t>Mobile/kiosk access, shift-based training, local champions, language support, feedback loops</w:t>
            </w:r>
          </w:p>
        </w:tc>
        <w:tc>
          <w:tcPr>
            <w:tcW w:type="dxa" w:w="2484"/>
            <w:vAlign w:val="top"/>
          </w:tcPr>
          <w:p>
            <w:pPr>
              <w:spacing w:after="40"/>
            </w:pPr>
            <w:r>
              <w:rPr>
                <w:sz w:val="17"/>
              </w:rPr>
              <w:t>Site HR / operations</w:t>
            </w:r>
          </w:p>
        </w:tc>
      </w:tr>
      <w:tr>
        <w:tc>
          <w:tcPr>
            <w:tcW w:type="dxa" w:w="2484"/>
            <w:vAlign w:val="top"/>
          </w:tcPr>
          <w:p>
            <w:pPr>
              <w:spacing w:after="40"/>
            </w:pPr>
            <w:r>
              <w:rPr>
                <w:sz w:val="17"/>
              </w:rPr>
              <w:t>Skills taxonomy becomes too complex</w:t>
            </w:r>
          </w:p>
        </w:tc>
        <w:tc>
          <w:tcPr>
            <w:tcW w:type="dxa" w:w="2484"/>
            <w:vAlign w:val="top"/>
          </w:tcPr>
          <w:p>
            <w:pPr>
              <w:spacing w:after="40"/>
            </w:pPr>
            <w:r>
              <w:rPr>
                <w:sz w:val="17"/>
              </w:rPr>
              <w:t>Managers do not maintain profiles; slow implementation</w:t>
            </w:r>
          </w:p>
        </w:tc>
        <w:tc>
          <w:tcPr>
            <w:tcW w:type="dxa" w:w="2484"/>
            <w:vAlign w:val="top"/>
          </w:tcPr>
          <w:p>
            <w:pPr>
              <w:spacing w:after="40"/>
            </w:pPr>
            <w:r>
              <w:rPr>
                <w:sz w:val="17"/>
              </w:rPr>
              <w:t>Pilot limited job families, focus on observable skills, annual simplification review</w:t>
            </w:r>
          </w:p>
        </w:tc>
        <w:tc>
          <w:tcPr>
            <w:tcW w:type="dxa" w:w="2484"/>
            <w:vAlign w:val="top"/>
          </w:tcPr>
          <w:p>
            <w:pPr>
              <w:spacing w:after="40"/>
            </w:pPr>
            <w:r>
              <w:rPr>
                <w:sz w:val="17"/>
              </w:rPr>
              <w:t>Learning / workforce planning</w:t>
            </w:r>
          </w:p>
        </w:tc>
      </w:tr>
      <w:tr>
        <w:tc>
          <w:tcPr>
            <w:tcW w:type="dxa" w:w="2484"/>
            <w:vAlign w:val="top"/>
          </w:tcPr>
          <w:p>
            <w:pPr>
              <w:spacing w:after="40"/>
            </w:pPr>
            <w:r>
              <w:rPr>
                <w:sz w:val="17"/>
              </w:rPr>
              <w:t>Algorithmic bias in screening or talent decisions</w:t>
            </w:r>
          </w:p>
        </w:tc>
        <w:tc>
          <w:tcPr>
            <w:tcW w:type="dxa" w:w="2484"/>
            <w:vAlign w:val="top"/>
          </w:tcPr>
          <w:p>
            <w:pPr>
              <w:spacing w:after="40"/>
            </w:pPr>
            <w:r>
              <w:rPr>
                <w:sz w:val="17"/>
              </w:rPr>
              <w:t>Unfair outcomes, reputational and legal risk</w:t>
            </w:r>
          </w:p>
        </w:tc>
        <w:tc>
          <w:tcPr>
            <w:tcW w:type="dxa" w:w="2484"/>
            <w:vAlign w:val="top"/>
          </w:tcPr>
          <w:p>
            <w:pPr>
              <w:spacing w:after="40"/>
            </w:pPr>
            <w:r>
              <w:rPr>
                <w:sz w:val="17"/>
              </w:rPr>
              <w:t>Human review, explainable criteria, regular adverse-impact checks, appeal routes, vendor due diligence</w:t>
            </w:r>
          </w:p>
        </w:tc>
        <w:tc>
          <w:tcPr>
            <w:tcW w:type="dxa" w:w="2484"/>
            <w:vAlign w:val="top"/>
          </w:tcPr>
          <w:p>
            <w:pPr>
              <w:spacing w:after="40"/>
            </w:pPr>
            <w:r>
              <w:rPr>
                <w:sz w:val="17"/>
              </w:rPr>
              <w:t>TA / legal / DEI</w:t>
            </w:r>
          </w:p>
        </w:tc>
      </w:tr>
      <w:tr>
        <w:tc>
          <w:tcPr>
            <w:tcW w:type="dxa" w:w="2484"/>
            <w:vAlign w:val="top"/>
          </w:tcPr>
          <w:p>
            <w:pPr>
              <w:spacing w:after="40"/>
            </w:pPr>
            <w:r>
              <w:rPr>
                <w:sz w:val="17"/>
              </w:rPr>
              <w:t>Privacy or cybersecurity incident</w:t>
            </w:r>
          </w:p>
        </w:tc>
        <w:tc>
          <w:tcPr>
            <w:tcW w:type="dxa" w:w="2484"/>
            <w:vAlign w:val="top"/>
          </w:tcPr>
          <w:p>
            <w:pPr>
              <w:spacing w:after="40"/>
            </w:pPr>
            <w:r>
              <w:rPr>
                <w:sz w:val="17"/>
              </w:rPr>
              <w:t>Exposure of sensitive employee/candidate data</w:t>
            </w:r>
          </w:p>
        </w:tc>
        <w:tc>
          <w:tcPr>
            <w:tcW w:type="dxa" w:w="2484"/>
            <w:vAlign w:val="top"/>
          </w:tcPr>
          <w:p>
            <w:pPr>
              <w:spacing w:after="40"/>
            </w:pPr>
            <w:r>
              <w:rPr>
                <w:sz w:val="17"/>
              </w:rPr>
              <w:t>Least-privilege access, retention schedules, encryption, audit logs, incident response, privacy review</w:t>
            </w:r>
          </w:p>
        </w:tc>
        <w:tc>
          <w:tcPr>
            <w:tcW w:type="dxa" w:w="2484"/>
            <w:vAlign w:val="top"/>
          </w:tcPr>
          <w:p>
            <w:pPr>
              <w:spacing w:after="40"/>
            </w:pPr>
            <w:r>
              <w:rPr>
                <w:sz w:val="17"/>
              </w:rPr>
              <w:t>IT security / privacy lead</w:t>
            </w:r>
          </w:p>
        </w:tc>
      </w:tr>
      <w:tr>
        <w:tc>
          <w:tcPr>
            <w:tcW w:type="dxa" w:w="2484"/>
            <w:vAlign w:val="top"/>
          </w:tcPr>
          <w:p>
            <w:pPr>
              <w:spacing w:after="40"/>
            </w:pPr>
            <w:r>
              <w:rPr>
                <w:sz w:val="17"/>
              </w:rPr>
              <w:t>Training completion without competence</w:t>
            </w:r>
          </w:p>
        </w:tc>
        <w:tc>
          <w:tcPr>
            <w:tcW w:type="dxa" w:w="2484"/>
            <w:vAlign w:val="top"/>
          </w:tcPr>
          <w:p>
            <w:pPr>
              <w:spacing w:after="40"/>
            </w:pPr>
            <w:r>
              <w:rPr>
                <w:sz w:val="17"/>
              </w:rPr>
              <w:t>Safety or quality incidents; false confidence</w:t>
            </w:r>
          </w:p>
        </w:tc>
        <w:tc>
          <w:tcPr>
            <w:tcW w:type="dxa" w:w="2484"/>
            <w:vAlign w:val="top"/>
          </w:tcPr>
          <w:p>
            <w:pPr>
              <w:spacing w:after="40"/>
            </w:pPr>
            <w:r>
              <w:rPr>
                <w:sz w:val="17"/>
              </w:rPr>
              <w:t>Practical assessment, authorization gates, refresher training, supervisor sign-off</w:t>
            </w:r>
          </w:p>
        </w:tc>
        <w:tc>
          <w:tcPr>
            <w:tcW w:type="dxa" w:w="2484"/>
            <w:vAlign w:val="top"/>
          </w:tcPr>
          <w:p>
            <w:pPr>
              <w:spacing w:after="40"/>
            </w:pPr>
            <w:r>
              <w:rPr>
                <w:sz w:val="17"/>
              </w:rPr>
              <w:t>Safety / operations / learning</w:t>
            </w:r>
          </w:p>
        </w:tc>
      </w:tr>
      <w:tr>
        <w:tc>
          <w:tcPr>
            <w:tcW w:type="dxa" w:w="2484"/>
            <w:vAlign w:val="top"/>
          </w:tcPr>
          <w:p>
            <w:pPr>
              <w:spacing w:after="40"/>
            </w:pPr>
            <w:r>
              <w:rPr>
                <w:sz w:val="17"/>
              </w:rPr>
              <w:t>Manager resistance or talent hoarding</w:t>
            </w:r>
          </w:p>
        </w:tc>
        <w:tc>
          <w:tcPr>
            <w:tcW w:type="dxa" w:w="2484"/>
            <w:vAlign w:val="top"/>
          </w:tcPr>
          <w:p>
            <w:pPr>
              <w:spacing w:after="40"/>
            </w:pPr>
            <w:r>
              <w:rPr>
                <w:sz w:val="17"/>
              </w:rPr>
              <w:t>Low mobility, inconsistent reviews, loss of trust</w:t>
            </w:r>
          </w:p>
        </w:tc>
        <w:tc>
          <w:tcPr>
            <w:tcW w:type="dxa" w:w="2484"/>
            <w:vAlign w:val="top"/>
          </w:tcPr>
          <w:p>
            <w:pPr>
              <w:spacing w:after="40"/>
            </w:pPr>
            <w:r>
              <w:rPr>
                <w:sz w:val="17"/>
              </w:rPr>
              <w:t>Leadership goals, common rules, escalation path, cross-unit mobility targets</w:t>
            </w:r>
          </w:p>
        </w:tc>
        <w:tc>
          <w:tcPr>
            <w:tcW w:type="dxa" w:w="2484"/>
            <w:vAlign w:val="top"/>
          </w:tcPr>
          <w:p>
            <w:pPr>
              <w:spacing w:after="40"/>
            </w:pPr>
            <w:r>
              <w:rPr>
                <w:sz w:val="17"/>
              </w:rPr>
              <w:t>Business leaders</w:t>
            </w:r>
          </w:p>
        </w:tc>
      </w:tr>
      <w:tr>
        <w:tc>
          <w:tcPr>
            <w:tcW w:type="dxa" w:w="2484"/>
            <w:vAlign w:val="top"/>
          </w:tcPr>
          <w:p>
            <w:pPr>
              <w:spacing w:after="40"/>
            </w:pPr>
            <w:r>
              <w:rPr>
                <w:sz w:val="17"/>
              </w:rPr>
              <w:t>Overreliance on external hiring</w:t>
            </w:r>
          </w:p>
        </w:tc>
        <w:tc>
          <w:tcPr>
            <w:tcW w:type="dxa" w:w="2484"/>
            <w:vAlign w:val="top"/>
          </w:tcPr>
          <w:p>
            <w:pPr>
              <w:spacing w:after="40"/>
            </w:pPr>
            <w:r>
              <w:rPr>
                <w:sz w:val="17"/>
              </w:rPr>
              <w:t>High cost and continued skill shortages</w:t>
            </w:r>
          </w:p>
        </w:tc>
        <w:tc>
          <w:tcPr>
            <w:tcW w:type="dxa" w:w="2484"/>
            <w:vAlign w:val="top"/>
          </w:tcPr>
          <w:p>
            <w:pPr>
              <w:spacing w:after="40"/>
            </w:pPr>
            <w:r>
              <w:rPr>
                <w:sz w:val="17"/>
              </w:rPr>
              <w:t>Build-buy-borrow-redeploy analysis, apprenticeships, internal academies, succession</w:t>
            </w:r>
          </w:p>
        </w:tc>
        <w:tc>
          <w:tcPr>
            <w:tcW w:type="dxa" w:w="2484"/>
            <w:vAlign w:val="top"/>
          </w:tcPr>
          <w:p>
            <w:pPr>
              <w:spacing w:after="40"/>
            </w:pPr>
            <w:r>
              <w:rPr>
                <w:sz w:val="17"/>
              </w:rPr>
              <w:t>CHRO / business units</w:t>
            </w:r>
          </w:p>
        </w:tc>
      </w:tr>
      <w:tr>
        <w:tc>
          <w:tcPr>
            <w:tcW w:type="dxa" w:w="2484"/>
            <w:vAlign w:val="top"/>
          </w:tcPr>
          <w:p>
            <w:pPr>
              <w:spacing w:after="40"/>
            </w:pPr>
            <w:r>
              <w:rPr>
                <w:sz w:val="17"/>
              </w:rPr>
              <w:t>Change fatigue and scope creep</w:t>
            </w:r>
          </w:p>
        </w:tc>
        <w:tc>
          <w:tcPr>
            <w:tcW w:type="dxa" w:w="2484"/>
            <w:vAlign w:val="top"/>
          </w:tcPr>
          <w:p>
            <w:pPr>
              <w:spacing w:after="40"/>
            </w:pPr>
            <w:r>
              <w:rPr>
                <w:sz w:val="17"/>
              </w:rPr>
              <w:t>Delays, poor quality, low confidence</w:t>
            </w:r>
          </w:p>
        </w:tc>
        <w:tc>
          <w:tcPr>
            <w:tcW w:type="dxa" w:w="2484"/>
            <w:vAlign w:val="top"/>
          </w:tcPr>
          <w:p>
            <w:pPr>
              <w:spacing w:after="40"/>
            </w:pPr>
            <w:r>
              <w:rPr>
                <w:sz w:val="17"/>
              </w:rPr>
              <w:t>Phased rollout, clear minimum viable scope, capacity planning, change impact reviews</w:t>
            </w:r>
          </w:p>
        </w:tc>
        <w:tc>
          <w:tcPr>
            <w:tcW w:type="dxa" w:w="2484"/>
            <w:vAlign w:val="top"/>
          </w:tcPr>
          <w:p>
            <w:pPr>
              <w:spacing w:after="40"/>
            </w:pPr>
            <w:r>
              <w:rPr>
                <w:sz w:val="17"/>
              </w:rPr>
              <w:t>Programme manager</w:t>
            </w:r>
          </w:p>
        </w:tc>
      </w:tr>
      <w:tr>
        <w:tc>
          <w:tcPr>
            <w:tcW w:type="dxa" w:w="2484"/>
            <w:vAlign w:val="top"/>
          </w:tcPr>
          <w:p>
            <w:pPr>
              <w:spacing w:after="40"/>
            </w:pPr>
            <w:r>
              <w:rPr>
                <w:sz w:val="17"/>
              </w:rPr>
              <w:t>Vendor or integration dependency</w:t>
            </w:r>
          </w:p>
        </w:tc>
        <w:tc>
          <w:tcPr>
            <w:tcW w:type="dxa" w:w="2484"/>
            <w:vAlign w:val="top"/>
          </w:tcPr>
          <w:p>
            <w:pPr>
              <w:spacing w:after="40"/>
            </w:pPr>
            <w:r>
              <w:rPr>
                <w:sz w:val="17"/>
              </w:rPr>
              <w:t>Service disruption, duplicated data, cost escalation</w:t>
            </w:r>
          </w:p>
        </w:tc>
        <w:tc>
          <w:tcPr>
            <w:tcW w:type="dxa" w:w="2484"/>
            <w:vAlign w:val="top"/>
          </w:tcPr>
          <w:p>
            <w:pPr>
              <w:spacing w:after="40"/>
            </w:pPr>
            <w:r>
              <w:rPr>
                <w:sz w:val="17"/>
              </w:rPr>
              <w:t>Documented interfaces, contractual service levels, testing, exit/continuity plans</w:t>
            </w:r>
          </w:p>
        </w:tc>
        <w:tc>
          <w:tcPr>
            <w:tcW w:type="dxa" w:w="2484"/>
            <w:vAlign w:val="top"/>
          </w:tcPr>
          <w:p>
            <w:pPr>
              <w:spacing w:after="40"/>
            </w:pPr>
            <w:r>
              <w:rPr>
                <w:sz w:val="17"/>
              </w:rPr>
              <w:t>IT / procurement</w:t>
            </w:r>
          </w:p>
        </w:tc>
      </w:tr>
      <w:tr>
        <w:tc>
          <w:tcPr>
            <w:tcW w:type="dxa" w:w="2484"/>
            <w:vAlign w:val="top"/>
          </w:tcPr>
          <w:p>
            <w:pPr>
              <w:spacing w:after="40"/>
            </w:pPr>
            <w:r>
              <w:rPr>
                <w:sz w:val="17"/>
              </w:rPr>
              <w:t>Unrealistic performance targets</w:t>
            </w:r>
          </w:p>
        </w:tc>
        <w:tc>
          <w:tcPr>
            <w:tcW w:type="dxa" w:w="2484"/>
            <w:vAlign w:val="top"/>
          </w:tcPr>
          <w:p>
            <w:pPr>
              <w:spacing w:after="40"/>
            </w:pPr>
            <w:r>
              <w:rPr>
                <w:sz w:val="17"/>
              </w:rPr>
              <w:t>Unsafe shortcuts, quality issues, burnout</w:t>
            </w:r>
          </w:p>
        </w:tc>
        <w:tc>
          <w:tcPr>
            <w:tcW w:type="dxa" w:w="2484"/>
            <w:vAlign w:val="top"/>
          </w:tcPr>
          <w:p>
            <w:pPr>
              <w:spacing w:after="40"/>
            </w:pPr>
            <w:r>
              <w:rPr>
                <w:sz w:val="17"/>
              </w:rPr>
              <w:t>Balanced scorecards, employee input, safety and quality gates, regular target review</w:t>
            </w:r>
          </w:p>
        </w:tc>
        <w:tc>
          <w:tcPr>
            <w:tcW w:type="dxa" w:w="2484"/>
            <w:vAlign w:val="top"/>
          </w:tcPr>
          <w:p>
            <w:pPr>
              <w:spacing w:after="40"/>
            </w:pPr>
            <w:r>
              <w:rPr>
                <w:sz w:val="17"/>
              </w:rPr>
              <w:t>Operations / HR</w:t>
            </w:r>
          </w:p>
        </w:tc>
      </w:tr>
      <w:tr>
        <w:tc>
          <w:tcPr>
            <w:tcW w:type="dxa" w:w="2484"/>
            <w:vAlign w:val="top"/>
          </w:tcPr>
          <w:p>
            <w:pPr>
              <w:spacing w:after="40"/>
            </w:pPr>
            <w:r>
              <w:rPr>
                <w:sz w:val="17"/>
              </w:rPr>
              <w:t>Benefits fail to materialize</w:t>
            </w:r>
          </w:p>
        </w:tc>
        <w:tc>
          <w:tcPr>
            <w:tcW w:type="dxa" w:w="2484"/>
            <w:vAlign w:val="top"/>
          </w:tcPr>
          <w:p>
            <w:pPr>
              <w:spacing w:after="40"/>
            </w:pPr>
            <w:r>
              <w:rPr>
                <w:sz w:val="17"/>
              </w:rPr>
              <w:t>Investment not justified; credibility falls</w:t>
            </w:r>
          </w:p>
        </w:tc>
        <w:tc>
          <w:tcPr>
            <w:tcW w:type="dxa" w:w="2484"/>
            <w:vAlign w:val="top"/>
          </w:tcPr>
          <w:p>
            <w:pPr>
              <w:spacing w:after="40"/>
            </w:pPr>
            <w:r>
              <w:rPr>
                <w:sz w:val="17"/>
              </w:rPr>
              <w:t>Finance-owned baseline, benefit tracking, pilot gates, corrective actions</w:t>
            </w:r>
          </w:p>
        </w:tc>
        <w:tc>
          <w:tcPr>
            <w:tcW w:type="dxa" w:w="2484"/>
            <w:vAlign w:val="top"/>
          </w:tcPr>
          <w:p>
            <w:pPr>
              <w:spacing w:after="40"/>
            </w:pPr>
            <w:r>
              <w:rPr>
                <w:sz w:val="17"/>
              </w:rPr>
              <w:t>Finance / sponsor</w:t>
            </w:r>
          </w:p>
        </w:tc>
      </w:tr>
    </w:tbl>
    <w:p/>
    <w:p>
      <w:r>
        <w:t>Risk governance should be continuous. The steering committee should maintain a risk register with probability, impact, owner, due date, control status, and escalation threshold. High-impact risks involving safety, privacy, discrimination, or employment compliance should be escalated immediately rather than waiting for the monthly meeting.</w:t>
      </w:r>
    </w:p>
    <w:p>
      <w:pPr>
        <w:pStyle w:val="Heading1"/>
      </w:pPr>
      <w:r>
        <w:t>10. Budget and Resource Planning</w:t>
      </w:r>
    </w:p>
    <w:p>
      <w:r>
        <w:t>A credible budget should separate one-time implementation costs from recurring operating costs. One-time costs may include process design, configuration, data cleansing, integration, testing, change communications, training development, and temporary backfill for subject-matter experts. Recurring costs may include subscriptions, support, learning content, assessment, refresher training, analytics, and continuous improvement. Additional costs can include university partnerships, apprenticeships, specialist recruitment, and plant learning equipment.</w:t>
      </w:r>
    </w:p>
    <w:p>
      <w:r>
        <w:t>The business case should compare costs with conservative estimates of benefits: fewer vacancy days in critical roles, lower agency spend, reduced early attrition, lower duplicate HR administration, improved internal fill, reduced training rework, and better launch readiness. Benefits should be quantified only where credible baseline data exist. Avoid claiming that all turnover costs or all productivity gains will be eliminated. Finance should approve assumptions and report realized—not merely forecast—benefits.</w:t>
      </w:r>
    </w:p>
    <w:p>
      <w:r>
        <w:t>Resource allocation should protect time from plant and engineering experts, since they are essential for skills definitions and practical assessments. A small central programme team can set standards while site teams adapt delivery to local operations. HR technology expertise is required for configuration and integration; business experts must own the content and outcomes.</w:t>
      </w:r>
    </w:p>
    <w:p>
      <w:pPr>
        <w:pStyle w:val="Heading1"/>
      </w:pPr>
      <w:r>
        <w:t>11. Ethical, Legal, and Operational Considerations</w:t>
      </w:r>
    </w:p>
    <w:p>
      <w:r>
        <w:t>The organization must comply with applicable employment, privacy, data protection, equality, health and safety, working-time, and consultation requirements in every jurisdiction where it operates. For India-based operations, local counsel should verify applicable central and state employment requirements and any relevant sector-specific rules. This document is a strategic framework, not legal advice.</w:t>
      </w:r>
    </w:p>
    <w:p>
      <w:r>
        <w:t>Collect only data that serves a defined purpose. Limit access to sensitive compensation, performance, succession, and candidate information. Define retention periods and deletion processes. Employees should be informed about data uses and have an appropriate channel to correct inaccurate records. AI-assisted features require risk-based review, human oversight, monitoring for unfair impact, and the ability to challenge consequential decisions. Do not infer employee commitment, health, or personality from intrusive monitoring.</w:t>
      </w:r>
    </w:p>
    <w:p>
      <w:r>
        <w:t>Fairness also requires accessible processes. Employees working on rotating shifts, in remote plants, or without personal devices should have practical access to learning and opportunities. Selection criteria should be job-related, accommodations should be considered, and assessment methods should be validated. Skills assessments must not become a covert way to exclude workers without offering a reasonable development route.</w:t>
      </w:r>
    </w:p>
    <w:p>
      <w:r>
        <w:t>Safety-critical qualifications deserve particular attention. Learning records, licenses, practical authorization, and expiry dates should be auditable. A digital record should support, not replace, competent supervision and safe work systems.</w:t>
      </w:r>
    </w:p>
    <w:p>
      <w:pPr>
        <w:pStyle w:val="Heading1"/>
      </w:pPr>
      <w:r>
        <w:t>12. Illustrative Automotive Use Cases</w:t>
      </w:r>
    </w:p>
    <w:p>
      <w:pPr>
        <w:pStyle w:val="Heading2"/>
      </w:pPr>
      <w:r>
        <w:t>12.1 EV launch readiness</w:t>
      </w:r>
    </w:p>
    <w:p>
      <w:r>
        <w:t>A manufacturer planning an EV launch identifies a gap in battery validation, high-voltage safety, and power-electronics capability. Workforce planning forecasts the number and location of required specialists against launch milestones. Recruiting opens targeted requisitions with standardized scorecards, while Learning builds a pathway for existing engineers and technicians. Onboarding ensures site-specific safety and product training. Performance goals connect individual deliverables to validation quality and launch readiness. Analytics reports skill coverage and open critical roles to the launch governance team.</w:t>
      </w:r>
    </w:p>
    <w:p>
      <w:pPr>
        <w:pStyle w:val="Heading2"/>
      </w:pPr>
      <w:r>
        <w:t>12.2 Plant automation and maintenance</w:t>
      </w:r>
    </w:p>
    <w:p>
      <w:r>
        <w:t>A plant experiences recurring downtime after introducing robotics. HR and operations define skill levels for controls, robotics troubleshooting, and predictive maintenance. Existing maintenance staff are assessed, then assigned practical training and supervised demonstrations. Internal opportunity processes match qualified employees to new support roles. Managers evaluate downtime reduction alongside safety and quality, preventing an incentive to restart equipment before it is safe.</w:t>
      </w:r>
    </w:p>
    <w:p>
      <w:pPr>
        <w:pStyle w:val="Heading2"/>
      </w:pPr>
      <w:r>
        <w:t>12.3 Retaining software and systems talent</w:t>
      </w:r>
    </w:p>
    <w:p>
      <w:r>
        <w:t>A software team loses experienced engineers because career progression is unclear. The company publishes technical specialist and leadership career tracks, introduces mentoring and cross-functional assignments, and uses regular development conversations to agree on growth goals. Compensation is reviewed for internal equity and market position. People analytics identifies whether departures cluster around specific teams, tenure bands, or career bottlenecks. Leaders then address the underlying causes rather than relying only on counteroffers.</w:t>
      </w:r>
    </w:p>
    <w:p>
      <w:pPr>
        <w:pStyle w:val="Heading1"/>
      </w:pPr>
      <w:r>
        <w:t>13. Expected Outcomes and Strategic Value</w:t>
      </w:r>
    </w:p>
    <w:p>
      <w:r>
        <w:t>If implemented with disciplined governance, the framework should improve the organization’s ability to anticipate skill needs, fill critical vacancies, prepare new hires, redeploy existing employees, and preserve scarce knowledge. Recruiting and onboarding improvements can reduce avoidable delay; learning and internal mobility can create a more resilient supply of skills; succession planning can reduce dependency on individual experts; and analytics can help leaders prioritize investment. Better employee experience may support retention, while consistent data and workflows can improve operational visibility.</w:t>
      </w:r>
    </w:p>
    <w:p>
      <w:r>
        <w:t>These outcomes are conditional. Results depend on manager behaviour, labour-market supply, work conditions, data quality, implementation quality, and the relevance of learning. SAP SuccessFactors should be evaluated as part of a broader operating model, not as a stand-alone cure for workforce challenges. The organization should be willing to revise targets and processes when evidence shows that an initiative is ineffective or creates unintended consequences.</w:t>
      </w:r>
    </w:p>
    <w:p>
      <w:pPr>
        <w:pStyle w:val="Heading1"/>
      </w:pPr>
      <w:r>
        <w:t>14. Expanded Case Studies and Real-World Industry Evidence</w:t>
      </w:r>
    </w:p>
    <w:p>
      <w:pPr/>
      <w:r>
        <w:t>This section strengthens the strategy with public automotive examples and published workforce data. Company-reported figures should be treated as case-study evidence rather than independent proof that a technology alone caused the result. The proposed actions below are recommendations for the illustrative organization, not claims about the exact systems used by every company.</w:t>
      </w:r>
    </w:p>
    <w:p>
      <w:pPr>
        <w:pStyle w:val="Heading2"/>
      </w:pPr>
      <w:r>
        <w:t>14.1 Kongsberg Automotive: Faster hiring and more accessible HR</w:t>
      </w:r>
    </w:p>
    <w:p>
      <w:pPr/>
      <w:r>
        <w:t>Kongsberg Automotive, a global automotive components supplier, implemented SAP SuccessFactors capabilities to modernize HR processes, employee self-service, and workforce development. A published case study reports a 33% improvement in time-to-fill, 30% fewer HR requests, a 15% reduction in HR costs, reporting time reduced from 45 minutes to 15 minutes, and improved visibility of succession. These are vendor/case-study reported outcomes and should be attributed accordingly.</w:t>
      </w:r>
    </w:p>
    <w:p>
      <w:pPr/>
      <w:r>
        <w:t>Strategic application: the proposed company should standardize job requisitions and approval workflows, give employees practical mobile access to HR services, and use consistent definitions for vacancy and recruitment measures. To validate results, establish a baseline by job family and location, then compare median time-to-fill and HR service requests after implementation. Avoid assuming that the same percentage improvement will occur in another organization.</w:t>
      </w:r>
    </w:p>
    <w:p>
      <w:pPr/>
      <w:r>
        <w:t>Source: SAP SuccessFactors case study, “Putting Employees in Control to Support Continuous Development,” available at https://www.casestudies.com/company/sap-successfactors/case-study/putting-employees-in-control-to-support-continuous-development.</w:t>
      </w:r>
    </w:p>
    <w:p>
      <w:pPr>
        <w:pStyle w:val="Heading2"/>
      </w:pPr>
      <w:r>
        <w:t>14.2 Gestamp: One source of workforce data across a global supplier</w:t>
      </w:r>
    </w:p>
    <w:p>
      <w:pPr/>
      <w:r>
        <w:t>Gestamp Automoción faced fragmented HR systems following extensive acquisition-led growth. Published implementation materials describe a workforce of approximately 45,000 employees across about 100 sites in 21 countries and a move toward SAP SuccessFactors Employee Central as a common source of employee information. The implementation was reported as taking approximately nine months.</w:t>
      </w:r>
    </w:p>
    <w:p>
      <w:pPr/>
      <w:r>
        <w:t>Strategic application: define one data dictionary for job families, locations, positions, skills, and reporting lines. Use common data to identify where battery, automation, quality, and maintenance capabilities are available and where vacancies or reskilling plans are needed. Local legal requirements and workforce arrangements still need to be handled; global standardization does not mean every site must have identical policies.</w:t>
      </w:r>
    </w:p>
    <w:p>
      <w:pPr/>
      <w:r>
        <w:t>Source: NTT DATA, “Gestamp’s global talent transformation,” https://www.nttdata.com/en-ph/insights/case-studies/gestamps-global-talent-transformation; SAP customer story, https://www.sap.com/documents/2023/11/4438e209-967e-0010-bca6-c68f7e60039b.html.</w:t>
      </w:r>
    </w:p>
    <w:p>
      <w:pPr>
        <w:pStyle w:val="Heading2"/>
      </w:pPr>
      <w:r>
        <w:t>14.3 BMW Group: Investing in future-ready skills</w:t>
      </w:r>
    </w:p>
    <w:p>
      <w:pPr/>
      <w:r>
        <w:t>BMW Group’s 2024 reporting describes training focused on electrification, high-voltage technology, digital skills, generative AI, and agile working. The report states that training and further-education measures averaged 20.2 hours per employee in 2024 and that expenditure on vocational training and further education totalled €415.5 million. It also reports that 81.3% of the workforce participated in annual assessment processes.</w:t>
      </w:r>
    </w:p>
    <w:p>
      <w:pPr/>
      <w:r>
        <w:t>Strategic application: the illustrative company should conduct a training-needs analysis for priority roles and connect learning pathways to measurable proficiency. For example, battery technicians should demonstrate required safety and task competence; software engineers should show relevant secure-development or testing skills. The organization should measure practical assessment outcomes and internal placement, not simply the number of courses completed.</w:t>
      </w:r>
    </w:p>
    <w:p>
      <w:pPr/>
      <w:r>
        <w:t>Source: BMW Group Report 2024, competency development and performance management, https://www.bmwgroup.jobs/content/dam/grpw/websites/bmwgroup_com/ir/downloads/en/2025/hv/BMWGroup_Report2024.pdf.</w:t>
      </w:r>
    </w:p>
    <w:p>
      <w:pPr>
        <w:pStyle w:val="Heading2"/>
      </w:pPr>
      <w:r>
        <w:t>14.4 Toyota Kirloskar Motor: Training-needs assessment and planned development</w:t>
      </w:r>
    </w:p>
    <w:p>
      <w:pPr/>
      <w:r>
        <w:t>Toyota Kirloskar Motor’s 2023 sustainability report describes annual learning-needs assessments that use employee and business needs, interviews, surveys, and competency appraisals. It also describes corporate and functional training, classroom and digital learning, on-the-job training, mandatory safety and quality topics, leadership programmes, and job rotations.</w:t>
      </w:r>
    </w:p>
    <w:p>
      <w:pPr/>
      <w:r>
        <w:t>Strategic application: create role-based learning plans for operators, maintenance technicians, quality professionals, and supervisors. Use SAP SuccessFactors Learning concepts to assign and track courses, then record practical assessments and manager sign-off. For shift-based workers, schedule training access around production demands and provide equivalent access to learning opportunities.</w:t>
      </w:r>
    </w:p>
    <w:p>
      <w:pPr/>
      <w:r>
        <w:t>Important limitation: this is evidence of Toyota Kirloskar Motor’s workforce-development practices, not evidence that it uses the exact SAP SuccessFactors configuration proposed in this plan.</w:t>
      </w:r>
    </w:p>
    <w:p>
      <w:pPr/>
      <w:r>
        <w:t>Source: Toyota Kirloskar Motor, Sustainability Report 2023, Learning &amp; Development, https://www.toyotabharat.com/documents/toyota-in-india/environment/tkm-sustainability-report-2023.pdf.</w:t>
      </w:r>
    </w:p>
    <w:p>
      <w:pPr>
        <w:pStyle w:val="Heading2"/>
      </w:pPr>
      <w:r>
        <w:t>14.5 India automotive sector: Skills supply does not always match employer demand</w:t>
      </w:r>
    </w:p>
    <w:p>
      <w:pPr/>
      <w:r>
        <w:t>NCAER’s 2025 research on India’s motor-vehicle sector describes both quantitative skill shortages—difficulty finding enough people in particular roles or locations—and qualitative skill gaps, where available candidates do not yet possess the required capabilities. The research highlights emerging requirements related to EVs, automation, AI, robotics, and practical technical experience. It also identifies the importance of industry–education partnerships and regularly updated labour-market information.</w:t>
      </w:r>
    </w:p>
    <w:p>
      <w:pPr/>
      <w:r>
        <w:t>Strategic application: establish partnerships with ITIs, polytechnics, engineering colleges, and technical training centres. Give partners a clear skills framework and practical assessment criteria. Use SAP SuccessFactors Recruiting concepts to maintain candidate pipelines and Learning concepts to coordinate training, while evaluating graduate readiness, apprenticeship completion, certification, and conversion to permanent employment.</w:t>
      </w:r>
    </w:p>
    <w:p>
      <w:pPr/>
      <w:r>
        <w:t>Source: NCAER, “Skill Shortages and Gaps in the Motor Vehicles Sector: Case for a Labour Market Information System in India,” October 2025, https://ncaer.org/publication/skill-shortages-and-gaps-in-the-motor-vehicles-sector-case-for-a-labour-market-information-system-in-india/.</w:t>
      </w:r>
    </w:p>
    <w:p>
      <w:pPr>
        <w:pStyle w:val="Heading2"/>
      </w:pPr>
      <w:r>
        <w:t>14.6 Global EV growth: Why workforce planning must look ahead</w:t>
      </w:r>
    </w:p>
    <w:p>
      <w:pPr/>
      <w:r>
        <w:t>The International Energy Agency’s Global EV Outlook 2025 reports that global electric-car sales exceeded 17 million in 2024 and accounted for more than 20% of new-car sales. Its 2025 outlook expected sales to exceed 20 million during 2025. These market changes affect workforce planning because electrification shifts demand toward battery systems, power electronics, high-voltage safety, software, testing, and charging-related capability.</w:t>
      </w:r>
    </w:p>
    <w:p>
      <w:pPr/>
      <w:r>
        <w:t>Strategic application: maintain 12-, 24-, and 36-month workforce scenarios tied to product programmes. Do not use global sales figures as a direct forecast of local hiring: translate them into the organization’s own product mix, investment plans, supplier footprint, and required job families.</w:t>
      </w:r>
    </w:p>
    <w:p>
      <w:pPr/>
      <w:r>
        <w:t>Source: International Energy Agency, Global EV Outlook 2025, Executive Summary, https://www.iea.org/reports/global-ev-outlook-2025/executive-summary.</w:t>
      </w:r>
    </w:p>
    <w:p>
      <w:pPr>
        <w:pStyle w:val="Heading2"/>
      </w:pPr>
      <w:r>
        <w:t>14.7 Cross-case comparison and lessons for the proposed strategy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1F4E79"/>
          </w:tcPr>
          <w:p>
            <w:r>
              <w:rPr>
                <w:b/>
                <w:color w:val="FFFFFF"/>
                <w:sz w:val="16"/>
              </w:rPr>
              <w:t>Company / evidence</w:t>
            </w:r>
          </w:p>
        </w:tc>
        <w:tc>
          <w:tcPr>
            <w:tcW w:type="dxa" w:w="2484"/>
            <w:shd w:fill="1F4E79"/>
          </w:tcPr>
          <w:p>
            <w:r>
              <w:rPr>
                <w:b/>
                <w:color w:val="FFFFFF"/>
                <w:sz w:val="16"/>
              </w:rPr>
              <w:t>Reported evidence</w:t>
            </w:r>
          </w:p>
        </w:tc>
        <w:tc>
          <w:tcPr>
            <w:tcW w:type="dxa" w:w="2484"/>
            <w:shd w:fill="1F4E79"/>
          </w:tcPr>
          <w:p>
            <w:r>
              <w:rPr>
                <w:b/>
                <w:color w:val="FFFFFF"/>
                <w:sz w:val="16"/>
              </w:rPr>
              <w:t>Talent-management lesson</w:t>
            </w:r>
          </w:p>
        </w:tc>
        <w:tc>
          <w:tcPr>
            <w:tcW w:type="dxa" w:w="2484"/>
            <w:shd w:fill="1F4E79"/>
          </w:tcPr>
          <w:p>
            <w:r>
              <w:rPr>
                <w:b/>
                <w:color w:val="FFFFFF"/>
                <w:sz w:val="16"/>
              </w:rPr>
              <w:t>SAP SuccessFactors application</w:t>
            </w:r>
          </w:p>
        </w:tc>
      </w:tr>
      <w:tr>
        <w:tc>
          <w:tcPr>
            <w:tcW w:type="dxa" w:w="2484"/>
          </w:tcPr>
          <w:p>
            <w:pPr>
              <w:spacing w:after="40"/>
            </w:pPr>
            <w:r>
              <w:rPr>
                <w:sz w:val="16"/>
              </w:rPr>
              <w:t>Kongsberg Automotive</w:t>
            </w:r>
          </w:p>
        </w:tc>
        <w:tc>
          <w:tcPr>
            <w:tcW w:type="dxa" w:w="2484"/>
          </w:tcPr>
          <w:p>
            <w:pPr>
              <w:spacing w:after="40"/>
            </w:pPr>
            <w:r>
              <w:rPr>
                <w:sz w:val="16"/>
              </w:rPr>
              <w:t>Case study reports 33% faster time-to-fill and 30% fewer HR requests</w:t>
            </w:r>
          </w:p>
        </w:tc>
        <w:tc>
          <w:tcPr>
            <w:tcW w:type="dxa" w:w="2484"/>
          </w:tcPr>
          <w:p>
            <w:pPr>
              <w:spacing w:after="40"/>
            </w:pPr>
            <w:r>
              <w:rPr>
                <w:sz w:val="16"/>
              </w:rPr>
              <w:t>Standardized workflows and accessible employee self-service can reduce friction</w:t>
            </w:r>
          </w:p>
        </w:tc>
        <w:tc>
          <w:tcPr>
            <w:tcW w:type="dxa" w:w="2484"/>
          </w:tcPr>
          <w:p>
            <w:pPr>
              <w:spacing w:after="40"/>
            </w:pPr>
            <w:r>
              <w:rPr>
                <w:sz w:val="16"/>
              </w:rPr>
              <w:t>Recruiting, Employee Central, Learning, analytics</w:t>
            </w:r>
          </w:p>
        </w:tc>
      </w:tr>
      <w:tr>
        <w:tc>
          <w:tcPr>
            <w:tcW w:type="dxa" w:w="2484"/>
          </w:tcPr>
          <w:p>
            <w:pPr>
              <w:spacing w:after="40"/>
            </w:pPr>
            <w:r>
              <w:rPr>
                <w:sz w:val="16"/>
              </w:rPr>
              <w:t>Gestamp</w:t>
            </w:r>
          </w:p>
        </w:tc>
        <w:tc>
          <w:tcPr>
            <w:tcW w:type="dxa" w:w="2484"/>
          </w:tcPr>
          <w:p>
            <w:pPr>
              <w:spacing w:after="40"/>
            </w:pPr>
            <w:r>
              <w:rPr>
                <w:sz w:val="16"/>
              </w:rPr>
              <w:t>One central HR data platform; approximately nine-month implementation reported</w:t>
            </w:r>
          </w:p>
        </w:tc>
        <w:tc>
          <w:tcPr>
            <w:tcW w:type="dxa" w:w="2484"/>
          </w:tcPr>
          <w:p>
            <w:pPr>
              <w:spacing w:after="40"/>
            </w:pPr>
            <w:r>
              <w:rPr>
                <w:sz w:val="16"/>
              </w:rPr>
              <w:t>Consistent data supports global visibility and talent planning</w:t>
            </w:r>
          </w:p>
        </w:tc>
        <w:tc>
          <w:tcPr>
            <w:tcW w:type="dxa" w:w="2484"/>
          </w:tcPr>
          <w:p>
            <w:pPr>
              <w:spacing w:after="40"/>
            </w:pPr>
            <w:r>
              <w:rPr>
                <w:sz w:val="16"/>
              </w:rPr>
              <w:t>Employee Central, Recruiting, Onboarding, Performance &amp; Goals</w:t>
            </w:r>
          </w:p>
        </w:tc>
      </w:tr>
      <w:tr>
        <w:tc>
          <w:tcPr>
            <w:tcW w:type="dxa" w:w="2484"/>
          </w:tcPr>
          <w:p>
            <w:pPr>
              <w:spacing w:after="40"/>
            </w:pPr>
            <w:r>
              <w:rPr>
                <w:sz w:val="16"/>
              </w:rPr>
              <w:t>BMW Group</w:t>
            </w:r>
          </w:p>
        </w:tc>
        <w:tc>
          <w:tcPr>
            <w:tcW w:type="dxa" w:w="2484"/>
          </w:tcPr>
          <w:p>
            <w:pPr>
              <w:spacing w:after="40"/>
            </w:pPr>
            <w:r>
              <w:rPr>
                <w:sz w:val="16"/>
              </w:rPr>
              <w:t>€415.5m training expenditure; 20.2 average training hours per employee in 2024</w:t>
            </w:r>
          </w:p>
        </w:tc>
        <w:tc>
          <w:tcPr>
            <w:tcW w:type="dxa" w:w="2484"/>
          </w:tcPr>
          <w:p>
            <w:pPr>
              <w:spacing w:after="40"/>
            </w:pPr>
            <w:r>
              <w:rPr>
                <w:sz w:val="16"/>
              </w:rPr>
              <w:t>Invest in future skills and assess whether learning meets capability needs</w:t>
            </w:r>
          </w:p>
        </w:tc>
        <w:tc>
          <w:tcPr>
            <w:tcW w:type="dxa" w:w="2484"/>
          </w:tcPr>
          <w:p>
            <w:pPr>
              <w:spacing w:after="40"/>
            </w:pPr>
            <w:r>
              <w:rPr>
                <w:sz w:val="16"/>
              </w:rPr>
              <w:t>Learning, Performance &amp; Goals, workforce planning</w:t>
            </w:r>
          </w:p>
        </w:tc>
      </w:tr>
      <w:tr>
        <w:tc>
          <w:tcPr>
            <w:tcW w:type="dxa" w:w="2484"/>
          </w:tcPr>
          <w:p>
            <w:pPr>
              <w:spacing w:after="40"/>
            </w:pPr>
            <w:r>
              <w:rPr>
                <w:sz w:val="16"/>
              </w:rPr>
              <w:t>Toyota Kirloskar Motor</w:t>
            </w:r>
          </w:p>
        </w:tc>
        <w:tc>
          <w:tcPr>
            <w:tcW w:type="dxa" w:w="2484"/>
          </w:tcPr>
          <w:p>
            <w:pPr>
              <w:spacing w:after="40"/>
            </w:pPr>
            <w:r>
              <w:rPr>
                <w:sz w:val="16"/>
              </w:rPr>
              <w:t>Annual learning-needs assessments and structured training programmes described</w:t>
            </w:r>
          </w:p>
        </w:tc>
        <w:tc>
          <w:tcPr>
            <w:tcW w:type="dxa" w:w="2484"/>
          </w:tcPr>
          <w:p>
            <w:pPr>
              <w:spacing w:after="40"/>
            </w:pPr>
            <w:r>
              <w:rPr>
                <w:sz w:val="16"/>
              </w:rPr>
              <w:t>Base learning plans on assessed needs and include practical learning</w:t>
            </w:r>
          </w:p>
        </w:tc>
        <w:tc>
          <w:tcPr>
            <w:tcW w:type="dxa" w:w="2484"/>
          </w:tcPr>
          <w:p>
            <w:pPr>
              <w:spacing w:after="40"/>
            </w:pPr>
            <w:r>
              <w:rPr>
                <w:sz w:val="16"/>
              </w:rPr>
              <w:t>Learning, skills profiles, development goals</w:t>
            </w:r>
          </w:p>
        </w:tc>
      </w:tr>
      <w:tr>
        <w:tc>
          <w:tcPr>
            <w:tcW w:type="dxa" w:w="2484"/>
          </w:tcPr>
          <w:p>
            <w:pPr>
              <w:spacing w:after="40"/>
            </w:pPr>
            <w:r>
              <w:rPr>
                <w:sz w:val="16"/>
              </w:rPr>
              <w:t>NCAER India research</w:t>
            </w:r>
          </w:p>
        </w:tc>
        <w:tc>
          <w:tcPr>
            <w:tcW w:type="dxa" w:w="2484"/>
          </w:tcPr>
          <w:p>
            <w:pPr>
              <w:spacing w:after="40"/>
            </w:pPr>
            <w:r>
              <w:rPr>
                <w:sz w:val="16"/>
              </w:rPr>
              <w:t>Research identifies skill shortages and mismatches between training and industry needs</w:t>
            </w:r>
          </w:p>
        </w:tc>
        <w:tc>
          <w:tcPr>
            <w:tcW w:type="dxa" w:w="2484"/>
          </w:tcPr>
          <w:p>
            <w:pPr>
              <w:spacing w:after="40"/>
            </w:pPr>
            <w:r>
              <w:rPr>
                <w:sz w:val="16"/>
              </w:rPr>
              <w:t>Build local talent pipelines with technical institutions</w:t>
            </w:r>
          </w:p>
        </w:tc>
        <w:tc>
          <w:tcPr>
            <w:tcW w:type="dxa" w:w="2484"/>
          </w:tcPr>
          <w:p>
            <w:pPr>
              <w:spacing w:after="40"/>
            </w:pPr>
            <w:r>
              <w:rPr>
                <w:sz w:val="16"/>
              </w:rPr>
              <w:t>Recruiting, onboarding, Learning, people analytics</w:t>
            </w:r>
          </w:p>
        </w:tc>
      </w:tr>
      <w:tr>
        <w:tc>
          <w:tcPr>
            <w:tcW w:type="dxa" w:w="2484"/>
          </w:tcPr>
          <w:p>
            <w:pPr>
              <w:spacing w:after="40"/>
            </w:pPr>
            <w:r>
              <w:rPr>
                <w:sz w:val="16"/>
              </w:rPr>
              <w:t>IEA EV Outlook 2025</w:t>
            </w:r>
          </w:p>
        </w:tc>
        <w:tc>
          <w:tcPr>
            <w:tcW w:type="dxa" w:w="2484"/>
          </w:tcPr>
          <w:p>
            <w:pPr>
              <w:spacing w:after="40"/>
            </w:pPr>
            <w:r>
              <w:rPr>
                <w:sz w:val="16"/>
              </w:rPr>
              <w:t>More than 17 million electric cars sold globally in 2024</w:t>
            </w:r>
          </w:p>
        </w:tc>
        <w:tc>
          <w:tcPr>
            <w:tcW w:type="dxa" w:w="2484"/>
          </w:tcPr>
          <w:p>
            <w:pPr>
              <w:spacing w:after="40"/>
            </w:pPr>
            <w:r>
              <w:rPr>
                <w:sz w:val="16"/>
              </w:rPr>
              <w:t>Forecast future skills as vehicle technology and product mix change</w:t>
            </w:r>
          </w:p>
        </w:tc>
        <w:tc>
          <w:tcPr>
            <w:tcW w:type="dxa" w:w="2484"/>
          </w:tcPr>
          <w:p>
            <w:pPr>
              <w:spacing w:after="40"/>
            </w:pPr>
            <w:r>
              <w:rPr>
                <w:sz w:val="16"/>
              </w:rPr>
              <w:t>Workforce planning, skills gap analysis, Learning</w:t>
            </w:r>
          </w:p>
        </w:tc>
      </w:tr>
    </w:tbl>
    <w:p/>
    <w:p>
      <w:pPr/>
      <w:r>
        <w:t>Evidence note: published company case studies often emphasize positive implementation outcomes and may be prepared with vendors or implementation partners. Treat reported benefits as attributed case evidence, not independent causal proof. Use the statistics to justify the strategy, then set organization-specific targets after collecting a baseline.</w:t>
      </w:r>
    </w:p>
    <w:p>
      <w:pPr>
        <w:pStyle w:val="Heading1"/>
      </w:pPr>
      <w:r>
        <w:t>14. Conclusion</w:t>
      </w:r>
    </w:p>
    <w:p>
      <w:r>
        <w:t>The automotive sector’s transition toward electrification, software-defined vehicles, automation, and advanced manufacturing makes strategic talent management central to competitiveness. Companies need to recruit scarce specialists while also developing their current workforce, supporting skilled trades, strengthening frontline leadership, and retaining institutional knowledge. A fragmented set of HR processes cannot provide the same end-to-end visibility as a coordinated talent framework.</w:t>
      </w:r>
    </w:p>
    <w:p>
      <w:r>
        <w:t>Using SAP SuccessFactors concepts, the proposed plan connects core HR data with recruiting, onboarding, learning, performance and goals, career development, succession, compensation, and people analytics. Its practical priorities are a critical-skills map, targeted pipelines, role-based onboarding, an EV and digital skills academy, transparent internal mobility, stronger frontline leadership, and succession for business-critical roles. A phased 24-month roadmap and explicit risk controls make the plan implementable rather than aspirational.</w:t>
      </w:r>
    </w:p>
    <w:p>
      <w:r>
        <w:t>The recommended measure of success is not simply whether the software is deployed. It is whether the company has the right capabilities in the right locations at the right time, whether employees can see and access meaningful development opportunities, and whether talent decisions contribute to safer operations, better quality, reliable launches, and sustainable business performance. With executive sponsorship, employee involvement, trustworthy data, and continuous evaluation, SAP SuccessFactors can help make talent management a strategic advantage for the automotive organization.</w:t>
      </w:r>
    </w:p>
    <w:p>
      <w:pPr>
        <w:pStyle w:val="Heading1"/>
      </w:pPr>
      <w:r>
        <w:t>References</w:t>
      </w:r>
    </w:p>
    <w:p>
      <w:pPr>
        <w:ind w:left="288" w:hanging="288"/>
      </w:pPr>
      <w:r>
        <w:rPr>
          <w:sz w:val="18"/>
        </w:rPr>
        <w:t>[1] NITI Aayog. Automotive Industry: Powering India’s Participation in Global Value Chains. Government of India; 2025. Available at: https://www.niti.gov.in/sites/default/files/2025-04/Automotive-Industry-Powering-India-participation-in-GVC_Non-Confidential.pdf</w:t>
      </w:r>
    </w:p>
    <w:p>
      <w:pPr>
        <w:ind w:left="288" w:hanging="288"/>
      </w:pPr>
      <w:r>
        <w:rPr>
          <w:sz w:val="18"/>
        </w:rPr>
        <w:t>[2] Press Information Bureau, Government of India. Accenture LearnVantage and IIT Madras’s CAAR Collaborate to Skill Talent for Software-Defined Vehicles. 30 June 2025. Available at: https://www.pib.gov.in/PressReleasePage.aspx?PRID=2140810&amp;lang=2&amp;reg=48</w:t>
      </w:r>
    </w:p>
    <w:p>
      <w:pPr>
        <w:ind w:left="288" w:hanging="288"/>
      </w:pPr>
      <w:r>
        <w:rPr>
          <w:sz w:val="18"/>
        </w:rPr>
        <w:t>[3] SAP. Talent Management: SAP Help Portal. Available at: https://help.sap.com/docs/portfolio-category/TALENT_MANAGEMENT (accessed 24 October 2026).</w:t>
      </w:r>
    </w:p>
    <w:p>
      <w:pPr>
        <w:ind w:left="288" w:hanging="288"/>
      </w:pPr>
      <w:r>
        <w:rPr>
          <w:sz w:val="18"/>
        </w:rPr>
        <w:t>[4] SAP. SAP SuccessFactors Performance and Goals: SAP Help Portal. Available at: https://help.sap.com/docs/SAP_SUCCESSFACTORS_PERFORMANCE_AND_GOALS (accessed 24 October 2026).</w:t>
      </w:r>
    </w:p>
    <w:p>
      <w:pPr>
        <w:ind w:left="288" w:hanging="288"/>
      </w:pPr>
      <w:r>
        <w:rPr>
          <w:sz w:val="18"/>
        </w:rPr>
        <w:t>[5] SAP. SAP SuccessFactors Succession and Development: SAP Help Portal. Available at: https://help.sap.com/docs/successfactors-succession-and-development (accessed 24 October 2026).</w:t>
      </w:r>
    </w:p>
    <w:p>
      <w:pPr>
        <w:ind w:left="288" w:hanging="288"/>
      </w:pPr>
      <w:r>
        <w:rPr>
          <w:sz w:val="18"/>
        </w:rPr>
        <w:t>[6] SAP India. SAP SuccessFactors Onboarding Features. Available at: https://www.sap.com/india/products/hcm/employee-onboarding/features.html (accessed 24 October 2026).</w:t>
      </w:r>
    </w:p>
    <w:p>
      <w:pPr>
        <w:ind w:left="288" w:hanging="288"/>
      </w:pPr>
      <w:r>
        <w:rPr>
          <w:sz w:val="18"/>
        </w:rPr>
        <w:t>[7] SAP. What Is a Talent Management System? Available at: https://www.sap.com/resources/what-is-a-talent-management-system (accessed 24 October 2026).</w:t>
      </w:r>
    </w:p>
    <w:p>
      <w:pPr>
        <w:ind w:left="288" w:hanging="288"/>
      </w:pPr>
      <w:r>
        <w:rPr>
          <w:sz w:val="18"/>
        </w:rPr>
        <w:t>[8] SAP. Exploring SAP SuccessFactors HCM Suite. SAP Learning. Available at: https://learning.sap.com/courses/sap-successfactors-platform-project-team-orientation/exploring-sap-successfactors-hcm-suite_c39722e2-129d-405a-8550-8693f006775f (accessed 24 October 2026).</w:t>
      </w:r>
    </w:p>
    <w:p>
      <w:pPr>
        <w:ind w:left="288" w:hanging="288"/>
      </w:pPr>
      <w:r>
        <w:rPr>
          <w:sz w:val="18"/>
        </w:rPr>
        <w:t>[9] SAP Customer Conversations. SAP SuccessFactors and AI/Joule at American Honda Motor Co. Inc. Available at: https://events.sap.com/sapccsuccessfactorsamericanhonda/en_us/home.html (accessed 24 October 2026).</w:t>
      </w:r>
    </w:p>
    <w:p>
      <w:pPr>
        <w:ind w:left="288" w:hanging="288"/>
      </w:pPr>
      <w:r>
        <w:rPr>
          <w:sz w:val="18"/>
        </w:rPr>
        <w:t>[10] SAP / CaseStudies.com. Gestamp Automocion: Centralized HR Visibility and Global Compliance with SAP SuccessFactors Employee Central. Available at: https://www.casestudies.com/company/sap-successfactors/case-study/gaining-maximum-value-from-talent-solutions-with-robust-people-data-stored-in-sap-successfactors-employee-central (accessed 24 October 2026).</w:t>
      </w:r>
    </w:p>
    <w:p>
      <w:pPr>
        <w:ind w:left="288" w:hanging="288"/>
      </w:pPr>
      <w:r>
        <w:rPr>
          <w:sz w:val="18"/>
        </w:rPr>
        <w:t>[11] SAP / CaseStudies.com. Kongsberg Automotive: Modern Mobile HR and Continuous Employee Development with SAP SuccessFactors. Available at: https://www.casestudies.com/company/sap-successfactors/case-study/putting-employees-in-control-to-support-continuous-development (accessed 24 October 2026).</w:t>
      </w:r>
    </w:p>
    <w:p>
      <w:pPr>
        <w:ind w:left="288" w:hanging="288"/>
      </w:pPr>
      <w:r>
        <w:rPr>
          <w:sz w:val="18"/>
        </w:rPr>
        <w:t>[12] Dayal I, Bhandari B. Bridging the skill gap in India’s automobile industry. NCAER; 26 October 2025. Available at: https://ncaer.org/publication/bridging-the-skill-gap-in-indias-automobile-industry/</w:t>
      </w:r>
    </w:p>
    <w:p>
      <w:pPr>
        <w:ind w:left="288" w:hanging="288"/>
      </w:pPr>
      <w:r>
        <w:rPr>
          <w:sz w:val="18"/>
        </w:rPr>
        <w:t>[13] International Energy Agency. Global EV Outlook 2025: Executive Summary. Paris: IEA; 2025. Available at: https://www.iea.org/reports/global-ev-outlook-2025/executive-summary.</w:t>
      </w:r>
    </w:p>
    <w:p>
      <w:pPr>
        <w:ind w:left="288" w:hanging="288"/>
      </w:pPr>
      <w:r>
        <w:rPr>
          <w:sz w:val="18"/>
        </w:rPr>
        <w:t>[14] NCAER. Skill Shortages and Gaps in the Motor Vehicles Sector: Case for a Labour Market Information System in India. Policy Brief No. 1. October 2025. Available at: https://ncaer.org/publication/skill-shortages-and-gaps-in-the-motor-vehicles-sector-case-for-a-labour-market-information-system-in-india/.</w:t>
      </w:r>
    </w:p>
    <w:p>
      <w:pPr>
        <w:ind w:left="288" w:hanging="288"/>
      </w:pPr>
      <w:r>
        <w:rPr>
          <w:sz w:val="18"/>
        </w:rPr>
        <w:t>[15] NCAER. Bridging the Skill Gap in India’s Automobile Industry. 26 October 2025. Available at: https://ncaer.org/publication/bridging-the-skill-gap-in-indias-automobile-industry/.</w:t>
      </w:r>
    </w:p>
    <w:p>
      <w:pPr>
        <w:ind w:left="288" w:hanging="288"/>
      </w:pPr>
      <w:r>
        <w:rPr>
          <w:sz w:val="18"/>
        </w:rPr>
        <w:t>[16] Toyota Kirloskar Motor. Sustainability Report 2023: Learning &amp; Development. Available at: https://www.toyotabharat.com/documents/toyota-in-india/environment/tkm-sustainability-report-2023.pdf.</w:t>
      </w:r>
    </w:p>
    <w:p>
      <w:pPr>
        <w:ind w:left="288" w:hanging="288"/>
      </w:pPr>
      <w:r>
        <w:rPr>
          <w:sz w:val="18"/>
        </w:rPr>
        <w:t>[17] BMW Group. BMW Group Report 2024: Competency Development and Performance Management. Available at: https://www.bmwgroup.jobs/content/dam/grpw/websites/bmwgroup_com/ir/downloads/en/2025/hv/BMWGroup_Report2024.pdf.</w:t>
      </w:r>
    </w:p>
    <w:p>
      <w:pPr>
        <w:ind w:left="288" w:hanging="288"/>
      </w:pPr>
      <w:r>
        <w:rPr>
          <w:sz w:val="18"/>
        </w:rPr>
        <w:t>[18] NTT DATA. Gestamp’s Global Talent Transformation. Available at: https://www.nttdata.com/en-ph/insights/case-studies/gestamps-global-talent-transformation.</w:t>
      </w:r>
    </w:p>
    <w:p>
      <w:pPr>
        <w:ind w:left="288" w:hanging="288"/>
      </w:pPr>
      <w:r>
        <w:rPr>
          <w:sz w:val="18"/>
        </w:rPr>
        <w:t>[19] SAP SuccessFactors. Kongsberg Automotive: Putting Employees in Control to Support Continuous Development. Available at: https://www.casestudies.com/company/sap-successfactors/case-study/putting-employees-in-control-to-support-continuous-development.</w:t>
      </w:r>
    </w:p>
    <w:p>
      <w:pPr>
        <w:pStyle w:val="Heading1"/>
      </w:pPr>
      <w:r>
        <w:t>Appendix A: First 90-Day Action Checklist</w:t>
      </w:r>
    </w:p>
    <w:p>
      <w:pPr>
        <w:pStyle w:val="ListBullet"/>
      </w:pPr>
      <w:r>
        <w:t>Appoint executive sponsor, programme manager, module owners, and site champions.</w:t>
      </w:r>
    </w:p>
    <w:p>
      <w:pPr>
        <w:pStyle w:val="ListBullet"/>
      </w:pPr>
      <w:r>
        <w:t>Confirm the business units, sites, employee groups, and critical roles included in the first wave.</w:t>
      </w:r>
    </w:p>
    <w:p>
      <w:pPr>
        <w:pStyle w:val="ListBullet"/>
      </w:pPr>
      <w:r>
        <w:t>Document baseline metrics and definitions for time-to-fill, offer acceptance, early attrition, internal fill, and critical-skill coverage.</w:t>
      </w:r>
    </w:p>
    <w:p>
      <w:pPr>
        <w:pStyle w:val="ListBullet"/>
      </w:pPr>
      <w:r>
        <w:t>Audit employee/job data quality, access rights, integration dependencies, and local requirements.</w:t>
      </w:r>
    </w:p>
    <w:p>
      <w:pPr>
        <w:pStyle w:val="ListBullet"/>
      </w:pPr>
      <w:r>
        <w:t>Conduct interviews with plant managers, engineering leaders, recruiters, supervisors, and employees.</w:t>
      </w:r>
    </w:p>
    <w:p>
      <w:pPr>
        <w:pStyle w:val="ListBullet"/>
      </w:pPr>
      <w:r>
        <w:t>Select a manageable set of priority skills and validate proficiency standards with technical experts.</w:t>
      </w:r>
    </w:p>
    <w:p>
      <w:pPr>
        <w:pStyle w:val="ListBullet"/>
      </w:pPr>
      <w:r>
        <w:t>Draft standardized requisitions, structured interview scorecards, and realistic job previews.</w:t>
      </w:r>
    </w:p>
    <w:p>
      <w:pPr>
        <w:pStyle w:val="ListBullet"/>
      </w:pPr>
      <w:r>
        <w:t>Design onboarding journeys for one plant population and one engineering/digital population.</w:t>
      </w:r>
    </w:p>
    <w:p>
      <w:pPr>
        <w:pStyle w:val="ListBullet"/>
      </w:pPr>
      <w:r>
        <w:t>Select initial learning pathways and practical assessments for a high-priority skill gap.</w:t>
      </w:r>
    </w:p>
    <w:p>
      <w:pPr>
        <w:pStyle w:val="ListBullet"/>
      </w:pPr>
      <w:r>
        <w:t>Approve risk register, privacy controls, communications plan, and pilot success criteria.</w:t>
      </w:r>
    </w:p>
    <w:p>
      <w:pPr>
        <w:pStyle w:val="Heading1"/>
      </w:pPr>
      <w:r>
        <w:t>Appendix B: Example RACI Summary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Pr>
          <w:p>
            <w:r>
              <w:rPr>
                <w:b/>
                <w:color w:val="FFFFFF"/>
                <w:sz w:val="18"/>
              </w:rPr>
              <w:t>Activity</w:t>
            </w:r>
          </w:p>
        </w:tc>
        <w:tc>
          <w:tcPr>
            <w:tcW w:type="dxa" w:w="1656"/>
            <w:shd w:fill="1F4E79"/>
          </w:tcPr>
          <w:p>
            <w:r>
              <w:rPr>
                <w:b/>
                <w:color w:val="FFFFFF"/>
                <w:sz w:val="18"/>
              </w:rPr>
              <w:t>Executive sponsor</w:t>
            </w:r>
          </w:p>
        </w:tc>
        <w:tc>
          <w:tcPr>
            <w:tcW w:type="dxa" w:w="1656"/>
            <w:shd w:fill="1F4E79"/>
          </w:tcPr>
          <w:p>
            <w:r>
              <w:rPr>
                <w:b/>
                <w:color w:val="FFFFFF"/>
                <w:sz w:val="18"/>
              </w:rPr>
              <w:t>HR / Talent</w:t>
            </w:r>
          </w:p>
        </w:tc>
        <w:tc>
          <w:tcPr>
            <w:tcW w:type="dxa" w:w="1656"/>
            <w:shd w:fill="1F4E79"/>
          </w:tcPr>
          <w:p>
            <w:r>
              <w:rPr>
                <w:b/>
                <w:color w:val="FFFFFF"/>
                <w:sz w:val="18"/>
              </w:rPr>
              <w:t>Operations / Engineering</w:t>
            </w:r>
          </w:p>
        </w:tc>
        <w:tc>
          <w:tcPr>
            <w:tcW w:type="dxa" w:w="1656"/>
            <w:shd w:fill="1F4E79"/>
          </w:tcPr>
          <w:p>
            <w:r>
              <w:rPr>
                <w:b/>
                <w:color w:val="FFFFFF"/>
                <w:sz w:val="18"/>
              </w:rPr>
              <w:t>IT / Data</w:t>
            </w:r>
          </w:p>
        </w:tc>
        <w:tc>
          <w:tcPr>
            <w:tcW w:type="dxa" w:w="1656"/>
            <w:shd w:fill="1F4E79"/>
          </w:tcPr>
          <w:p>
            <w:r>
              <w:rPr>
                <w:b/>
                <w:color w:val="FFFFFF"/>
                <w:sz w:val="18"/>
              </w:rPr>
              <w:t>Finance / Legal</w:t>
            </w:r>
          </w:p>
        </w:tc>
      </w:tr>
      <w:tr>
        <w:tc>
          <w:tcPr>
            <w:tcW w:type="dxa" w:w="1656"/>
            <w:vAlign w:val="top"/>
          </w:tcPr>
          <w:p>
            <w:pPr>
              <w:spacing w:after="40"/>
            </w:pPr>
            <w:r>
              <w:rPr>
                <w:sz w:val="17"/>
              </w:rPr>
              <w:t>Approve business outcomes and funding</w:t>
            </w:r>
          </w:p>
        </w:tc>
        <w:tc>
          <w:tcPr>
            <w:tcW w:type="dxa" w:w="1656"/>
            <w:vAlign w:val="top"/>
          </w:tcPr>
          <w:p>
            <w:pPr>
              <w:spacing w:after="40"/>
            </w:pPr>
            <w:r>
              <w:rPr>
                <w:sz w:val="17"/>
              </w:rPr>
              <w:t>A</w:t>
            </w:r>
          </w:p>
        </w:tc>
        <w:tc>
          <w:tcPr>
            <w:tcW w:type="dxa" w:w="1656"/>
            <w:vAlign w:val="top"/>
          </w:tcPr>
          <w:p>
            <w:pPr>
              <w:spacing w:after="40"/>
            </w:pPr>
            <w:r>
              <w:rPr>
                <w:sz w:val="17"/>
              </w:rPr>
              <w:t>R</w:t>
            </w:r>
          </w:p>
        </w:tc>
        <w:tc>
          <w:tcPr>
            <w:tcW w:type="dxa" w:w="1656"/>
            <w:vAlign w:val="top"/>
          </w:tcPr>
          <w:p>
            <w:pPr>
              <w:spacing w:after="40"/>
            </w:pPr>
            <w:r>
              <w:rPr>
                <w:sz w:val="17"/>
              </w:rPr>
              <w:t>C</w:t>
            </w:r>
          </w:p>
        </w:tc>
        <w:tc>
          <w:tcPr>
            <w:tcW w:type="dxa" w:w="1656"/>
            <w:vAlign w:val="top"/>
          </w:tcPr>
          <w:p>
            <w:pPr>
              <w:spacing w:after="40"/>
            </w:pPr>
            <w:r>
              <w:rPr>
                <w:sz w:val="17"/>
              </w:rPr>
              <w:t>C</w:t>
            </w:r>
          </w:p>
        </w:tc>
        <w:tc>
          <w:tcPr>
            <w:tcW w:type="dxa" w:w="1656"/>
            <w:vAlign w:val="top"/>
          </w:tcPr>
          <w:p>
            <w:pPr>
              <w:spacing w:after="40"/>
            </w:pPr>
            <w:r>
              <w:rPr>
                <w:sz w:val="17"/>
              </w:rPr>
              <w:t>C</w:t>
            </w:r>
          </w:p>
        </w:tc>
      </w:tr>
      <w:tr>
        <w:tc>
          <w:tcPr>
            <w:tcW w:type="dxa" w:w="1656"/>
            <w:vAlign w:val="top"/>
          </w:tcPr>
          <w:p>
            <w:pPr>
              <w:spacing w:after="40"/>
            </w:pPr>
            <w:r>
              <w:rPr>
                <w:sz w:val="17"/>
              </w:rPr>
              <w:t>Define critical skills and roles</w:t>
            </w:r>
          </w:p>
        </w:tc>
        <w:tc>
          <w:tcPr>
            <w:tcW w:type="dxa" w:w="1656"/>
            <w:vAlign w:val="top"/>
          </w:tcPr>
          <w:p>
            <w:pPr>
              <w:spacing w:after="40"/>
            </w:pPr>
            <w:r>
              <w:rPr>
                <w:sz w:val="17"/>
              </w:rPr>
              <w:t>C</w:t>
            </w:r>
          </w:p>
        </w:tc>
        <w:tc>
          <w:tcPr>
            <w:tcW w:type="dxa" w:w="1656"/>
            <w:vAlign w:val="top"/>
          </w:tcPr>
          <w:p>
            <w:pPr>
              <w:spacing w:after="40"/>
            </w:pPr>
            <w:r>
              <w:rPr>
                <w:sz w:val="17"/>
              </w:rPr>
              <w:t>R</w:t>
            </w:r>
          </w:p>
        </w:tc>
        <w:tc>
          <w:tcPr>
            <w:tcW w:type="dxa" w:w="1656"/>
            <w:vAlign w:val="top"/>
          </w:tcPr>
          <w:p>
            <w:pPr>
              <w:spacing w:after="40"/>
            </w:pPr>
            <w:r>
              <w:rPr>
                <w:sz w:val="17"/>
              </w:rPr>
              <w:t>A/R</w:t>
            </w:r>
          </w:p>
        </w:tc>
        <w:tc>
          <w:tcPr>
            <w:tcW w:type="dxa" w:w="1656"/>
            <w:vAlign w:val="top"/>
          </w:tcPr>
          <w:p>
            <w:pPr>
              <w:spacing w:after="40"/>
            </w:pPr>
            <w:r>
              <w:rPr>
                <w:sz w:val="17"/>
              </w:rPr>
              <w:t>C</w:t>
            </w:r>
          </w:p>
        </w:tc>
        <w:tc>
          <w:tcPr>
            <w:tcW w:type="dxa" w:w="1656"/>
            <w:vAlign w:val="top"/>
          </w:tcPr>
          <w:p>
            <w:pPr>
              <w:spacing w:after="40"/>
            </w:pPr>
            <w:r>
              <w:rPr>
                <w:sz w:val="17"/>
              </w:rPr>
              <w:t>I</w:t>
            </w:r>
          </w:p>
        </w:tc>
      </w:tr>
      <w:tr>
        <w:tc>
          <w:tcPr>
            <w:tcW w:type="dxa" w:w="1656"/>
            <w:vAlign w:val="top"/>
          </w:tcPr>
          <w:p>
            <w:pPr>
              <w:spacing w:after="40"/>
            </w:pPr>
            <w:r>
              <w:rPr>
                <w:sz w:val="17"/>
              </w:rPr>
              <w:t>Configure talent workflows</w:t>
            </w:r>
          </w:p>
        </w:tc>
        <w:tc>
          <w:tcPr>
            <w:tcW w:type="dxa" w:w="1656"/>
            <w:vAlign w:val="top"/>
          </w:tcPr>
          <w:p>
            <w:pPr>
              <w:spacing w:after="40"/>
            </w:pPr>
            <w:r>
              <w:rPr>
                <w:sz w:val="17"/>
              </w:rPr>
              <w:t>I</w:t>
            </w:r>
          </w:p>
        </w:tc>
        <w:tc>
          <w:tcPr>
            <w:tcW w:type="dxa" w:w="1656"/>
            <w:vAlign w:val="top"/>
          </w:tcPr>
          <w:p>
            <w:pPr>
              <w:spacing w:after="40"/>
            </w:pPr>
            <w:r>
              <w:rPr>
                <w:sz w:val="17"/>
              </w:rPr>
              <w:t>A/R</w:t>
            </w:r>
          </w:p>
        </w:tc>
        <w:tc>
          <w:tcPr>
            <w:tcW w:type="dxa" w:w="1656"/>
            <w:vAlign w:val="top"/>
          </w:tcPr>
          <w:p>
            <w:pPr>
              <w:spacing w:after="40"/>
            </w:pPr>
            <w:r>
              <w:rPr>
                <w:sz w:val="17"/>
              </w:rPr>
              <w:t>C</w:t>
            </w:r>
          </w:p>
        </w:tc>
        <w:tc>
          <w:tcPr>
            <w:tcW w:type="dxa" w:w="1656"/>
            <w:vAlign w:val="top"/>
          </w:tcPr>
          <w:p>
            <w:pPr>
              <w:spacing w:after="40"/>
            </w:pPr>
            <w:r>
              <w:rPr>
                <w:sz w:val="17"/>
              </w:rPr>
              <w:t>R</w:t>
            </w:r>
          </w:p>
        </w:tc>
        <w:tc>
          <w:tcPr>
            <w:tcW w:type="dxa" w:w="1656"/>
            <w:vAlign w:val="top"/>
          </w:tcPr>
          <w:p>
            <w:pPr>
              <w:spacing w:after="40"/>
            </w:pPr>
            <w:r>
              <w:rPr>
                <w:sz w:val="17"/>
              </w:rPr>
              <w:t>I</w:t>
            </w:r>
          </w:p>
        </w:tc>
      </w:tr>
      <w:tr>
        <w:tc>
          <w:tcPr>
            <w:tcW w:type="dxa" w:w="1656"/>
            <w:vAlign w:val="top"/>
          </w:tcPr>
          <w:p>
            <w:pPr>
              <w:spacing w:after="40"/>
            </w:pPr>
            <w:r>
              <w:rPr>
                <w:sz w:val="17"/>
              </w:rPr>
              <w:t>Validate safety-critical learning</w:t>
            </w:r>
          </w:p>
        </w:tc>
        <w:tc>
          <w:tcPr>
            <w:tcW w:type="dxa" w:w="1656"/>
            <w:vAlign w:val="top"/>
          </w:tcPr>
          <w:p>
            <w:pPr>
              <w:spacing w:after="40"/>
            </w:pPr>
            <w:r>
              <w:rPr>
                <w:sz w:val="17"/>
              </w:rPr>
              <w:t>I</w:t>
            </w:r>
          </w:p>
        </w:tc>
        <w:tc>
          <w:tcPr>
            <w:tcW w:type="dxa" w:w="1656"/>
            <w:vAlign w:val="top"/>
          </w:tcPr>
          <w:p>
            <w:pPr>
              <w:spacing w:after="40"/>
            </w:pPr>
            <w:r>
              <w:rPr>
                <w:sz w:val="17"/>
              </w:rPr>
              <w:t>C</w:t>
            </w:r>
          </w:p>
        </w:tc>
        <w:tc>
          <w:tcPr>
            <w:tcW w:type="dxa" w:w="1656"/>
            <w:vAlign w:val="top"/>
          </w:tcPr>
          <w:p>
            <w:pPr>
              <w:spacing w:after="40"/>
            </w:pPr>
            <w:r>
              <w:rPr>
                <w:sz w:val="17"/>
              </w:rPr>
              <w:t>A/R</w:t>
            </w:r>
          </w:p>
        </w:tc>
        <w:tc>
          <w:tcPr>
            <w:tcW w:type="dxa" w:w="1656"/>
            <w:vAlign w:val="top"/>
          </w:tcPr>
          <w:p>
            <w:pPr>
              <w:spacing w:after="40"/>
            </w:pPr>
            <w:r>
              <w:rPr>
                <w:sz w:val="17"/>
              </w:rPr>
              <w:t>C</w:t>
            </w:r>
          </w:p>
        </w:tc>
        <w:tc>
          <w:tcPr>
            <w:tcW w:type="dxa" w:w="1656"/>
            <w:vAlign w:val="top"/>
          </w:tcPr>
          <w:p>
            <w:pPr>
              <w:spacing w:after="40"/>
            </w:pPr>
            <w:r>
              <w:rPr>
                <w:sz w:val="17"/>
              </w:rPr>
              <w:t>I</w:t>
            </w:r>
          </w:p>
        </w:tc>
      </w:tr>
      <w:tr>
        <w:tc>
          <w:tcPr>
            <w:tcW w:type="dxa" w:w="1656"/>
            <w:vAlign w:val="top"/>
          </w:tcPr>
          <w:p>
            <w:pPr>
              <w:spacing w:after="40"/>
            </w:pPr>
            <w:r>
              <w:rPr>
                <w:sz w:val="17"/>
              </w:rPr>
              <w:t>Approve privacy and access controls</w:t>
            </w:r>
          </w:p>
        </w:tc>
        <w:tc>
          <w:tcPr>
            <w:tcW w:type="dxa" w:w="1656"/>
            <w:vAlign w:val="top"/>
          </w:tcPr>
          <w:p>
            <w:pPr>
              <w:spacing w:after="40"/>
            </w:pPr>
            <w:r>
              <w:rPr>
                <w:sz w:val="17"/>
              </w:rPr>
              <w:t>I</w:t>
            </w:r>
          </w:p>
        </w:tc>
        <w:tc>
          <w:tcPr>
            <w:tcW w:type="dxa" w:w="1656"/>
            <w:vAlign w:val="top"/>
          </w:tcPr>
          <w:p>
            <w:pPr>
              <w:spacing w:after="40"/>
            </w:pPr>
            <w:r>
              <w:rPr>
                <w:sz w:val="17"/>
              </w:rPr>
              <w:t>C</w:t>
            </w:r>
          </w:p>
        </w:tc>
        <w:tc>
          <w:tcPr>
            <w:tcW w:type="dxa" w:w="1656"/>
            <w:vAlign w:val="top"/>
          </w:tcPr>
          <w:p>
            <w:pPr>
              <w:spacing w:after="40"/>
            </w:pPr>
            <w:r>
              <w:rPr>
                <w:sz w:val="17"/>
              </w:rPr>
              <w:t>C</w:t>
            </w:r>
          </w:p>
        </w:tc>
        <w:tc>
          <w:tcPr>
            <w:tcW w:type="dxa" w:w="1656"/>
            <w:vAlign w:val="top"/>
          </w:tcPr>
          <w:p>
            <w:pPr>
              <w:spacing w:after="40"/>
            </w:pPr>
            <w:r>
              <w:rPr>
                <w:sz w:val="17"/>
              </w:rPr>
              <w:t>R</w:t>
            </w:r>
          </w:p>
        </w:tc>
        <w:tc>
          <w:tcPr>
            <w:tcW w:type="dxa" w:w="1656"/>
            <w:vAlign w:val="top"/>
          </w:tcPr>
          <w:p>
            <w:pPr>
              <w:spacing w:after="40"/>
            </w:pPr>
            <w:r>
              <w:rPr>
                <w:sz w:val="17"/>
              </w:rPr>
              <w:t>A/R</w:t>
            </w:r>
          </w:p>
        </w:tc>
      </w:tr>
      <w:tr>
        <w:tc>
          <w:tcPr>
            <w:tcW w:type="dxa" w:w="1656"/>
            <w:vAlign w:val="top"/>
          </w:tcPr>
          <w:p>
            <w:pPr>
              <w:spacing w:after="40"/>
            </w:pPr>
            <w:r>
              <w:rPr>
                <w:sz w:val="17"/>
              </w:rPr>
              <w:t>Validate benefits and KPI definitions</w:t>
            </w:r>
          </w:p>
        </w:tc>
        <w:tc>
          <w:tcPr>
            <w:tcW w:type="dxa" w:w="1656"/>
            <w:vAlign w:val="top"/>
          </w:tcPr>
          <w:p>
            <w:pPr>
              <w:spacing w:after="40"/>
            </w:pPr>
            <w:r>
              <w:rPr>
                <w:sz w:val="17"/>
              </w:rPr>
              <w:t>C</w:t>
            </w:r>
          </w:p>
        </w:tc>
        <w:tc>
          <w:tcPr>
            <w:tcW w:type="dxa" w:w="1656"/>
            <w:vAlign w:val="top"/>
          </w:tcPr>
          <w:p>
            <w:pPr>
              <w:spacing w:after="40"/>
            </w:pPr>
            <w:r>
              <w:rPr>
                <w:sz w:val="17"/>
              </w:rPr>
              <w:t>R</w:t>
            </w:r>
          </w:p>
        </w:tc>
        <w:tc>
          <w:tcPr>
            <w:tcW w:type="dxa" w:w="1656"/>
            <w:vAlign w:val="top"/>
          </w:tcPr>
          <w:p>
            <w:pPr>
              <w:spacing w:after="40"/>
            </w:pPr>
            <w:r>
              <w:rPr>
                <w:sz w:val="17"/>
              </w:rPr>
              <w:t>C</w:t>
            </w:r>
          </w:p>
        </w:tc>
        <w:tc>
          <w:tcPr>
            <w:tcW w:type="dxa" w:w="1656"/>
            <w:vAlign w:val="top"/>
          </w:tcPr>
          <w:p>
            <w:pPr>
              <w:spacing w:after="40"/>
            </w:pPr>
            <w:r>
              <w:rPr>
                <w:sz w:val="17"/>
              </w:rPr>
              <w:t>C</w:t>
            </w:r>
          </w:p>
        </w:tc>
        <w:tc>
          <w:tcPr>
            <w:tcW w:type="dxa" w:w="1656"/>
            <w:vAlign w:val="top"/>
          </w:tcPr>
          <w:p>
            <w:pPr>
              <w:spacing w:after="40"/>
            </w:pPr>
            <w:r>
              <w:rPr>
                <w:sz w:val="17"/>
              </w:rPr>
              <w:t>A/R</w:t>
            </w:r>
          </w:p>
        </w:tc>
      </w:tr>
      <w:tr>
        <w:tc>
          <w:tcPr>
            <w:tcW w:type="dxa" w:w="1656"/>
            <w:vAlign w:val="top"/>
          </w:tcPr>
          <w:p>
            <w:pPr>
              <w:spacing w:after="40"/>
            </w:pPr>
            <w:r>
              <w:rPr>
                <w:sz w:val="17"/>
              </w:rPr>
              <w:t>Review pilot and approve scale-up</w:t>
            </w:r>
          </w:p>
        </w:tc>
        <w:tc>
          <w:tcPr>
            <w:tcW w:type="dxa" w:w="1656"/>
            <w:vAlign w:val="top"/>
          </w:tcPr>
          <w:p>
            <w:pPr>
              <w:spacing w:after="40"/>
            </w:pPr>
            <w:r>
              <w:rPr>
                <w:sz w:val="17"/>
              </w:rPr>
              <w:t>A</w:t>
            </w:r>
          </w:p>
        </w:tc>
        <w:tc>
          <w:tcPr>
            <w:tcW w:type="dxa" w:w="1656"/>
            <w:vAlign w:val="top"/>
          </w:tcPr>
          <w:p>
            <w:pPr>
              <w:spacing w:after="40"/>
            </w:pPr>
            <w:r>
              <w:rPr>
                <w:sz w:val="17"/>
              </w:rPr>
              <w:t>R</w:t>
            </w:r>
          </w:p>
        </w:tc>
        <w:tc>
          <w:tcPr>
            <w:tcW w:type="dxa" w:w="1656"/>
            <w:vAlign w:val="top"/>
          </w:tcPr>
          <w:p>
            <w:pPr>
              <w:spacing w:after="40"/>
            </w:pPr>
            <w:r>
              <w:rPr>
                <w:sz w:val="17"/>
              </w:rPr>
              <w:t>R</w:t>
            </w:r>
          </w:p>
        </w:tc>
        <w:tc>
          <w:tcPr>
            <w:tcW w:type="dxa" w:w="1656"/>
            <w:vAlign w:val="top"/>
          </w:tcPr>
          <w:p>
            <w:pPr>
              <w:spacing w:after="40"/>
            </w:pPr>
            <w:r>
              <w:rPr>
                <w:sz w:val="17"/>
              </w:rPr>
              <w:t>C</w:t>
            </w:r>
          </w:p>
        </w:tc>
        <w:tc>
          <w:tcPr>
            <w:tcW w:type="dxa" w:w="1656"/>
            <w:vAlign w:val="top"/>
          </w:tcPr>
          <w:p>
            <w:pPr>
              <w:spacing w:after="40"/>
            </w:pPr>
            <w:r>
              <w:rPr>
                <w:sz w:val="17"/>
              </w:rPr>
              <w:t>C</w:t>
            </w:r>
          </w:p>
        </w:tc>
      </w:tr>
    </w:tbl>
    <w:p/>
    <w:p>
      <w:r>
        <w:t>R = Responsible; A = Accountable; C = Consulted; I = Informed. One accountable owner should be designated for each activity in the final organization-specific RACI.</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Strategic Talent Management Planning • SAP SuccessFactors concepts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STRATEGIC TALENT MANAGEMENT PLAN | AUTOMOTIVE INDUSTRY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