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COLLECTED RESEARCH</w:t>
        <w:br/>
      </w:r>
      <w:r>
        <w:rPr>
          <w:b/>
          <w:sz w:val="28"/>
        </w:rPr>
        <w:t>Strategic Talent Management in the Automotive Industry</w:t>
        <w:br/>
        <w:t>Using SAP SuccessFactors Concepts</w:t>
      </w:r>
    </w:p>
    <w:p>
      <w:pPr>
        <w:jc w:val="center"/>
      </w:pPr>
      <w:r>
        <w:rPr>
          <w:i/>
        </w:rPr>
        <w:t>Research brief: company case studies, published industry data, strategic applications, and source list</w:t>
      </w:r>
    </w:p>
    <w:p>
      <w:pPr>
        <w:pStyle w:val="Heading1"/>
      </w:pPr>
      <w:r>
        <w:t>1. Purpose and scope</w:t>
      </w:r>
    </w:p>
    <w:p>
      <w:r>
        <w:t>This document consolidates the additional examples, case studies, and real-world data gathered for the Strategic Talent Management Planning assignment. It is designed to support a report on how automotive organizations can align talent acquisition, onboarding, learning, performance, succession, and retention with business priorities using SAP SuccessFactors concepts.</w:t>
      </w:r>
    </w:p>
    <w:p>
      <w:r>
        <w:t>Evidence distinction: Kongsberg Automotive and Gestamp are examples directly associated with SAP SuccessFactors implementations. BMW Group and Toyota Kirloskar Motor are workforce-development benchmarks. Their training practices are useful comparisons, but they should not be described as proof that they use the exact SAP configuration proposed in the assignment.</w:t>
      </w:r>
    </w:p>
    <w:p>
      <w:pPr>
        <w:pStyle w:val="Heading1"/>
      </w:pPr>
      <w:r>
        <w:t>2. Real automotive case studies</w:t>
      </w:r>
    </w:p>
    <w:p>
      <w:pPr>
        <w:pStyle w:val="Heading2"/>
      </w:pPr>
      <w:r>
        <w:t>2.1 Kongsberg Automotive — HR modernization and measurable outcomes</w:t>
      </w:r>
    </w:p>
    <w:p>
      <w:r>
        <w:t>Business context: Kongsberg Automotive, a global automotive components supplier, sought to modernize HR, expand mobile employee self-service, and support workforce upskilling. The published case study describes SAP SuccessFactors Employee Central and related HXM capabilities being rolled out across 19 countries for more than 10,000 employees.</w:t>
      </w:r>
    </w:p>
    <w:p>
      <w:r>
        <w:t>Reported results in the published case study:</w:t>
      </w:r>
    </w:p>
    <w:p>
      <w:pPr>
        <w:pStyle w:val="ListBullet"/>
      </w:pPr>
      <w:r>
        <w:t>33% faster time-to-fill positions.</w:t>
      </w:r>
    </w:p>
    <w:p>
      <w:pPr>
        <w:pStyle w:val="ListBullet"/>
      </w:pPr>
      <w:r>
        <w:t>30% fewer HR requests.</w:t>
      </w:r>
    </w:p>
    <w:p>
      <w:pPr>
        <w:pStyle w:val="ListBullet"/>
      </w:pPr>
      <w:r>
        <w:t>15% reduction in HR costs.</w:t>
      </w:r>
    </w:p>
    <w:p>
      <w:pPr>
        <w:pStyle w:val="ListBullet"/>
      </w:pPr>
      <w:r>
        <w:t>Reporting time reduced from 45 minutes to 15 minutes.</w:t>
      </w:r>
    </w:p>
    <w:p>
      <w:pPr>
        <w:pStyle w:val="ListBullet"/>
      </w:pPr>
      <w:r>
        <w:t>The case study also reports increased succession visibility, including doubled successors for key roles and visibility into 60% of critical roles.</w:t>
      </w:r>
    </w:p>
    <w:p>
      <w:r>
        <w:t>Strategic interpretation: These results illustrate how standardized recruitment workflows, employee self-service, and more consistent workforce data can improve HR responsiveness. A company applying this lesson should first record baseline metrics, define each KPI consistently, and then track changes after implementation. Results are vendor/case-study reported and should not be treated as independently proven causal outcomes.</w:t>
      </w:r>
    </w:p>
    <w:p>
      <w:r>
        <w:t>Suggested SAP SuccessFactors application: Recruiting for requisition and candidate workflow; Employee Central for core employee data; Learning for upskilling; Succession &amp; Development for critical-role coverage; and analytics for monitoring time-to-fill, HR service requests, and internal appointments.</w:t>
      </w:r>
    </w:p>
    <w:p>
      <w:r>
        <w:t>Source: CaseStudies.com, “Kongsberg Automotive achieves modern mobile HR and continuous employee development with SAP SuccessFactors.” https://www.casestudies.com/company/sap-successfactors/case-study/putting-employees-in-control-to-support-continuous-development</w:t>
      </w:r>
    </w:p>
    <w:p>
      <w:pPr>
        <w:pStyle w:val="Heading2"/>
      </w:pPr>
      <w:r>
        <w:t>2.2 Gestamp — Global HR data and talent visibility</w:t>
      </w:r>
    </w:p>
    <w:p>
      <w:r>
        <w:t>Business context: Gestamp, an automotive metal-components manufacturer, had grown through acquisitions and was operating with fragmented local HR systems. The published NTT DATA case study describes a workforce of more than 45,000 employees across 21 countries and the implementation of a centralized global HR platform.</w:t>
      </w:r>
    </w:p>
    <w:p>
      <w:r>
        <w:t>Published implementation details:</w:t>
      </w:r>
    </w:p>
    <w:p>
      <w:pPr>
        <w:pStyle w:val="ListBullet"/>
      </w:pPr>
      <w:r>
        <w:t>A global HR platform was deployed in approximately nine months.</w:t>
      </w:r>
    </w:p>
    <w:p>
      <w:pPr>
        <w:pStyle w:val="ListBullet"/>
      </w:pPr>
      <w:r>
        <w:t>The transformation consolidated employee information across the organization.</w:t>
      </w:r>
    </w:p>
    <w:p>
      <w:pPr>
        <w:pStyle w:val="ListBullet"/>
      </w:pPr>
      <w:r>
        <w:t>The case study describes automation of key processes, including organizational changes, absence management, and timesheets.</w:t>
      </w:r>
    </w:p>
    <w:p>
      <w:pPr>
        <w:pStyle w:val="ListBullet"/>
      </w:pPr>
      <w:r>
        <w:t>SAP SuccessFactors Employee Central was described as the core source of employee data, connected with Recruiting, Onboarding, Succession &amp; Development, and Performance &amp; Goals.</w:t>
      </w:r>
    </w:p>
    <w:p>
      <w:r>
        <w:t>Strategic interpretation: A reliable, consistent employee-data foundation helps leaders understand workforce size, skills, performance, and succession across plants and countries. It also supports planning for new production technologies and makes comparisons more meaningful. Global consistency should still respect local employment law, privacy requirements, language, and workforce practices.</w:t>
      </w:r>
    </w:p>
    <w:p>
      <w:r>
        <w:t>Suggested SAP SuccessFactors application: Employee Central as the core employee-data platform, connected to Recruiting, Onboarding, Performance &amp; Goals, and Succession &amp; Development. Use standardized job families and skill definitions while allowing country-specific compliance requirements.</w:t>
      </w:r>
    </w:p>
    <w:p>
      <w:r>
        <w:t>Sources: NTT DATA, “Gestamp’s global talent transformation.” https://www.nttdata.com/en-ph/insights/case-studies/gestamps-global-talent-transformation ; CaseStudies.com, “Gestamp Automocion achieves centralized HR visibility and global compliance with SAP SuccessFactors Employee Central.” https://www.casestudies.com/company/sap-successfactors/case-study/gaining-maximum-value-from-talent-solutions-with-robust-people-data-stored-in-sap-successfactors-employee-central</w:t>
      </w:r>
    </w:p>
    <w:p>
      <w:pPr>
        <w:pStyle w:val="Heading2"/>
      </w:pPr>
      <w:r>
        <w:t>2.3 BMW Group — Investment in employee development</w:t>
      </w:r>
    </w:p>
    <w:p>
      <w:r>
        <w:t>BMW Group’s 2024 management reporting provides a useful benchmark for the scale of workforce-development investment in a major automotive manufacturer.</w:t>
      </w:r>
    </w:p>
    <w:p>
      <w:pPr>
        <w:pStyle w:val="ListBullet"/>
      </w:pPr>
      <w:r>
        <w:t>BMW Group reported 159,104 employees at the end of 2024.</w:t>
      </w:r>
    </w:p>
    <w:p>
      <w:pPr>
        <w:pStyle w:val="ListBullet"/>
      </w:pPr>
      <w:r>
        <w:t>It reported approximately €415 million invested in vocational and further training in 2024.</w:t>
      </w:r>
    </w:p>
    <w:p>
      <w:pPr>
        <w:pStyle w:val="ListBullet"/>
      </w:pPr>
      <w:r>
        <w:t>The broader report discusses workforce and capability development in the context of the company’s operating and technology transition.</w:t>
      </w:r>
    </w:p>
    <w:p>
      <w:r>
        <w:t>Strategic interpretation: The data illustrates that workforce development is a material business investment, not merely an administrative activity. The proposed company should link learning plans to future capability needs such as EV systems, battery safety, mechatronics, software, robotics, quality, and data literacy. Training hours alone are not proof of competence; practical assessments and work outcomes should also be measured.</w:t>
      </w:r>
    </w:p>
    <w:p>
      <w:r>
        <w:t>Suggested SAP SuccessFactors application: Learning to assign and track role-based courses; Performance &amp; Goals to connect development objectives to performance conversations; and skills/workforce planning to identify gaps.</w:t>
      </w:r>
    </w:p>
    <w:p>
      <w:r>
        <w:t>Source: BMW Group, “Management Report — BMW Group Report 2024.” https://www.bmwgroup.com/en/report/2024/management-report/index.html</w:t>
      </w:r>
    </w:p>
    <w:p>
      <w:pPr>
        <w:pStyle w:val="Heading2"/>
      </w:pPr>
      <w:r>
        <w:t>2.4 Toyota Kirloskar Motor — Learning-needs assessment and development</w:t>
      </w:r>
    </w:p>
    <w:p>
      <w:r>
        <w:t>Toyota Kirloskar Motor’s Sustainability Report 2023 describes an annual learning-needs assessment process that uses personal and business needs, interviews, online surveys, performance reviews, and competency appraisals. The report describes training plans, leadership development, external training, and job rotations.</w:t>
      </w:r>
    </w:p>
    <w:p>
      <w:r>
        <w:t>Strategic interpretation: Training is more likely to address real operational needs when capability gaps are assessed before courses are selected. For automotive roles, this could mean different learning paths for assembly operators, maintenance technicians, quality engineers, EV service technicians, and supervisors. Shift schedules and access to training should be considered so production employees can participate fairly.</w:t>
      </w:r>
    </w:p>
    <w:p>
      <w:r>
        <w:t>Suggested SAP SuccessFactors application: Learning to manage curricula and completion records; Performance &amp; Goals to identify development needs; and Succession &amp; Development to support career growth and job rotations.</w:t>
      </w:r>
    </w:p>
    <w:p>
      <w:r>
        <w:t>Important limitation: This is evidence of Toyota Kirloskar Motor’s workforce-development practices, not proof that it uses the exact SAP SuccessFactors configuration recommended in this assignment.</w:t>
      </w:r>
    </w:p>
    <w:p>
      <w:r>
        <w:t>Source: Toyota Kirloskar Motor, “Sustainability Report 2023 — Learning &amp; Development.” https://www.toyotabharat.com/documents/toyota-in-india/environment/tkm-sustainability-report-2023.pdf</w:t>
      </w:r>
    </w:p>
    <w:p>
      <w:pPr>
        <w:pStyle w:val="Heading1"/>
      </w:pPr>
      <w:r>
        <w:t>3. Real-world industry data and why it matters</w:t>
      </w:r>
    </w:p>
    <w:p>
      <w:pPr>
        <w:pStyle w:val="Heading2"/>
      </w:pPr>
      <w:r>
        <w:t>3.1 Global electric-car sales</w:t>
      </w:r>
    </w:p>
    <w:p>
      <w:r>
        <w:t>The International Energy Agency’s Global EV Outlook 2025 reports that electric-car sales exceeded 17 million worldwide in 2024, representing more than 20% of new-car sales. The report notes that sales increased by more than 25% year-on-year.</w:t>
      </w:r>
    </w:p>
    <w:p>
      <w:r>
        <w:t>Talent-management implication: Electrification changes the mix of capabilities required across product engineering, battery systems, power electronics, high-voltage safety, testing, software, manufacturing, and after-sales service. Organizations should translate market trends into company-specific workforce scenarios rather than directly using global sales as a forecast of their own hiring needs.</w:t>
      </w:r>
    </w:p>
    <w:p>
      <w:r>
        <w:t>Source: International Energy Agency, “Global EV Outlook 2025 — Executive Summary.” https://www.iea.org/reports/global-ev-outlook-2025/executive-summary</w:t>
      </w:r>
    </w:p>
    <w:p>
      <w:pPr>
        <w:pStyle w:val="Heading2"/>
      </w:pPr>
      <w:r>
        <w:t>3.2 India’s automotive skills gap</w:t>
      </w:r>
    </w:p>
    <w:p>
      <w:r>
        <w:t>NCAER’s 2025 research on skill shortages and gaps in India’s motor-vehicle sector describes mismatches between employer demand and the supply of appropriately skilled workers. The research discusses emerging needs related to electric vehicles, automation, artificial intelligence, robotics, and practical technical experience. It also highlights the importance of industry–education partnerships and better labour-market information.</w:t>
      </w:r>
    </w:p>
    <w:p>
      <w:r>
        <w:t>Talent-management implication: Employers can collaborate with ITIs, polytechnics, engineering colleges, and technical training centres to build apprenticeship and graduate pipelines. Candidate screening should assess practical skills as well as qualifications. Onboarding should include safety, quality, equipment, and role-specific competency checks.</w:t>
      </w:r>
    </w:p>
    <w:p>
      <w:r>
        <w:t>Source: NCAER, “Skill Shortages and Gaps in the Motor Vehicles Sector: Case for a Labour Market Information System in India,” October 2025. https://ncaer.org/publication/skill-shortages-and-gaps-in-the-motor-vehicles-sector-case-for-a-labour-market-information-system-in-india/</w:t>
      </w:r>
    </w:p>
    <w:p>
      <w:pPr>
        <w:pStyle w:val="Heading1"/>
      </w:pPr>
      <w:r>
        <w:t>4. Cross-case comparison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4E79"/>
          </w:tcPr>
          <w:p>
            <w:r>
              <w:rPr>
                <w:b/>
                <w:color w:val="FFFFFF"/>
                <w:sz w:val="16"/>
              </w:rPr>
              <w:t>Organization / source</w:t>
            </w:r>
          </w:p>
        </w:tc>
        <w:tc>
          <w:tcPr>
            <w:tcW w:type="dxa" w:w="2520"/>
            <w:vAlign w:val="center"/>
            <w:shd w:fill="1F4E79"/>
          </w:tcPr>
          <w:p>
            <w:r>
              <w:rPr>
                <w:b/>
                <w:color w:val="FFFFFF"/>
                <w:sz w:val="16"/>
              </w:rPr>
              <w:t>Evidence type</w:t>
            </w:r>
          </w:p>
        </w:tc>
        <w:tc>
          <w:tcPr>
            <w:tcW w:type="dxa" w:w="2520"/>
            <w:vAlign w:val="center"/>
            <w:shd w:fill="1F4E79"/>
          </w:tcPr>
          <w:p>
            <w:r>
              <w:rPr>
                <w:b/>
                <w:color w:val="FFFFFF"/>
                <w:sz w:val="16"/>
              </w:rPr>
              <w:t>Key evidence</w:t>
            </w:r>
          </w:p>
        </w:tc>
        <w:tc>
          <w:tcPr>
            <w:tcW w:type="dxa" w:w="2520"/>
            <w:vAlign w:val="center"/>
            <w:shd w:fill="1F4E79"/>
          </w:tcPr>
          <w:p>
            <w:r>
              <w:rPr>
                <w:b/>
                <w:color w:val="FFFFFF"/>
                <w:sz w:val="16"/>
              </w:rPr>
              <w:t>Lesson for the proposed strategy</w:t>
            </w:r>
          </w:p>
        </w:tc>
      </w:tr>
      <w:tr>
        <w:tc>
          <w:tcPr>
            <w:tcW w:type="dxa" w:w="2520"/>
            <w:vAlign w:val="top"/>
          </w:tcPr>
          <w:p>
            <w:pPr>
              <w:spacing w:after="40"/>
            </w:pPr>
            <w:r>
              <w:rPr>
                <w:sz w:val="16"/>
              </w:rPr>
              <w:t>Kongsberg Automotive</w:t>
            </w:r>
          </w:p>
        </w:tc>
        <w:tc>
          <w:tcPr>
            <w:tcW w:type="dxa" w:w="2520"/>
            <w:vAlign w:val="top"/>
          </w:tcPr>
          <w:p>
            <w:pPr>
              <w:spacing w:after="40"/>
            </w:pPr>
            <w:r>
              <w:rPr>
                <w:sz w:val="16"/>
              </w:rPr>
              <w:t>SAP SuccessFactors case study</w:t>
            </w:r>
          </w:p>
        </w:tc>
        <w:tc>
          <w:tcPr>
            <w:tcW w:type="dxa" w:w="2520"/>
            <w:vAlign w:val="top"/>
          </w:tcPr>
          <w:p>
            <w:pPr>
              <w:spacing w:after="40"/>
            </w:pPr>
            <w:r>
              <w:rPr>
                <w:sz w:val="16"/>
              </w:rPr>
              <w:t>Reported 33% faster time-to-fill; 30% fewer HR requests; 15% lower HR costs</w:t>
            </w:r>
          </w:p>
        </w:tc>
        <w:tc>
          <w:tcPr>
            <w:tcW w:type="dxa" w:w="2520"/>
            <w:vAlign w:val="top"/>
          </w:tcPr>
          <w:p>
            <w:pPr>
              <w:spacing w:after="40"/>
            </w:pPr>
            <w:r>
              <w:rPr>
                <w:sz w:val="16"/>
              </w:rPr>
              <w:t>Standardize hiring workflows, self-service, and HR KPI measurement</w:t>
            </w:r>
          </w:p>
        </w:tc>
      </w:tr>
      <w:tr>
        <w:tc>
          <w:tcPr>
            <w:tcW w:type="dxa" w:w="2520"/>
            <w:vAlign w:val="top"/>
          </w:tcPr>
          <w:p>
            <w:pPr>
              <w:spacing w:after="40"/>
            </w:pPr>
            <w:r>
              <w:rPr>
                <w:sz w:val="16"/>
              </w:rPr>
              <w:t>Gestamp</w:t>
            </w:r>
          </w:p>
        </w:tc>
        <w:tc>
          <w:tcPr>
            <w:tcW w:type="dxa" w:w="2520"/>
            <w:vAlign w:val="top"/>
          </w:tcPr>
          <w:p>
            <w:pPr>
              <w:spacing w:after="40"/>
            </w:pPr>
            <w:r>
              <w:rPr>
                <w:sz w:val="16"/>
              </w:rPr>
              <w:t>SAP SuccessFactors implementation case</w:t>
            </w:r>
          </w:p>
        </w:tc>
        <w:tc>
          <w:tcPr>
            <w:tcW w:type="dxa" w:w="2520"/>
            <w:vAlign w:val="top"/>
          </w:tcPr>
          <w:p>
            <w:pPr>
              <w:spacing w:after="40"/>
            </w:pPr>
            <w:r>
              <w:rPr>
                <w:sz w:val="16"/>
              </w:rPr>
              <w:t>Global platform implemented in about nine months for 45,000+ employees across 21 countries</w:t>
            </w:r>
          </w:p>
        </w:tc>
        <w:tc>
          <w:tcPr>
            <w:tcW w:type="dxa" w:w="2520"/>
            <w:vAlign w:val="top"/>
          </w:tcPr>
          <w:p>
            <w:pPr>
              <w:spacing w:after="40"/>
            </w:pPr>
            <w:r>
              <w:rPr>
                <w:sz w:val="16"/>
              </w:rPr>
              <w:t>Create a consistent employee-data foundation and improve talent visibility</w:t>
            </w:r>
          </w:p>
        </w:tc>
      </w:tr>
      <w:tr>
        <w:tc>
          <w:tcPr>
            <w:tcW w:type="dxa" w:w="2520"/>
            <w:vAlign w:val="top"/>
          </w:tcPr>
          <w:p>
            <w:pPr>
              <w:spacing w:after="40"/>
            </w:pPr>
            <w:r>
              <w:rPr>
                <w:sz w:val="16"/>
              </w:rPr>
              <w:t>BMW Group</w:t>
            </w:r>
          </w:p>
        </w:tc>
        <w:tc>
          <w:tcPr>
            <w:tcW w:type="dxa" w:w="2520"/>
            <w:vAlign w:val="top"/>
          </w:tcPr>
          <w:p>
            <w:pPr>
              <w:spacing w:after="40"/>
            </w:pPr>
            <w:r>
              <w:rPr>
                <w:sz w:val="16"/>
              </w:rPr>
              <w:t>Company management report</w:t>
            </w:r>
          </w:p>
        </w:tc>
        <w:tc>
          <w:tcPr>
            <w:tcW w:type="dxa" w:w="2520"/>
            <w:vAlign w:val="top"/>
          </w:tcPr>
          <w:p>
            <w:pPr>
              <w:spacing w:after="40"/>
            </w:pPr>
            <w:r>
              <w:rPr>
                <w:sz w:val="16"/>
              </w:rPr>
              <w:t>Approximately €415 million invested in training in 2024; 159,104 employees at year-end</w:t>
            </w:r>
          </w:p>
        </w:tc>
        <w:tc>
          <w:tcPr>
            <w:tcW w:type="dxa" w:w="2520"/>
            <w:vAlign w:val="top"/>
          </w:tcPr>
          <w:p>
            <w:pPr>
              <w:spacing w:after="40"/>
            </w:pPr>
            <w:r>
              <w:rPr>
                <w:sz w:val="16"/>
              </w:rPr>
              <w:t>Link learning investment to future skills and practical capability</w:t>
            </w:r>
          </w:p>
        </w:tc>
      </w:tr>
      <w:tr>
        <w:tc>
          <w:tcPr>
            <w:tcW w:type="dxa" w:w="2520"/>
            <w:vAlign w:val="top"/>
          </w:tcPr>
          <w:p>
            <w:pPr>
              <w:spacing w:after="40"/>
            </w:pPr>
            <w:r>
              <w:rPr>
                <w:sz w:val="16"/>
              </w:rPr>
              <w:t>Toyota Kirloskar Motor</w:t>
            </w:r>
          </w:p>
        </w:tc>
        <w:tc>
          <w:tcPr>
            <w:tcW w:type="dxa" w:w="2520"/>
            <w:vAlign w:val="top"/>
          </w:tcPr>
          <w:p>
            <w:pPr>
              <w:spacing w:after="40"/>
            </w:pPr>
            <w:r>
              <w:rPr>
                <w:sz w:val="16"/>
              </w:rPr>
              <w:t>Sustainability report</w:t>
            </w:r>
          </w:p>
        </w:tc>
        <w:tc>
          <w:tcPr>
            <w:tcW w:type="dxa" w:w="2520"/>
            <w:vAlign w:val="top"/>
          </w:tcPr>
          <w:p>
            <w:pPr>
              <w:spacing w:after="40"/>
            </w:pPr>
            <w:r>
              <w:rPr>
                <w:sz w:val="16"/>
              </w:rPr>
              <w:t>Annual learning-needs assessments using surveys, interviews, performance and competency appraisals</w:t>
            </w:r>
          </w:p>
        </w:tc>
        <w:tc>
          <w:tcPr>
            <w:tcW w:type="dxa" w:w="2520"/>
            <w:vAlign w:val="top"/>
          </w:tcPr>
          <w:p>
            <w:pPr>
              <w:spacing w:after="40"/>
            </w:pPr>
            <w:r>
              <w:rPr>
                <w:sz w:val="16"/>
              </w:rPr>
              <w:t>Assess gaps before assigning training; plan by role and production needs</w:t>
            </w:r>
          </w:p>
        </w:tc>
      </w:tr>
      <w:tr>
        <w:tc>
          <w:tcPr>
            <w:tcW w:type="dxa" w:w="2520"/>
            <w:vAlign w:val="top"/>
          </w:tcPr>
          <w:p>
            <w:pPr>
              <w:spacing w:after="40"/>
            </w:pPr>
            <w:r>
              <w:rPr>
                <w:sz w:val="16"/>
              </w:rPr>
              <w:t>IEA</w:t>
            </w:r>
          </w:p>
        </w:tc>
        <w:tc>
          <w:tcPr>
            <w:tcW w:type="dxa" w:w="2520"/>
            <w:vAlign w:val="top"/>
          </w:tcPr>
          <w:p>
            <w:pPr>
              <w:spacing w:after="40"/>
            </w:pPr>
            <w:r>
              <w:rPr>
                <w:sz w:val="16"/>
              </w:rPr>
              <w:t>International industry report</w:t>
            </w:r>
          </w:p>
        </w:tc>
        <w:tc>
          <w:tcPr>
            <w:tcW w:type="dxa" w:w="2520"/>
            <w:vAlign w:val="top"/>
          </w:tcPr>
          <w:p>
            <w:pPr>
              <w:spacing w:after="40"/>
            </w:pPr>
            <w:r>
              <w:rPr>
                <w:sz w:val="16"/>
              </w:rPr>
              <w:t>More than 17 million electric cars sold globally in 2024; over 20% of new-car sales</w:t>
            </w:r>
          </w:p>
        </w:tc>
        <w:tc>
          <w:tcPr>
            <w:tcW w:type="dxa" w:w="2520"/>
            <w:vAlign w:val="top"/>
          </w:tcPr>
          <w:p>
            <w:pPr>
              <w:spacing w:after="40"/>
            </w:pPr>
            <w:r>
              <w:rPr>
                <w:sz w:val="16"/>
              </w:rPr>
              <w:t>Plan ahead for EV-related technical and digital skills</w:t>
            </w:r>
          </w:p>
        </w:tc>
      </w:tr>
      <w:tr>
        <w:tc>
          <w:tcPr>
            <w:tcW w:type="dxa" w:w="2520"/>
            <w:vAlign w:val="top"/>
          </w:tcPr>
          <w:p>
            <w:pPr>
              <w:spacing w:after="40"/>
            </w:pPr>
            <w:r>
              <w:rPr>
                <w:sz w:val="16"/>
              </w:rPr>
              <w:t>NCAER</w:t>
            </w:r>
          </w:p>
        </w:tc>
        <w:tc>
          <w:tcPr>
            <w:tcW w:type="dxa" w:w="2520"/>
            <w:vAlign w:val="top"/>
          </w:tcPr>
          <w:p>
            <w:pPr>
              <w:spacing w:after="40"/>
            </w:pPr>
            <w:r>
              <w:rPr>
                <w:sz w:val="16"/>
              </w:rPr>
              <w:t>India sector skills research</w:t>
            </w:r>
          </w:p>
        </w:tc>
        <w:tc>
          <w:tcPr>
            <w:tcW w:type="dxa" w:w="2520"/>
            <w:vAlign w:val="top"/>
          </w:tcPr>
          <w:p>
            <w:pPr>
              <w:spacing w:after="40"/>
            </w:pPr>
            <w:r>
              <w:rPr>
                <w:sz w:val="16"/>
              </w:rPr>
              <w:t>Research identifies shortages and skill mismatches in the automotive sector</w:t>
            </w:r>
          </w:p>
        </w:tc>
        <w:tc>
          <w:tcPr>
            <w:tcW w:type="dxa" w:w="2520"/>
            <w:vAlign w:val="top"/>
          </w:tcPr>
          <w:p>
            <w:pPr>
              <w:spacing w:after="40"/>
            </w:pPr>
            <w:r>
              <w:rPr>
                <w:sz w:val="16"/>
              </w:rPr>
              <w:t>Build apprenticeships and education partnerships; validate practical skills</w:t>
            </w:r>
          </w:p>
        </w:tc>
      </w:tr>
    </w:tbl>
    <w:p>
      <w:pPr>
        <w:pStyle w:val="Heading1"/>
      </w:pPr>
      <w:r>
        <w:t>5. Additional automotive examples to use as proposed scenarios</w:t>
      </w:r>
    </w:p>
    <w:p>
      <w:r>
        <w:t>The following are illustrative strategic scenarios, not claims about a specific company’s internal systems. They can be used to demonstrate how the plan would respond to common automotive workforce challenges.</w:t>
      </w:r>
    </w:p>
    <w:p>
      <w:pPr>
        <w:pStyle w:val="Heading2"/>
      </w:pPr>
      <w:r>
        <w:t>EV battery production</w:t>
      </w:r>
    </w:p>
    <w:p>
      <w:r>
        <w:t>Challenge: Shortage of battery, electrical, and high-voltage safety skills.</w:t>
      </w:r>
    </w:p>
    <w:p>
      <w:r>
        <w:t>Recommended response: Create role-based learning paths, practical assessments, and certified authorization before employees perform safety-critical tasks.</w:t>
      </w:r>
    </w:p>
    <w:p>
      <w:pPr>
        <w:pStyle w:val="Heading2"/>
      </w:pPr>
      <w:r>
        <w:t>Automotive software teams</w:t>
      </w:r>
    </w:p>
    <w:p>
      <w:r>
        <w:t>Challenge: Competition for embedded software, cybersecurity, testing, and data talent.</w:t>
      </w:r>
    </w:p>
    <w:p>
      <w:r>
        <w:t>Recommended response: Build specialist career paths, mentoring, internal mobility, and targeted recruitment pipelines.</w:t>
      </w:r>
    </w:p>
    <w:p>
      <w:pPr>
        <w:pStyle w:val="Heading2"/>
      </w:pPr>
      <w:r>
        <w:t>Multi-plant manufacturer</w:t>
      </w:r>
    </w:p>
    <w:p>
      <w:r>
        <w:t>Challenge: Inconsistent job titles, skills data, and HR processes between sites.</w:t>
      </w:r>
    </w:p>
    <w:p>
      <w:r>
        <w:t>Recommended response: Use Employee Central concepts and common job/skill definitions, while preserving local legal requirements.</w:t>
      </w:r>
    </w:p>
    <w:p>
      <w:pPr>
        <w:pStyle w:val="Heading2"/>
      </w:pPr>
      <w:r>
        <w:t>Retiring technicians</w:t>
      </w:r>
    </w:p>
    <w:p>
      <w:r>
        <w:t>Challenge: Loss of tacit knowledge when experienced employees leave.</w:t>
      </w:r>
    </w:p>
    <w:p>
      <w:r>
        <w:t>Recommended response: Identify critical roles, document standard work, use mentoring/apprenticeships, and maintain succession plans.</w:t>
      </w:r>
    </w:p>
    <w:p>
      <w:pPr>
        <w:pStyle w:val="Heading2"/>
      </w:pPr>
      <w:r>
        <w:t>New assembly-line employees</w:t>
      </w:r>
    </w:p>
    <w:p>
      <w:r>
        <w:t>Challenge: Long time to proficiency and early attrition.</w:t>
      </w:r>
    </w:p>
    <w:p>
      <w:r>
        <w:t>Recommended response: Introduce structured preboarding, safety orientation, buddy support, practical competency checks, and 30/60/90-day feedback.</w:t>
      </w:r>
    </w:p>
    <w:p>
      <w:pPr>
        <w:pStyle w:val="Heading2"/>
      </w:pPr>
      <w:r>
        <w:t>Automotive service network</w:t>
      </w:r>
    </w:p>
    <w:p>
      <w:r>
        <w:t>Challenge: Uneven readiness to repair EVs and connected vehicles.</w:t>
      </w:r>
    </w:p>
    <w:p>
      <w:r>
        <w:t>Recommended response: Use role-based learning assignments and verified technician competence, not course completion alone.</w:t>
      </w:r>
    </w:p>
    <w:p>
      <w:pPr>
        <w:pStyle w:val="Heading1"/>
      </w:pPr>
      <w:r>
        <w:t>6. SAP SuccessFactors module mapping</w:t>
      </w:r>
    </w:p>
    <w:tbl>
      <w:tblPr>
        <w:tblStyle w:val="TableGrid"/>
        <w:tblW w:type="auto" w:w="0"/>
        <w:tblLook w:firstColumn="1" w:firstRow="1" w:lastColumn="0" w:lastRow="0" w:noHBand="0" w:noVBand="1" w:val="04A0"/>
      </w:tblPr>
      <w:tblGrid>
        <w:gridCol w:w="3360"/>
        <w:gridCol w:w="3360"/>
        <w:gridCol w:w="3360"/>
      </w:tblGrid>
      <w:tr>
        <w:tc>
          <w:tcPr>
            <w:tcW w:type="dxa" w:w="3360"/>
            <w:shd w:fill="1F4E79"/>
          </w:tcPr>
          <w:p>
            <w:r>
              <w:rPr>
                <w:b/>
                <w:color w:val="FFFFFF"/>
                <w:sz w:val="16"/>
              </w:rPr>
              <w:t>Module / capability</w:t>
            </w:r>
          </w:p>
        </w:tc>
        <w:tc>
          <w:tcPr>
            <w:tcW w:type="dxa" w:w="3360"/>
            <w:shd w:fill="1F4E79"/>
          </w:tcPr>
          <w:p>
            <w:r>
              <w:rPr>
                <w:b/>
                <w:color w:val="FFFFFF"/>
                <w:sz w:val="16"/>
              </w:rPr>
              <w:t>Automotive use</w:t>
            </w:r>
          </w:p>
        </w:tc>
        <w:tc>
          <w:tcPr>
            <w:tcW w:type="dxa" w:w="3360"/>
            <w:shd w:fill="1F4E79"/>
          </w:tcPr>
          <w:p>
            <w:r>
              <w:rPr>
                <w:b/>
                <w:color w:val="FFFFFF"/>
                <w:sz w:val="16"/>
              </w:rPr>
              <w:t>Example measures</w:t>
            </w:r>
          </w:p>
        </w:tc>
      </w:tr>
      <w:tr>
        <w:tc>
          <w:tcPr>
            <w:tcW w:type="dxa" w:w="3360"/>
          </w:tcPr>
          <w:p>
            <w:r>
              <w:rPr>
                <w:sz w:val="16"/>
              </w:rPr>
              <w:t>Recruiting</w:t>
            </w:r>
          </w:p>
        </w:tc>
        <w:tc>
          <w:tcPr>
            <w:tcW w:type="dxa" w:w="3360"/>
          </w:tcPr>
          <w:p>
            <w:r>
              <w:rPr>
                <w:sz w:val="16"/>
              </w:rPr>
              <w:t>Manage requisitions, candidate pipelines, interview stages, and hiring workflows for engineers, technicians, and plant staff.</w:t>
            </w:r>
          </w:p>
        </w:tc>
        <w:tc>
          <w:tcPr>
            <w:tcW w:type="dxa" w:w="3360"/>
          </w:tcPr>
          <w:p>
            <w:r>
              <w:rPr>
                <w:sz w:val="16"/>
              </w:rPr>
              <w:t>Time-to-fill; offer acceptance; source quality; hiring-manager satisfaction.</w:t>
            </w:r>
          </w:p>
        </w:tc>
      </w:tr>
      <w:tr>
        <w:tc>
          <w:tcPr>
            <w:tcW w:type="dxa" w:w="3360"/>
          </w:tcPr>
          <w:p>
            <w:r>
              <w:rPr>
                <w:sz w:val="16"/>
              </w:rPr>
              <w:t>Onboarding</w:t>
            </w:r>
          </w:p>
        </w:tc>
        <w:tc>
          <w:tcPr>
            <w:tcW w:type="dxa" w:w="3360"/>
          </w:tcPr>
          <w:p>
            <w:r>
              <w:rPr>
                <w:sz w:val="16"/>
              </w:rPr>
              <w:t>Coordinate preboarding, documentation, safety orientation, equipment access, buddy assignment, and early check-ins.</w:t>
            </w:r>
          </w:p>
        </w:tc>
        <w:tc>
          <w:tcPr>
            <w:tcW w:type="dxa" w:w="3360"/>
          </w:tcPr>
          <w:p>
            <w:r>
              <w:rPr>
                <w:sz w:val="16"/>
              </w:rPr>
              <w:t>Onboarding completion; 90-day retention; time-to-productivity; safety-training completion.</w:t>
            </w:r>
          </w:p>
        </w:tc>
      </w:tr>
      <w:tr>
        <w:tc>
          <w:tcPr>
            <w:tcW w:type="dxa" w:w="3360"/>
          </w:tcPr>
          <w:p>
            <w:r>
              <w:rPr>
                <w:sz w:val="16"/>
              </w:rPr>
              <w:t>Employee Central</w:t>
            </w:r>
          </w:p>
        </w:tc>
        <w:tc>
          <w:tcPr>
            <w:tcW w:type="dxa" w:w="3360"/>
          </w:tcPr>
          <w:p>
            <w:r>
              <w:rPr>
                <w:sz w:val="16"/>
              </w:rPr>
              <w:t>Maintain consistent employee, job, position, and organizational data across sites.</w:t>
            </w:r>
          </w:p>
        </w:tc>
        <w:tc>
          <w:tcPr>
            <w:tcW w:type="dxa" w:w="3360"/>
          </w:tcPr>
          <w:p>
            <w:r>
              <w:rPr>
                <w:sz w:val="16"/>
              </w:rPr>
              <w:t>Data completeness; correction rate; HR transaction time; position-data accuracy.</w:t>
            </w:r>
          </w:p>
        </w:tc>
      </w:tr>
      <w:tr>
        <w:tc>
          <w:tcPr>
            <w:tcW w:type="dxa" w:w="3360"/>
          </w:tcPr>
          <w:p>
            <w:r>
              <w:rPr>
                <w:sz w:val="16"/>
              </w:rPr>
              <w:t>Learning</w:t>
            </w:r>
          </w:p>
        </w:tc>
        <w:tc>
          <w:tcPr>
            <w:tcW w:type="dxa" w:w="3360"/>
          </w:tcPr>
          <w:p>
            <w:r>
              <w:rPr>
                <w:sz w:val="16"/>
              </w:rPr>
              <w:t>Assign role-based learning for EV systems, quality, maintenance, automation, and leadership.</w:t>
            </w:r>
          </w:p>
        </w:tc>
        <w:tc>
          <w:tcPr>
            <w:tcW w:type="dxa" w:w="3360"/>
          </w:tcPr>
          <w:p>
            <w:r>
              <w:rPr>
                <w:sz w:val="16"/>
              </w:rPr>
              <w:t>Competency attainment; assessment pass rate; time to proficiency; internal certification.</w:t>
            </w:r>
          </w:p>
        </w:tc>
      </w:tr>
      <w:tr>
        <w:tc>
          <w:tcPr>
            <w:tcW w:type="dxa" w:w="3360"/>
          </w:tcPr>
          <w:p>
            <w:r>
              <w:rPr>
                <w:sz w:val="16"/>
              </w:rPr>
              <w:t>Performance &amp; Goals</w:t>
            </w:r>
          </w:p>
        </w:tc>
        <w:tc>
          <w:tcPr>
            <w:tcW w:type="dxa" w:w="3360"/>
          </w:tcPr>
          <w:p>
            <w:r>
              <w:rPr>
                <w:sz w:val="16"/>
              </w:rPr>
              <w:t>Connect employee goals to safety, quality, productivity, innovation, and development plans.</w:t>
            </w:r>
          </w:p>
        </w:tc>
        <w:tc>
          <w:tcPr>
            <w:tcW w:type="dxa" w:w="3360"/>
          </w:tcPr>
          <w:p>
            <w:r>
              <w:rPr>
                <w:sz w:val="16"/>
              </w:rPr>
              <w:t>Goal completion; review completion; improvement-plan progress.</w:t>
            </w:r>
          </w:p>
        </w:tc>
      </w:tr>
      <w:tr>
        <w:tc>
          <w:tcPr>
            <w:tcW w:type="dxa" w:w="3360"/>
          </w:tcPr>
          <w:p>
            <w:r>
              <w:rPr>
                <w:sz w:val="16"/>
              </w:rPr>
              <w:t>Succession &amp; Development</w:t>
            </w:r>
          </w:p>
        </w:tc>
        <w:tc>
          <w:tcPr>
            <w:tcW w:type="dxa" w:w="3360"/>
          </w:tcPr>
          <w:p>
            <w:r>
              <w:rPr>
                <w:sz w:val="16"/>
              </w:rPr>
              <w:t>Identify critical roles, successors, mentoring needs, and internal career opportunities.</w:t>
            </w:r>
          </w:p>
        </w:tc>
        <w:tc>
          <w:tcPr>
            <w:tcW w:type="dxa" w:w="3360"/>
          </w:tcPr>
          <w:p>
            <w:r>
              <w:rPr>
                <w:sz w:val="16"/>
              </w:rPr>
              <w:t>Critical-role coverage; successor readiness; internal-fill rate.</w:t>
            </w:r>
          </w:p>
        </w:tc>
      </w:tr>
      <w:tr>
        <w:tc>
          <w:tcPr>
            <w:tcW w:type="dxa" w:w="3360"/>
          </w:tcPr>
          <w:p>
            <w:r>
              <w:rPr>
                <w:sz w:val="16"/>
              </w:rPr>
              <w:t>Compensation</w:t>
            </w:r>
          </w:p>
        </w:tc>
        <w:tc>
          <w:tcPr>
            <w:tcW w:type="dxa" w:w="3360"/>
          </w:tcPr>
          <w:p>
            <w:r>
              <w:rPr>
                <w:sz w:val="16"/>
              </w:rPr>
              <w:t>Support structured reward planning and recognition aligned with performance and retention priorities.</w:t>
            </w:r>
          </w:p>
        </w:tc>
        <w:tc>
          <w:tcPr>
            <w:tcW w:type="dxa" w:w="3360"/>
          </w:tcPr>
          <w:p>
            <w:r>
              <w:rPr>
                <w:sz w:val="16"/>
              </w:rPr>
              <w:t>Pay-equity review completion; retention of critical talent; compensation-cycle accuracy.</w:t>
            </w:r>
          </w:p>
        </w:tc>
      </w:tr>
      <w:tr>
        <w:tc>
          <w:tcPr>
            <w:tcW w:type="dxa" w:w="3360"/>
          </w:tcPr>
          <w:p>
            <w:r>
              <w:rPr>
                <w:sz w:val="16"/>
              </w:rPr>
              <w:t>People analytics / workforce planning</w:t>
            </w:r>
          </w:p>
        </w:tc>
        <w:tc>
          <w:tcPr>
            <w:tcW w:type="dxa" w:w="3360"/>
          </w:tcPr>
          <w:p>
            <w:r>
              <w:rPr>
                <w:sz w:val="16"/>
              </w:rPr>
              <w:t>Forecast skill demand and track recruitment, retention, diversity, training, and workforce scenarios.</w:t>
            </w:r>
          </w:p>
        </w:tc>
        <w:tc>
          <w:tcPr>
            <w:tcW w:type="dxa" w:w="3360"/>
          </w:tcPr>
          <w:p>
            <w:r>
              <w:rPr>
                <w:sz w:val="16"/>
              </w:rPr>
              <w:t>Forecast accuracy; turnover by role; skill-gap closure; hiring plan attainment.</w:t>
            </w:r>
          </w:p>
        </w:tc>
      </w:tr>
    </w:tbl>
    <w:p>
      <w:pPr>
        <w:pStyle w:val="Heading1"/>
      </w:pPr>
      <w:r>
        <w:t>7. Suggested short-term and long-term actions</w:t>
      </w:r>
    </w:p>
    <w:p>
      <w:pPr>
        <w:pStyle w:val="Heading2"/>
      </w:pPr>
      <w:r>
        <w:t>First 90 days</w:t>
      </w:r>
    </w:p>
    <w:p>
      <w:pPr>
        <w:pStyle w:val="ListBullet"/>
      </w:pPr>
      <w:r>
        <w:t>Confirm business priorities with plant operations, engineering, HR, finance, and safety leaders.</w:t>
      </w:r>
    </w:p>
    <w:p>
      <w:pPr>
        <w:pStyle w:val="ListBullet"/>
      </w:pPr>
      <w:r>
        <w:t>Create a baseline dashboard for time-to-fill, offer acceptance, early attrition, internal hiring, training completion, and critical-role coverage.</w:t>
      </w:r>
    </w:p>
    <w:p>
      <w:pPr>
        <w:pStyle w:val="ListBullet"/>
      </w:pPr>
      <w:r>
        <w:t>Identify 10–15 priority job families and define their current and future skills.</w:t>
      </w:r>
    </w:p>
    <w:p>
      <w:pPr>
        <w:pStyle w:val="ListBullet"/>
      </w:pPr>
      <w:r>
        <w:t>Map the recruit-to-onboard process and identify delays, duplicate data entry, and unclear responsibilities.</w:t>
      </w:r>
    </w:p>
    <w:p>
      <w:pPr>
        <w:pStyle w:val="ListBullet"/>
      </w:pPr>
      <w:r>
        <w:t>Select a pilot site or job family and design a practical onboarding and learning pathway.</w:t>
      </w:r>
    </w:p>
    <w:p>
      <w:pPr>
        <w:pStyle w:val="Heading2"/>
      </w:pPr>
      <w:r>
        <w:t>Months 4–12</w:t>
      </w:r>
    </w:p>
    <w:p>
      <w:pPr>
        <w:pStyle w:val="ListBullet"/>
      </w:pPr>
      <w:r>
        <w:t>Pilot recruiting and onboarding improvements for selected hard-to-fill roles.</w:t>
      </w:r>
    </w:p>
    <w:p>
      <w:pPr>
        <w:pStyle w:val="ListBullet"/>
      </w:pPr>
      <w:r>
        <w:t>Introduce skills-gap assessments and learning pathways for EV, automation, quality, maintenance, and software roles.</w:t>
      </w:r>
    </w:p>
    <w:p>
      <w:pPr>
        <w:pStyle w:val="ListBullet"/>
      </w:pPr>
      <w:r>
        <w:t>Start technical-institution partnerships and structured apprenticeship or graduate pipelines.</w:t>
      </w:r>
    </w:p>
    <w:p>
      <w:pPr>
        <w:pStyle w:val="ListBullet"/>
      </w:pPr>
      <w:r>
        <w:t>Review pilot results against baseline and adjust the process before wider rollout.</w:t>
      </w:r>
    </w:p>
    <w:p>
      <w:pPr>
        <w:pStyle w:val="ListBullet"/>
      </w:pPr>
      <w:r>
        <w:t>Train managers in structured feedback, fair selection, and development conversations.</w:t>
      </w:r>
    </w:p>
    <w:p>
      <w:pPr>
        <w:pStyle w:val="Heading2"/>
      </w:pPr>
      <w:r>
        <w:t>Months 13–24</w:t>
      </w:r>
    </w:p>
    <w:p>
      <w:pPr>
        <w:pStyle w:val="ListBullet"/>
      </w:pPr>
      <w:r>
        <w:t>Scale successful workflows across plants and functions.</w:t>
      </w:r>
    </w:p>
    <w:p>
      <w:pPr>
        <w:pStyle w:val="ListBullet"/>
      </w:pPr>
      <w:r>
        <w:t>Integrate employee data and talent processes where the organization’s chosen SAP configuration supports them.</w:t>
      </w:r>
    </w:p>
    <w:p>
      <w:pPr>
        <w:pStyle w:val="ListBullet"/>
      </w:pPr>
      <w:r>
        <w:t>Use succession and internal mobility plans for critical roles.</w:t>
      </w:r>
    </w:p>
    <w:p>
      <w:pPr>
        <w:pStyle w:val="ListBullet"/>
      </w:pPr>
      <w:r>
        <w:t>Introduce quarterly workforce scenarios tied to product launches, EV adoption, automation, and retirement risk.</w:t>
      </w:r>
    </w:p>
    <w:p>
      <w:pPr>
        <w:pStyle w:val="ListBullet"/>
      </w:pPr>
      <w:r>
        <w:t>Audit data quality, privacy, access controls, fairness, and realized business outcomes.</w:t>
      </w:r>
    </w:p>
    <w:p>
      <w:pPr>
        <w:pStyle w:val="Heading1"/>
      </w:pPr>
      <w:r>
        <w:t>8. Suggested KPI dashboard</w:t>
      </w:r>
    </w:p>
    <w:p>
      <w:r>
        <w:t>Targets should be finalized only after the organization records a baseline. The values below are suggested illustrative planning targets for a pilot, not published industry benchmarks or guaranteed results.</w:t>
      </w:r>
    </w:p>
    <w:tbl>
      <w:tblPr>
        <w:tblStyle w:val="TableGrid"/>
        <w:tblW w:type="auto" w:w="0"/>
        <w:tblLook w:firstColumn="1" w:firstRow="1" w:lastColumn="0" w:lastRow="0" w:noHBand="0" w:noVBand="1" w:val="04A0"/>
      </w:tblPr>
      <w:tblGrid>
        <w:gridCol w:w="3360"/>
        <w:gridCol w:w="3360"/>
        <w:gridCol w:w="3360"/>
      </w:tblGrid>
      <w:tr>
        <w:tc>
          <w:tcPr>
            <w:tcW w:type="dxa" w:w="3360"/>
            <w:shd w:fill="1F4E79"/>
          </w:tcPr>
          <w:p>
            <w:r>
              <w:rPr>
                <w:b/>
                <w:color w:val="FFFFFF"/>
              </w:rPr>
              <w:t>KPI</w:t>
            </w:r>
          </w:p>
        </w:tc>
        <w:tc>
          <w:tcPr>
            <w:tcW w:type="dxa" w:w="3360"/>
            <w:shd w:fill="1F4E79"/>
          </w:tcPr>
          <w:p>
            <w:r>
              <w:rPr>
                <w:b/>
                <w:color w:val="FFFFFF"/>
              </w:rPr>
              <w:t>Illustrative target</w:t>
            </w:r>
          </w:p>
        </w:tc>
        <w:tc>
          <w:tcPr>
            <w:tcW w:type="dxa" w:w="3360"/>
            <w:shd w:fill="1F4E79"/>
          </w:tcPr>
          <w:p>
            <w:r>
              <w:rPr>
                <w:b/>
                <w:color w:val="FFFFFF"/>
              </w:rPr>
              <w:t>Measurement note</w:t>
            </w:r>
          </w:p>
        </w:tc>
      </w:tr>
      <w:tr>
        <w:tc>
          <w:tcPr>
            <w:tcW w:type="dxa" w:w="3360"/>
          </w:tcPr>
          <w:p>
            <w:r>
              <w:rPr>
                <w:sz w:val="16"/>
              </w:rPr>
              <w:t>Median time-to-fill for priority roles</w:t>
            </w:r>
          </w:p>
        </w:tc>
        <w:tc>
          <w:tcPr>
            <w:tcW w:type="dxa" w:w="3360"/>
          </w:tcPr>
          <w:p>
            <w:r>
              <w:rPr>
                <w:sz w:val="16"/>
              </w:rPr>
              <w:t>10–15% reduction in 12 months</w:t>
            </w:r>
          </w:p>
        </w:tc>
        <w:tc>
          <w:tcPr>
            <w:tcW w:type="dxa" w:w="3360"/>
          </w:tcPr>
          <w:p>
            <w:r>
              <w:rPr>
                <w:sz w:val="16"/>
              </w:rPr>
              <w:t>Compare like-for-like roles, sites, and periods.</w:t>
            </w:r>
          </w:p>
        </w:tc>
      </w:tr>
      <w:tr>
        <w:tc>
          <w:tcPr>
            <w:tcW w:type="dxa" w:w="3360"/>
          </w:tcPr>
          <w:p>
            <w:r>
              <w:rPr>
                <w:sz w:val="16"/>
              </w:rPr>
              <w:t>90-day new-hire retention</w:t>
            </w:r>
          </w:p>
        </w:tc>
        <w:tc>
          <w:tcPr>
            <w:tcW w:type="dxa" w:w="3360"/>
          </w:tcPr>
          <w:p>
            <w:r>
              <w:rPr>
                <w:sz w:val="16"/>
              </w:rPr>
              <w:t>Improve by 5 percentage points</w:t>
            </w:r>
          </w:p>
        </w:tc>
        <w:tc>
          <w:tcPr>
            <w:tcW w:type="dxa" w:w="3360"/>
          </w:tcPr>
          <w:p>
            <w:r>
              <w:rPr>
                <w:sz w:val="16"/>
              </w:rPr>
              <w:t>Separate voluntary exits from other exits and consider job family.</w:t>
            </w:r>
          </w:p>
        </w:tc>
      </w:tr>
      <w:tr>
        <w:tc>
          <w:tcPr>
            <w:tcW w:type="dxa" w:w="3360"/>
          </w:tcPr>
          <w:p>
            <w:r>
              <w:rPr>
                <w:sz w:val="16"/>
              </w:rPr>
              <w:t>Mandatory safety-learning completion</w:t>
            </w:r>
          </w:p>
        </w:tc>
        <w:tc>
          <w:tcPr>
            <w:tcW w:type="dxa" w:w="3360"/>
          </w:tcPr>
          <w:p>
            <w:r>
              <w:rPr>
                <w:sz w:val="16"/>
              </w:rPr>
              <w:t>100% before relevant work authorization</w:t>
            </w:r>
          </w:p>
        </w:tc>
        <w:tc>
          <w:tcPr>
            <w:tcW w:type="dxa" w:w="3360"/>
          </w:tcPr>
          <w:p>
            <w:r>
              <w:rPr>
                <w:sz w:val="16"/>
              </w:rPr>
              <w:t>Completion must be recorded before safety-critical work.</w:t>
            </w:r>
          </w:p>
        </w:tc>
      </w:tr>
      <w:tr>
        <w:tc>
          <w:tcPr>
            <w:tcW w:type="dxa" w:w="3360"/>
          </w:tcPr>
          <w:p>
            <w:r>
              <w:rPr>
                <w:sz w:val="16"/>
              </w:rPr>
              <w:t>Critical-role succession coverage</w:t>
            </w:r>
          </w:p>
        </w:tc>
        <w:tc>
          <w:tcPr>
            <w:tcW w:type="dxa" w:w="3360"/>
          </w:tcPr>
          <w:p>
            <w:r>
              <w:rPr>
                <w:sz w:val="16"/>
              </w:rPr>
              <w:t>At least one identified successor for 70% of priority roles</w:t>
            </w:r>
          </w:p>
        </w:tc>
        <w:tc>
          <w:tcPr>
            <w:tcW w:type="dxa" w:w="3360"/>
          </w:tcPr>
          <w:p>
            <w:r>
              <w:rPr>
                <w:sz w:val="16"/>
              </w:rPr>
              <w:t>Track readiness, not only names on a list.</w:t>
            </w:r>
          </w:p>
        </w:tc>
      </w:tr>
      <w:tr>
        <w:tc>
          <w:tcPr>
            <w:tcW w:type="dxa" w:w="3360"/>
          </w:tcPr>
          <w:p>
            <w:r>
              <w:rPr>
                <w:sz w:val="16"/>
              </w:rPr>
              <w:t>Internal-fill rate for selected roles</w:t>
            </w:r>
          </w:p>
        </w:tc>
        <w:tc>
          <w:tcPr>
            <w:tcW w:type="dxa" w:w="3360"/>
          </w:tcPr>
          <w:p>
            <w:r>
              <w:rPr>
                <w:sz w:val="16"/>
              </w:rPr>
              <w:t>Increase by 5 percentage points over baseline</w:t>
            </w:r>
          </w:p>
        </w:tc>
        <w:tc>
          <w:tcPr>
            <w:tcW w:type="dxa" w:w="3360"/>
          </w:tcPr>
          <w:p>
            <w:r>
              <w:rPr>
                <w:sz w:val="16"/>
              </w:rPr>
              <w:t>Define eligible roles and count consistently.</w:t>
            </w:r>
          </w:p>
        </w:tc>
      </w:tr>
      <w:tr>
        <w:tc>
          <w:tcPr>
            <w:tcW w:type="dxa" w:w="3360"/>
          </w:tcPr>
          <w:p>
            <w:r>
              <w:rPr>
                <w:sz w:val="16"/>
              </w:rPr>
              <w:t>Skills-gap closure</w:t>
            </w:r>
          </w:p>
        </w:tc>
        <w:tc>
          <w:tcPr>
            <w:tcW w:type="dxa" w:w="3360"/>
          </w:tcPr>
          <w:p>
            <w:r>
              <w:rPr>
                <w:sz w:val="16"/>
              </w:rPr>
              <w:t>Close 60% of identified priority gaps within 12 months</w:t>
            </w:r>
          </w:p>
        </w:tc>
        <w:tc>
          <w:tcPr>
            <w:tcW w:type="dxa" w:w="3360"/>
          </w:tcPr>
          <w:p>
            <w:r>
              <w:rPr>
                <w:sz w:val="16"/>
              </w:rPr>
              <w:t>Use practical assessment, not course attendance alone.</w:t>
            </w:r>
          </w:p>
        </w:tc>
      </w:tr>
    </w:tbl>
    <w:p>
      <w:pPr>
        <w:pStyle w:val="Heading1"/>
      </w:pPr>
      <w:r>
        <w:t>9. Evidence quality, limitations, and citation advice</w:t>
      </w:r>
    </w:p>
    <w:p>
      <w:pPr>
        <w:pStyle w:val="ListBullet"/>
      </w:pPr>
      <w:r>
        <w:t>Attribute company implementation figures to the named case study or company report. Some vendor case studies highlight positive outcomes and may not independently establish causation.</w:t>
      </w:r>
    </w:p>
    <w:p>
      <w:pPr>
        <w:pStyle w:val="ListBullet"/>
      </w:pPr>
      <w:r>
        <w:t>Do not imply that BMW Group or Toyota Kirloskar Motor uses the exact SAP SuccessFactors configuration discussed unless a reliable source explicitly confirms it.</w:t>
      </w:r>
    </w:p>
    <w:p>
      <w:pPr>
        <w:pStyle w:val="ListBullet"/>
      </w:pPr>
      <w:r>
        <w:t>Keep dates and units attached to every statistic. For example, BMW’s training investment refers to 2024 and the IEA figure refers to global electric-car sales in 2024.</w:t>
      </w:r>
    </w:p>
    <w:p>
      <w:pPr>
        <w:pStyle w:val="ListBullet"/>
      </w:pPr>
      <w:r>
        <w:t>Avoid comparing percentages across organizations unless the metric definitions, time periods, and contexts are comparable.</w:t>
      </w:r>
    </w:p>
    <w:p>
      <w:pPr>
        <w:pStyle w:val="ListBullet"/>
      </w:pPr>
      <w:r>
        <w:t>Treat KPI targets in the proposed plan as illustrative until baseline data and management approval are available.</w:t>
      </w:r>
    </w:p>
    <w:p>
      <w:pPr>
        <w:pStyle w:val="ListBullet"/>
      </w:pPr>
      <w:r>
        <w:t>Check each source link before final submission and apply the citation style required by your course.</w:t>
      </w:r>
    </w:p>
    <w:p>
      <w:pPr>
        <w:pStyle w:val="Heading1"/>
      </w:pPr>
      <w:r>
        <w:t>10. References and source links</w:t>
      </w:r>
    </w:p>
    <w:p>
      <w:pPr>
        <w:ind w:left="259" w:hanging="259"/>
      </w:pPr>
      <w:r>
        <w:rPr>
          <w:sz w:val="18"/>
        </w:rPr>
        <w:t>1. CaseStudies.com. Kongsberg Automotive achieves modern mobile HR and continuous employee development with SAP SuccessFactors. https://www.casestudies.com/company/sap-successfactors/case-study/putting-employees-in-control-to-support-continuous-development</w:t>
      </w:r>
    </w:p>
    <w:p>
      <w:pPr>
        <w:ind w:left="259" w:hanging="259"/>
      </w:pPr>
      <w:r>
        <w:rPr>
          <w:sz w:val="18"/>
        </w:rPr>
        <w:t>2. NTT DATA. Gestamp’s global talent transformation. https://www.nttdata.com/en-ph/insights/case-studies/gestamps-global-talent-transformation</w:t>
      </w:r>
    </w:p>
    <w:p>
      <w:pPr>
        <w:ind w:left="259" w:hanging="259"/>
      </w:pPr>
      <w:r>
        <w:rPr>
          <w:sz w:val="18"/>
        </w:rPr>
        <w:t>3. CaseStudies.com. Gestamp Automocion achieves centralized HR visibility and global compliance with SAP SuccessFactors Employee Central. https://www.casestudies.com/company/sap-successfactors/case-study/gaining-maximum-value-from-talent-solutions-with-robust-people-data-stored-in-sap-successfactors-employee-central</w:t>
      </w:r>
    </w:p>
    <w:p>
      <w:pPr>
        <w:ind w:left="259" w:hanging="259"/>
      </w:pPr>
      <w:r>
        <w:rPr>
          <w:sz w:val="18"/>
        </w:rPr>
        <w:t>4. BMW Group. Management Report — BMW Group Report 2024. https://www.bmwgroup.com/en/report/2024/management-report/index.html</w:t>
      </w:r>
    </w:p>
    <w:p>
      <w:pPr>
        <w:ind w:left="259" w:hanging="259"/>
      </w:pPr>
      <w:r>
        <w:rPr>
          <w:sz w:val="18"/>
        </w:rPr>
        <w:t>5. Toyota Kirloskar Motor. Sustainability Report 2023: Learning &amp; Development. https://www.toyotabharat.com/documents/toyota-in-india/environment/tkm-sustainability-report-2023.pdf</w:t>
      </w:r>
    </w:p>
    <w:p>
      <w:pPr>
        <w:ind w:left="259" w:hanging="259"/>
      </w:pPr>
      <w:r>
        <w:rPr>
          <w:sz w:val="18"/>
        </w:rPr>
        <w:t>6. International Energy Agency. Global EV Outlook 2025: Executive Summary. https://www.iea.org/reports/global-ev-outlook-2025/executive-summary</w:t>
      </w:r>
    </w:p>
    <w:p>
      <w:pPr>
        <w:ind w:left="259" w:hanging="259"/>
      </w:pPr>
      <w:r>
        <w:rPr>
          <w:sz w:val="18"/>
        </w:rPr>
        <w:t>7. NCAER. Skill Shortages and Gaps in the Motor Vehicles Sector: Case for a Labour Market Information System in India. October 2025. https://ncaer.org/publication/skill-shortages-and-gaps-in-the-motor-vehicles-sector-case-for-a-labour-market-information-system-in-india/</w:t>
      </w:r>
    </w:p>
    <w:p>
      <w:pPr>
        <w:ind w:left="259" w:hanging="259"/>
      </w:pPr>
      <w:r>
        <w:rPr>
          <w:sz w:val="18"/>
        </w:rPr>
        <w:t>8. SAP Help Portal. Talent Management product documentation. https://help.sap.com/docs/portfolio-category/TALENT_MANAGEMENT</w:t>
      </w:r>
    </w:p>
    <w:p>
      <w:pPr>
        <w:ind w:left="259" w:hanging="259"/>
      </w:pPr>
      <w:r>
        <w:rPr>
          <w:sz w:val="18"/>
        </w:rPr>
        <w:t>9. SAP Help Portal. Recruit-to-Hire Business Process. https://help.sap.com/docs/successfactors-employee-central/implementing-employee-central-core/recruit-to-hire-business-process</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Collected Research | Strategic Talent Management | Automotive Industry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