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Enterprise Talent Development and Succession Planning Framework for the Automotive Sector: An SAP SuccessFactors Blueprint</w:t>
      </w:r>
    </w:p>
    <w:p>
      <w:pPr>
        <w:jc w:val="center"/>
      </w:pPr>
      <w:r>
        <w:rPr>
          <w:i/>
          <w:color w:val="506478"/>
          <w:sz w:val="22"/>
        </w:rPr>
        <w:t>Enterprise architecture • Competency framework • Succession lifecycle • Development roadmap</w:t>
      </w:r>
    </w:p>
    <w:p/>
    <w:p>
      <w:pPr>
        <w:jc w:val="center"/>
      </w:pPr>
      <w:r>
        <w:rPr>
          <w:b/>
          <w:color w:val="2878A5"/>
          <w:sz w:val="26"/>
        </w:rPr>
        <w:t>SAP SuccessFactors Human Experience Management (HXM)</w:t>
      </w:r>
    </w:p>
    <w:p>
      <w:r>
        <w:br w:type="page"/>
      </w:r>
    </w:p>
    <w:p>
      <w:pPr>
        <w:pStyle w:val="Heading1"/>
      </w:pPr>
      <w:r>
        <w:t>1. Executive Architecture &amp; Strategic Sectoral Drivers</w:t>
      </w:r>
    </w:p>
    <w:p>
      <w:r>
        <w:t>The global automotive industry is undergoing an unprecedented structural transformation driven by electrification, the emergence of Software-Defined Vehicles (SDVs), autonomous driving technologies, and connected mobility ecosystems. Traditional Original Equipment Manufacturers (OEMs) and Tier-1 suppliers are transitioning from hardware-centric mechanical engineering organizations into software-intensive technology enterprises. As vehicle functionality shifts from localized, hardware-bound Electronic Control Units (ECUs) to centralized High-Performance Computing (HPC) nodes and domain controllers, legacy engineering skill sets become rapidly obsolete. This fundamental disruption creates acute workforce vulnerabilities across core product engineering, software development, and advanced manufacturing domains. Static, annual talent management models fail to address these dynamic capability shifts, exposing automotive enterprises to severe operational bottlenecks, project delays, and loss of competitive advantage.</w:t>
      </w:r>
    </w:p>
    <w:p>
      <w:r>
        <w:t>To navigate this disruption, automotive organizations must comply with an increasingly complex web of technical and safety standards. Requirements under ISO 26262 for Functional Safety, ISO/SAE 21434 for Automotive Cybersecurity, Automotive SPICE (A-SPICE) for process capability assessment, and UNECE Regulations R155/R156 for Vehicle Cybersecurity Management Systems (VCMS) and Over-The-Air (OTA) software updates demand highly specialized technical competencies. Because these domain-specific capabilities cannot be readily acquired through external hiring due to intense global talent shortages, internal reskilling, continuous workforce development, and systematic succession planning have become foundational business imperatives.</w:t>
      </w:r>
    </w:p>
    <w:p>
      <w:r>
        <w:t>|                            STRATEGIC AUTOMOTIVE DRIVERS                            |</w:t>
      </w:r>
    </w:p>
    <w:p>
      <w:r>
        <w:t>|        SDVs | Electrification | Autonomous Driving | UNECE R155/R156 | ISO 26262   |</w:t>
      </w:r>
    </w:p>
    <w:p>
      <w:r>
        <w:t>|                               FOUNDATIONAL LAYER                                  |</w:t>
      </w:r>
    </w:p>
    <w:p>
      <w:pPr>
        <w:spacing w:before="60" w:after="140"/>
        <w:ind w:left="216"/>
      </w:pPr>
      <w:r>
        <w:rPr>
          <w:rFonts w:ascii="Consolas" w:hAnsi="Consolas"/>
          <w:color w:val="2878A5"/>
          <w:sz w:val="14"/>
        </w:rPr>
        <w:t>|   Talent Intelligence Hub (TIH)  &lt;----------&gt;    Job Profile Builder (JPB)        |</w:t>
        <w:br/>
        <w:t>|   Performance &amp; Goals (PMGM)     &lt;----------&gt;    SAP SuccessFactors Learning (LMS) |</w:t>
        <w:br/>
        <w:t>+-----------------------------------------------------------------------------------+</w:t>
        <w:br/>
        <w:t xml:space="preserve">                                          |</w:t>
        <w:br/>
        <w:t xml:space="preserve">                                          v</w:t>
        <w:br/>
        <w:t>+-----------------------------------------------------------------------------------+</w:t>
      </w:r>
    </w:p>
    <w:p>
      <w:r>
        <w:t>|                                CONVERGENCE LAYER                                  |</w:t>
      </w:r>
    </w:p>
    <w:p>
      <w:pPr>
        <w:spacing w:before="60" w:after="140"/>
        <w:ind w:left="216"/>
      </w:pPr>
      <w:r>
        <w:rPr>
          <w:rFonts w:ascii="Consolas" w:hAnsi="Consolas"/>
          <w:color w:val="2878A5"/>
          <w:sz w:val="14"/>
        </w:rPr>
        <w:t>|         Growth Portfolio         &lt;----------&gt;    Career Worksheet &amp; Explorer      |</w:t>
      </w:r>
    </w:p>
    <w:p>
      <w:r>
        <w:t>|   (Inferred/Validated Skills)                    (Role Readiness &amp; Lineage Charts) |</w:t>
      </w:r>
    </w:p>
    <w:p>
      <w:r>
        <w:t>|                            DOWNSTREAM EXECUTION LAYER                             |</w:t>
      </w:r>
    </w:p>
    <w:p>
      <w:r>
        <w:t>|                        Succession &amp; Development (S&amp;D)                             |</w:t>
      </w:r>
    </w:p>
    <w:p>
      <w:r>
        <w:t>|               (9-Box Calibration, Nominations, Talent Pools)                      |</w:t>
      </w:r>
    </w:p>
    <w:p>
      <w:r>
        <w:t>|                       CONTINUOUS EXPERIENTIAL FEEDBACK                            |</w:t>
      </w:r>
    </w:p>
    <w:p>
      <w:r>
        <w:t>|                     Opportunity Marketplace (OMP) &amp; Dynamic Teams                 |</w:t>
      </w:r>
    </w:p>
    <w:p>
      <w:r>
        <w:t>|                   (Gig Assignments, Mentorships, Rotations)                       |</w:t>
      </w:r>
    </w:p>
    <w:p>
      <w:r>
        <w:t>Operationalizing strategy into execution requires a closed-loop enterprise architecture that directly links strategic automotive imperatives to the SAP SuccessFactors Human Experience Management (HXM) suite. The Talent Intelligence Hub (TIH) and Job Profile Builder (JPB) establish a standardized capability taxonomy, while Performance &amp; Goals (PMGM) and SAP SuccessFactors Learning capture continuous performance data and deliver targeted training. This data converges in the employee Growth Portfolio, Career Worksheet, and AI-driven Career Explorer to calculate role readiness and map potential career lineages. Downstream, these insights feed Succession &amp; Development (S&amp;D) to drive 9-Box grid calibrations, talent pool management, and successor nominations. Identified development gaps are then systematically routed to the Opportunity Marketplace (OMP) and Dynamic Teams for experiential learning, rotational assignments, and project gigs.</w:t>
      </w:r>
    </w:p>
    <w:p>
      <w:r>
        <w:t>To ensure sustainable enterprise adoption, this closed-loop architecture must be deployed using a disciplined, phased activation paradigm. Attempting to activate complex capabilities—such as Continuous Performance Management (CPM) Activities and Achievements, Dynamic Teams, and unmoderated Growth Portfolio self-edits—on Day 1 risks overwhelming the organization and eroding data integrity. Leading architectural practice mandates launching foundational capabilities first (e.g., standard performance reviews, continuous feedback, and view-only skill portfolios), while reserving advanced collaborative and dynamic team structures for subsequent organizational maturity phases.</w:t>
      </w:r>
    </w:p>
    <w:p>
      <w:r>
        <w:t>Understanding these macro-level industry drivers and architectural connections highlights the necessity of defining the specific technical and regulatory competencies required across the modern automotive value chain.</w:t>
      </w:r>
    </w:p>
    <w:p>
      <w:pPr>
        <w:pStyle w:val="Heading1"/>
      </w:pPr>
      <w:r>
        <w:t>2. Automotive Industry Core Competency &amp; Skill Gap Framework</w:t>
      </w:r>
    </w:p>
    <w:p>
      <w:r>
        <w:t>To successfully execute an enterprise transformation, automotive organizations must dismantle isolated, discipline-specific engineering silos and adopt a unified, skills-based talent taxonomy. Modern automotive product development demands a "T-shaped" talent model. This framework contrasts broad horizontal competencies—such as Model-Based Systems Engineering (MBSE under ISO/IEC/IEEE 15288), cross-functional agile hardware/software co-design, and enterprise risk governance—with deep vertical domain technical expertise in specialized engineering and regulatory fields.</w:t>
      </w:r>
    </w:p>
    <w:p>
      <w:r>
        <w:t>|                                  BROAD HORIZONTAL COMPETENCIES                                        |</w:t>
      </w:r>
    </w:p>
    <w:p>
      <w:r>
        <w:t>| Systems Engineering (ISO/IEC 15288) | Cross-Functional Agile Development | Enterprise Risk Governance |</w:t>
      </w:r>
    </w:p>
    <w:p>
      <w:r>
        <w:t>|  DEEP VERTICAL EXPERTISE</w:t>
      </w:r>
    </w:p>
    <w:p>
      <w:r>
        <w:t>| Specialized Technical Domain:          |</w:t>
      </w:r>
    </w:p>
    <w:p>
      <w:r>
        <w:t>| - ISO 26262 ASIL-D Functional Safety   |</w:t>
      </w:r>
    </w:p>
    <w:p>
      <w:r>
        <w:t>| - ISO/SAE 21434 TARA &amp; Cybersecurity   |</w:t>
      </w:r>
    </w:p>
    <w:p>
      <w:r>
        <w:t>| - Adaptive AUTOSAR &amp; SDV Architecture  |</w:t>
      </w:r>
    </w:p>
    <w:p>
      <w:r>
        <w:t>| - High-Voltage BMS Thermal Modeling   |</w:t>
      </w:r>
    </w:p>
    <w:p>
      <w:r>
        <w:t>Deep vertical domain expertise within the automotive enterprise spans six core technical and regulatory disciplines:</w:t>
      </w:r>
    </w:p>
    <w:p>
      <w:pPr>
        <w:pStyle w:val="ListNumber"/>
      </w:pPr>
      <w:r>
        <w:t>Electrification and Battery Systems: Expertise encompassing high-voltage system architectures, Battery Management System (BMS) software development, electrochemical performance testing, thermal runaway mitigation, and compliance with UN ECE R100 and ISO 6469 safety standards.</w:t>
      </w:r>
    </w:p>
    <w:p>
      <w:pPr>
        <w:pStyle w:val="ListNumber"/>
      </w:pPr>
      <w:r>
        <w:t>Software-Defined Vehicle (SDV) Systems: Centralized high-performance computing (HPC) nodes replacing decentralized Electronic Control Units (ECUs), requiring mastery of Adaptive AUTOSAR, Linux/QNX Real-Time Operating Systems (RTOS), microservices architectures, Telematics Control Unit (TCU) integration, and secure over-the-air (OTA) software update pipelines.</w:t>
      </w:r>
    </w:p>
    <w:p>
      <w:pPr>
        <w:pStyle w:val="ListNumber"/>
      </w:pPr>
      <w:r>
        <w:t>Functional Safety Engineering (ISO 26262): Safety-critical system design adhering to ISO 26262 (Parts 3, 4, 5, 6), incorporating Hazard Analysis and Risk Assessment (HARA), Automotive Safety Integrity Level (ASIL A through D) derivation, Failure Modes, Effects, and Diagnostic Analysis (FMEDA), and Safety Case development via Goal Structuring Notation (GSN).</w:t>
      </w:r>
    </w:p>
    <w:p>
      <w:pPr>
        <w:pStyle w:val="ListNumber"/>
      </w:pPr>
      <w:r>
        <w:t>Automotive Cybersecurity Engineering &amp; Supply Chain Governance (ISO/SAE 21434 &amp; UNECE R155): Safeguarding expanded attack surfaces across connected vehicle ecosystems. Capabilities include Threat Analysis and Risk Assessment (TARA), STRIDE threat modeling, Hardware Security Module (HSM) key management, mutual TLS 1.3 authentication, and Vehicle Security Operations Center (VSOC) post-production monitoring. Critically, because cybersecurity is an enterprise and tier-supplier shared responsibility, this domain incorporates Cybersecurity Interface Agreement (CIA) work product obligations, CSMS governance, and Cybersecurity Assurance Level (CAL 2+) validation requirements, including automated fuzz testing and penetration testing.</w:t>
      </w:r>
    </w:p>
    <w:p>
      <w:pPr>
        <w:pStyle w:val="ListNumber"/>
      </w:pPr>
      <w:r>
        <w:t>Process &amp; Quality Assessment (A-SPICE): Systems and software process capability evaluated against Automotive SPICE capability levels (e.g., SYS.2 System Requirements Analysis, SWE.1 Software Requirements Analysis, MAN.3 Project Management), establishing complete bidirectional traceability from stakeholder requirements down to unit testing.</w:t>
      </w:r>
    </w:p>
    <w:p>
      <w:pPr>
        <w:pStyle w:val="ListNumber"/>
      </w:pPr>
      <w:r>
        <w:t>Systems Engineering &amp; Digital Operations: Integrated Model-Based Systems Engineering (MBSE under ISO/IEC/IEEE 15288) and agile hardware/software co-design frameworks across matrixed product teams.</w:t>
      </w:r>
    </w:p>
    <w:p>
      <w:r>
        <w:t>Quantifying workforce readiness across these six domains reveals significant skill deficits, as illustrated in the enterprise baseline matrix below:</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vAlign w:val="center"/>
            <w:shd w:fill="17365D"/>
          </w:tcPr>
          <w:p>
            <w:pPr>
              <w:spacing w:after="40"/>
            </w:pPr>
            <w:r/>
            <w:r>
              <w:rPr>
                <w:rFonts w:ascii="Aptos" w:hAnsi="Aptos"/>
                <w:b/>
                <w:color w:val="FFFFFF"/>
                <w:sz w:val="16"/>
              </w:rPr>
              <w:t>Competency Domain</w:t>
            </w:r>
          </w:p>
        </w:tc>
        <w:tc>
          <w:tcPr>
            <w:tcW w:type="dxa" w:w="1987"/>
            <w:vAlign w:val="center"/>
            <w:shd w:fill="17365D"/>
          </w:tcPr>
          <w:p>
            <w:pPr>
              <w:spacing w:after="40"/>
            </w:pPr>
            <w:r/>
            <w:r>
              <w:rPr>
                <w:rFonts w:ascii="Aptos" w:hAnsi="Aptos"/>
                <w:b/>
                <w:color w:val="FFFFFF"/>
                <w:sz w:val="16"/>
              </w:rPr>
              <w:t>Specific Technical / Leadership Competency</w:t>
            </w:r>
          </w:p>
        </w:tc>
        <w:tc>
          <w:tcPr>
            <w:tcW w:type="dxa" w:w="1987"/>
            <w:vAlign w:val="center"/>
            <w:shd w:fill="17365D"/>
          </w:tcPr>
          <w:p>
            <w:pPr>
              <w:spacing w:after="40"/>
            </w:pPr>
            <w:r/>
            <w:r>
              <w:rPr>
                <w:rFonts w:ascii="Aptos" w:hAnsi="Aptos"/>
                <w:b/>
                <w:color w:val="FFFFFF"/>
                <w:sz w:val="16"/>
              </w:rPr>
              <w:t>Associated Standard / Regulation</w:t>
            </w:r>
          </w:p>
        </w:tc>
        <w:tc>
          <w:tcPr>
            <w:tcW w:type="dxa" w:w="1987"/>
            <w:vAlign w:val="center"/>
            <w:shd w:fill="17365D"/>
          </w:tcPr>
          <w:p>
            <w:pPr>
              <w:spacing w:after="40"/>
            </w:pPr>
            <w:r/>
            <w:r>
              <w:rPr>
                <w:rFonts w:ascii="Aptos" w:hAnsi="Aptos"/>
                <w:b/>
                <w:color w:val="FFFFFF"/>
                <w:sz w:val="16"/>
              </w:rPr>
              <w:t>Target Proficiency Scale (1–5)</w:t>
            </w:r>
          </w:p>
        </w:tc>
        <w:tc>
          <w:tcPr>
            <w:tcW w:type="dxa" w:w="1987"/>
            <w:vAlign w:val="center"/>
            <w:shd w:fill="17365D"/>
          </w:tcPr>
          <w:p>
            <w:pPr>
              <w:spacing w:after="40"/>
            </w:pPr>
            <w:r/>
            <w:r>
              <w:rPr>
                <w:rFonts w:ascii="Aptos" w:hAnsi="Aptos"/>
                <w:b/>
                <w:color w:val="FFFFFF"/>
                <w:sz w:val="16"/>
              </w:rPr>
              <w:t>Baseline Industry Gap Index</w:t>
            </w:r>
          </w:p>
        </w:tc>
      </w:tr>
      <w:tr>
        <w:tc>
          <w:tcPr>
            <w:tcW w:type="dxa" w:w="1987"/>
            <w:vAlign w:val="center"/>
          </w:tcPr>
          <w:p>
            <w:pPr>
              <w:spacing w:after="40"/>
            </w:pPr>
            <w:r/>
            <w:r>
              <w:rPr>
                <w:rFonts w:ascii="Aptos" w:hAnsi="Aptos"/>
                <w:b w:val="0"/>
                <w:sz w:val="15"/>
              </w:rPr>
              <w:t>Electrification</w:t>
            </w:r>
          </w:p>
        </w:tc>
        <w:tc>
          <w:tcPr>
            <w:tcW w:type="dxa" w:w="1987"/>
            <w:vAlign w:val="center"/>
          </w:tcPr>
          <w:p>
            <w:pPr>
              <w:spacing w:after="40"/>
            </w:pPr>
            <w:r/>
            <w:r>
              <w:rPr>
                <w:rFonts w:ascii="Aptos" w:hAnsi="Aptos"/>
                <w:b w:val="0"/>
                <w:sz w:val="15"/>
              </w:rPr>
              <w:t>BMS Firmware Development &amp; Thermal Modeling</w:t>
            </w:r>
          </w:p>
        </w:tc>
        <w:tc>
          <w:tcPr>
            <w:tcW w:type="dxa" w:w="1987"/>
            <w:vAlign w:val="center"/>
          </w:tcPr>
          <w:p>
            <w:pPr>
              <w:spacing w:after="40"/>
            </w:pPr>
            <w:r/>
            <w:r>
              <w:rPr>
                <w:rFonts w:ascii="Aptos" w:hAnsi="Aptos"/>
                <w:b w:val="0"/>
                <w:sz w:val="15"/>
              </w:rPr>
              <w:t>UN ECE R100 / ISO 6469</w:t>
            </w:r>
          </w:p>
        </w:tc>
        <w:tc>
          <w:tcPr>
            <w:tcW w:type="dxa" w:w="1987"/>
            <w:vAlign w:val="center"/>
          </w:tcPr>
          <w:p>
            <w:pPr>
              <w:spacing w:after="40"/>
            </w:pPr>
            <w:r/>
            <w:r>
              <w:rPr>
                <w:rFonts w:ascii="Aptos" w:hAnsi="Aptos"/>
                <w:b w:val="0"/>
                <w:sz w:val="15"/>
              </w:rPr>
              <w:t>Level 4 (Advanced)</w:t>
            </w:r>
          </w:p>
        </w:tc>
        <w:tc>
          <w:tcPr>
            <w:tcW w:type="dxa" w:w="1987"/>
            <w:vAlign w:val="center"/>
          </w:tcPr>
          <w:p>
            <w:pPr>
              <w:spacing w:after="40"/>
            </w:pPr>
            <w:r/>
            <w:r>
              <w:rPr>
                <w:rFonts w:ascii="Aptos" w:hAnsi="Aptos"/>
                <w:b w:val="0"/>
                <w:sz w:val="15"/>
              </w:rPr>
              <w:t>High (68% Deficit)</w:t>
            </w:r>
          </w:p>
        </w:tc>
      </w:tr>
      <w:tr>
        <w:tc>
          <w:tcPr>
            <w:tcW w:type="dxa" w:w="1987"/>
            <w:vAlign w:val="center"/>
            <w:shd w:fill="EAF1F8"/>
          </w:tcPr>
          <w:p>
            <w:pPr>
              <w:spacing w:after="40"/>
            </w:pPr>
            <w:r/>
            <w:r>
              <w:rPr>
                <w:rFonts w:ascii="Aptos" w:hAnsi="Aptos"/>
                <w:b w:val="0"/>
                <w:sz w:val="15"/>
              </w:rPr>
              <w:t>Software Architecture</w:t>
            </w:r>
          </w:p>
        </w:tc>
        <w:tc>
          <w:tcPr>
            <w:tcW w:type="dxa" w:w="1987"/>
            <w:vAlign w:val="center"/>
            <w:shd w:fill="EAF1F8"/>
          </w:tcPr>
          <w:p>
            <w:pPr>
              <w:spacing w:after="40"/>
            </w:pPr>
            <w:r/>
            <w:r>
              <w:rPr>
                <w:rFonts w:ascii="Aptos" w:hAnsi="Aptos"/>
                <w:b w:val="0"/>
                <w:sz w:val="15"/>
              </w:rPr>
              <w:t>Adaptive AUTOSAR &amp; HPC Integration</w:t>
            </w:r>
          </w:p>
        </w:tc>
        <w:tc>
          <w:tcPr>
            <w:tcW w:type="dxa" w:w="1987"/>
            <w:vAlign w:val="center"/>
            <w:shd w:fill="EAF1F8"/>
          </w:tcPr>
          <w:p>
            <w:pPr>
              <w:spacing w:after="40"/>
            </w:pPr>
            <w:r/>
            <w:r>
              <w:rPr>
                <w:rFonts w:ascii="Aptos" w:hAnsi="Aptos"/>
                <w:b w:val="0"/>
                <w:sz w:val="15"/>
              </w:rPr>
              <w:t>A-SPICE SYS.2 / SWE.1</w:t>
            </w:r>
          </w:p>
        </w:tc>
        <w:tc>
          <w:tcPr>
            <w:tcW w:type="dxa" w:w="1987"/>
            <w:vAlign w:val="center"/>
            <w:shd w:fill="EAF1F8"/>
          </w:tcPr>
          <w:p>
            <w:pPr>
              <w:spacing w:after="40"/>
            </w:pPr>
            <w:r/>
            <w:r>
              <w:rPr>
                <w:rFonts w:ascii="Aptos" w:hAnsi="Aptos"/>
                <w:b w:val="0"/>
                <w:sz w:val="15"/>
              </w:rPr>
              <w:t>Level 4 (Advanced)</w:t>
            </w:r>
          </w:p>
        </w:tc>
        <w:tc>
          <w:tcPr>
            <w:tcW w:type="dxa" w:w="1987"/>
            <w:vAlign w:val="center"/>
            <w:shd w:fill="EAF1F8"/>
          </w:tcPr>
          <w:p>
            <w:pPr>
              <w:spacing w:after="40"/>
            </w:pPr>
            <w:r/>
            <w:r>
              <w:rPr>
                <w:rFonts w:ascii="Aptos" w:hAnsi="Aptos"/>
                <w:b w:val="0"/>
                <w:sz w:val="15"/>
              </w:rPr>
              <w:t>Critical (82% Deficit)</w:t>
            </w:r>
          </w:p>
        </w:tc>
      </w:tr>
      <w:tr>
        <w:tc>
          <w:tcPr>
            <w:tcW w:type="dxa" w:w="1987"/>
            <w:vAlign w:val="center"/>
          </w:tcPr>
          <w:p>
            <w:pPr>
              <w:spacing w:after="40"/>
            </w:pPr>
            <w:r/>
            <w:r>
              <w:rPr>
                <w:rFonts w:ascii="Aptos" w:hAnsi="Aptos"/>
                <w:b w:val="0"/>
                <w:sz w:val="15"/>
              </w:rPr>
              <w:t>Functional Safety</w:t>
            </w:r>
          </w:p>
        </w:tc>
        <w:tc>
          <w:tcPr>
            <w:tcW w:type="dxa" w:w="1987"/>
            <w:vAlign w:val="center"/>
          </w:tcPr>
          <w:p>
            <w:pPr>
              <w:spacing w:after="40"/>
            </w:pPr>
            <w:r/>
            <w:r>
              <w:rPr>
                <w:rFonts w:ascii="Aptos" w:hAnsi="Aptos"/>
                <w:b w:val="0"/>
                <w:sz w:val="15"/>
              </w:rPr>
              <w:t>HARA, ASIL-D Breakdown &amp; FMEDA</w:t>
            </w:r>
          </w:p>
        </w:tc>
        <w:tc>
          <w:tcPr>
            <w:tcW w:type="dxa" w:w="1987"/>
            <w:vAlign w:val="center"/>
          </w:tcPr>
          <w:p>
            <w:pPr>
              <w:spacing w:after="40"/>
            </w:pPr>
            <w:r/>
            <w:r>
              <w:rPr>
                <w:rFonts w:ascii="Aptos" w:hAnsi="Aptos"/>
                <w:b w:val="0"/>
                <w:sz w:val="15"/>
              </w:rPr>
              <w:t>ISO 26262:2018 Parts 3, 4, 5, 6</w:t>
            </w:r>
          </w:p>
        </w:tc>
        <w:tc>
          <w:tcPr>
            <w:tcW w:type="dxa" w:w="1987"/>
            <w:vAlign w:val="center"/>
          </w:tcPr>
          <w:p>
            <w:pPr>
              <w:spacing w:after="40"/>
            </w:pPr>
            <w:r/>
            <w:r>
              <w:rPr>
                <w:rFonts w:ascii="Aptos" w:hAnsi="Aptos"/>
                <w:b w:val="0"/>
                <w:sz w:val="15"/>
              </w:rPr>
              <w:t>Level 5 (Expert)</w:t>
            </w:r>
          </w:p>
        </w:tc>
        <w:tc>
          <w:tcPr>
            <w:tcW w:type="dxa" w:w="1987"/>
            <w:vAlign w:val="center"/>
          </w:tcPr>
          <w:p>
            <w:pPr>
              <w:spacing w:after="40"/>
            </w:pPr>
            <w:r/>
            <w:r>
              <w:rPr>
                <w:rFonts w:ascii="Aptos" w:hAnsi="Aptos"/>
                <w:b w:val="0"/>
                <w:sz w:val="15"/>
              </w:rPr>
              <w:t>Moderate (45% Deficit)</w:t>
            </w:r>
          </w:p>
        </w:tc>
      </w:tr>
      <w:tr>
        <w:tc>
          <w:tcPr>
            <w:tcW w:type="dxa" w:w="1987"/>
            <w:vAlign w:val="center"/>
            <w:shd w:fill="EAF1F8"/>
          </w:tcPr>
          <w:p>
            <w:pPr>
              <w:spacing w:after="40"/>
            </w:pPr>
            <w:r/>
            <w:r>
              <w:rPr>
                <w:rFonts w:ascii="Aptos" w:hAnsi="Aptos"/>
                <w:b w:val="0"/>
                <w:sz w:val="15"/>
              </w:rPr>
              <w:t>Cybersecurity</w:t>
            </w:r>
          </w:p>
        </w:tc>
        <w:tc>
          <w:tcPr>
            <w:tcW w:type="dxa" w:w="1987"/>
            <w:vAlign w:val="center"/>
            <w:shd w:fill="EAF1F8"/>
          </w:tcPr>
          <w:p>
            <w:pPr>
              <w:spacing w:after="40"/>
            </w:pPr>
            <w:r/>
            <w:r>
              <w:rPr>
                <w:rFonts w:ascii="Aptos" w:hAnsi="Aptos"/>
                <w:b w:val="0"/>
                <w:sz w:val="15"/>
              </w:rPr>
              <w:t>TARA, HSM Key Management, mTLS 1.3, CIA &amp; CSMS</w:t>
            </w:r>
          </w:p>
        </w:tc>
        <w:tc>
          <w:tcPr>
            <w:tcW w:type="dxa" w:w="1987"/>
            <w:vAlign w:val="center"/>
            <w:shd w:fill="EAF1F8"/>
          </w:tcPr>
          <w:p>
            <w:pPr>
              <w:spacing w:after="40"/>
            </w:pPr>
            <w:r/>
            <w:r>
              <w:rPr>
                <w:rFonts w:ascii="Aptos" w:hAnsi="Aptos"/>
                <w:b w:val="0"/>
                <w:sz w:val="15"/>
              </w:rPr>
              <w:t>ISO/SAE 21434:2021 / UNECE R155</w:t>
            </w:r>
          </w:p>
        </w:tc>
        <w:tc>
          <w:tcPr>
            <w:tcW w:type="dxa" w:w="1987"/>
            <w:vAlign w:val="center"/>
            <w:shd w:fill="EAF1F8"/>
          </w:tcPr>
          <w:p>
            <w:pPr>
              <w:spacing w:after="40"/>
            </w:pPr>
            <w:r/>
            <w:r>
              <w:rPr>
                <w:rFonts w:ascii="Aptos" w:hAnsi="Aptos"/>
                <w:b w:val="0"/>
                <w:sz w:val="15"/>
              </w:rPr>
              <w:t>Level 4 (Advanced)</w:t>
            </w:r>
          </w:p>
        </w:tc>
        <w:tc>
          <w:tcPr>
            <w:tcW w:type="dxa" w:w="1987"/>
            <w:vAlign w:val="center"/>
            <w:shd w:fill="EAF1F8"/>
          </w:tcPr>
          <w:p>
            <w:pPr>
              <w:spacing w:after="40"/>
            </w:pPr>
            <w:r/>
            <w:r>
              <w:rPr>
                <w:rFonts w:ascii="Aptos" w:hAnsi="Aptos"/>
                <w:b w:val="0"/>
                <w:sz w:val="15"/>
              </w:rPr>
              <w:t>Critical (76% Deficit)</w:t>
            </w:r>
          </w:p>
        </w:tc>
      </w:tr>
      <w:tr>
        <w:tc>
          <w:tcPr>
            <w:tcW w:type="dxa" w:w="1987"/>
            <w:vAlign w:val="center"/>
          </w:tcPr>
          <w:p>
            <w:pPr>
              <w:spacing w:after="40"/>
            </w:pPr>
            <w:r/>
            <w:r>
              <w:rPr>
                <w:rFonts w:ascii="Aptos" w:hAnsi="Aptos"/>
                <w:b w:val="0"/>
                <w:sz w:val="15"/>
              </w:rPr>
              <w:t>Systems Engineering</w:t>
            </w:r>
          </w:p>
        </w:tc>
        <w:tc>
          <w:tcPr>
            <w:tcW w:type="dxa" w:w="1987"/>
            <w:vAlign w:val="center"/>
          </w:tcPr>
          <w:p>
            <w:pPr>
              <w:spacing w:after="40"/>
            </w:pPr>
            <w:r/>
            <w:r>
              <w:rPr>
                <w:rFonts w:ascii="Aptos" w:hAnsi="Aptos"/>
                <w:b w:val="0"/>
                <w:sz w:val="15"/>
              </w:rPr>
              <w:t>Model-Based Systems Engineering (MBSE)</w:t>
            </w:r>
          </w:p>
        </w:tc>
        <w:tc>
          <w:tcPr>
            <w:tcW w:type="dxa" w:w="1987"/>
            <w:vAlign w:val="center"/>
          </w:tcPr>
          <w:p>
            <w:pPr>
              <w:spacing w:after="40"/>
            </w:pPr>
            <w:r/>
            <w:r>
              <w:rPr>
                <w:rFonts w:ascii="Aptos" w:hAnsi="Aptos"/>
                <w:b w:val="0"/>
                <w:sz w:val="15"/>
              </w:rPr>
              <w:t>ISO/IEC/IEEE 15288</w:t>
            </w:r>
          </w:p>
        </w:tc>
        <w:tc>
          <w:tcPr>
            <w:tcW w:type="dxa" w:w="1987"/>
            <w:vAlign w:val="center"/>
          </w:tcPr>
          <w:p>
            <w:pPr>
              <w:spacing w:after="40"/>
            </w:pPr>
            <w:r/>
            <w:r>
              <w:rPr>
                <w:rFonts w:ascii="Aptos" w:hAnsi="Aptos"/>
                <w:b w:val="0"/>
                <w:sz w:val="15"/>
              </w:rPr>
              <w:t>Level 3 (Proficient)</w:t>
            </w:r>
          </w:p>
        </w:tc>
        <w:tc>
          <w:tcPr>
            <w:tcW w:type="dxa" w:w="1987"/>
            <w:vAlign w:val="center"/>
          </w:tcPr>
          <w:p>
            <w:pPr>
              <w:spacing w:after="40"/>
            </w:pPr>
            <w:r/>
            <w:r>
              <w:rPr>
                <w:rFonts w:ascii="Aptos" w:hAnsi="Aptos"/>
                <w:b w:val="0"/>
                <w:sz w:val="15"/>
              </w:rPr>
              <w:t>Moderate (52% Deficit)</w:t>
            </w:r>
          </w:p>
        </w:tc>
      </w:tr>
      <w:tr>
        <w:tc>
          <w:tcPr>
            <w:tcW w:type="dxa" w:w="1987"/>
            <w:vAlign w:val="center"/>
            <w:shd w:fill="EAF1F8"/>
          </w:tcPr>
          <w:p>
            <w:pPr>
              <w:spacing w:after="40"/>
            </w:pPr>
            <w:r/>
            <w:r>
              <w:rPr>
                <w:rFonts w:ascii="Aptos" w:hAnsi="Aptos"/>
                <w:b w:val="0"/>
                <w:sz w:val="15"/>
              </w:rPr>
              <w:t>Digital Operations</w:t>
            </w:r>
          </w:p>
        </w:tc>
        <w:tc>
          <w:tcPr>
            <w:tcW w:type="dxa" w:w="1987"/>
            <w:vAlign w:val="center"/>
            <w:shd w:fill="EAF1F8"/>
          </w:tcPr>
          <w:p>
            <w:pPr>
              <w:spacing w:after="40"/>
            </w:pPr>
            <w:r/>
            <w:r>
              <w:rPr>
                <w:rFonts w:ascii="Aptos" w:hAnsi="Aptos"/>
                <w:b w:val="0"/>
                <w:sz w:val="15"/>
              </w:rPr>
              <w:t>Agile Hardware/Software Co-Design</w:t>
            </w:r>
          </w:p>
        </w:tc>
        <w:tc>
          <w:tcPr>
            <w:tcW w:type="dxa" w:w="1987"/>
            <w:vAlign w:val="center"/>
            <w:shd w:fill="EAF1F8"/>
          </w:tcPr>
          <w:p>
            <w:pPr>
              <w:spacing w:after="40"/>
            </w:pPr>
            <w:r/>
            <w:r>
              <w:rPr>
                <w:rFonts w:ascii="Aptos" w:hAnsi="Aptos"/>
                <w:b w:val="0"/>
                <w:sz w:val="15"/>
              </w:rPr>
              <w:t>A-SPICE MAN.3 / Scaled Agile Framework</w:t>
            </w:r>
          </w:p>
        </w:tc>
        <w:tc>
          <w:tcPr>
            <w:tcW w:type="dxa" w:w="1987"/>
            <w:vAlign w:val="center"/>
            <w:shd w:fill="EAF1F8"/>
          </w:tcPr>
          <w:p>
            <w:pPr>
              <w:spacing w:after="40"/>
            </w:pPr>
            <w:r/>
            <w:r>
              <w:rPr>
                <w:rFonts w:ascii="Aptos" w:hAnsi="Aptos"/>
                <w:b w:val="0"/>
                <w:sz w:val="15"/>
              </w:rPr>
              <w:t>Level 3 (Proficient)</w:t>
            </w:r>
          </w:p>
        </w:tc>
        <w:tc>
          <w:tcPr>
            <w:tcW w:type="dxa" w:w="1987"/>
            <w:vAlign w:val="center"/>
            <w:shd w:fill="EAF1F8"/>
          </w:tcPr>
          <w:p>
            <w:pPr>
              <w:spacing w:after="40"/>
            </w:pPr>
            <w:r/>
            <w:r>
              <w:rPr>
                <w:rFonts w:ascii="Aptos" w:hAnsi="Aptos"/>
                <w:b w:val="0"/>
                <w:sz w:val="15"/>
              </w:rPr>
              <w:t>Low (34% Deficit)</w:t>
            </w:r>
          </w:p>
        </w:tc>
      </w:tr>
    </w:tbl>
    <w:p>
      <w:pPr>
        <w:spacing w:after="40"/>
      </w:pPr>
    </w:p>
    <w:p>
      <w:r>
        <w:t>With core automotive competencies and industry skill gaps quantified, attention turns to how the SAP SuccessFactors HXM suite operationalizes this taxonomy across the digital HR landscape.</w:t>
      </w:r>
    </w:p>
    <w:p>
      <w:pPr>
        <w:pStyle w:val="Heading1"/>
      </w:pPr>
      <w:r>
        <w:t>3. Technical Enterprise Architecture: SAP SuccessFactors HXM Suite &amp; Talent Intelligence Hub</w:t>
      </w:r>
    </w:p>
    <w:p>
      <w:r>
        <w:t>A unified technology architecture is essential for mapping, measuring, and mobilizing workforce capabilities at scale. At the core of the SAP SuccessFactors HXM suite sits the Talent Intelligence Hub (TIH), which centralizes capabilities into an Attributes Library, combining skills, competencies, qualifications, traits, and behaviors into a single governance framework. Technical attributes are defined using standardized descriptions, a 5-point proficiency scale (Level 1 Novice to Level 5 Expert), and strategic metadata tags (Domain:Electrification, Compliance:ISO26262, Tech:AUTOSAR, Criticality:HighRisk). These tags allow talent planners to query workforce capabilities, map compliance-driven talent pools, and trigger targeted learning interventions.</w:t>
      </w:r>
    </w:p>
    <w:p>
      <w:r>
        <w:t>Crucially, Job Profile Builder (JPB) establishes the structural bridge between job definitions and employee capabilities. Job roles maintained in Employee Central map 1:1 to JPB role profiles. Within JPB, skills and competencies are mapped specifically at the job level—not to the job level hierarchy itself. This distinction is critical for accurate modeling, ensuring that positions inheriting a job code automatically receive the correct baseline attributes, while custom attributes can be assigned at the plant or organizational unit level to enforce site-specific regulatory mandates.</w:t>
      </w:r>
    </w:p>
    <w:p>
      <w:r>
        <w:t>|                        TALENT INTELLIGENCE HUB (TIH)                              |</w:t>
      </w:r>
    </w:p>
    <w:p>
      <w:r>
        <w:t>|                          Central Attributes Library                               |</w:t>
      </w:r>
    </w:p>
    <w:p>
      <w:r>
        <w:t>|        (Skills, Competencies, Proficiency Scales 1-5, Strategic Metadata Tags)    |</w:t>
      </w:r>
    </w:p>
    <w:p>
      <w:r>
        <w:t>| (Mapped at Job Level)</w:t>
      </w:r>
    </w:p>
    <w:p>
      <w:r>
        <w:t>|                         JOB PROFILE BUILDER (JPB)                                 |</w:t>
      </w:r>
    </w:p>
    <w:p>
      <w:r>
        <w:t>|               1:1 Alignment with Employee Central Job Roles                       |</w:t>
      </w:r>
    </w:p>
    <w:p>
      <w:r>
        <w:t>|                         EMPLOYEE GROWTH PORTFOLIO                                 |</w:t>
      </w:r>
    </w:p>
    <w:p>
      <w:r>
        <w:t>|      Inferred Skills (AI-Extracted)  &lt;------&gt;  Validated Skills (Assessed)        |</w:t>
      </w:r>
    </w:p>
    <w:p>
      <w:r>
        <w:t>|               Origin Tracking: JPB Source vs. Last Proficiency Rating             |</w:t>
      </w:r>
    </w:p>
    <w:p>
      <w:r>
        <w:t>|      CAREER WORKSHEET         |                     |       CAREER EXPLORER        |</w:t>
      </w:r>
    </w:p>
    <w:p>
      <w:r>
        <w:t>| Role Readiness Scoring        |                     | AI-Driven Lineage Charts     |</w:t>
      </w:r>
    </w:p>
    <w:p>
      <w:r>
        <w:t>| Matched vs. Unmatched Gaps    |                     | Diagonal &amp; Non-Linear Moves  |</w:t>
      </w:r>
    </w:p>
    <w:p>
      <w:r>
        <w:t>An employee's active capabilities reside in their Growth Portfolio. Skills enter the Growth Portfolio via two primary mechanisms:</w:t>
      </w:r>
    </w:p>
    <w:p>
      <w:pPr>
        <w:pStyle w:val="ListBullet"/>
      </w:pPr>
      <w:r>
        <w:t>Inferred Skills: AI algorithms extract inferred skills by parsing resumes, project artifacts, external learning records, and recruiting evaluations. Inferred skills remain unrated visual tags until verified.</w:t>
      </w:r>
    </w:p>
    <w:p>
      <w:pPr>
        <w:pStyle w:val="ListBullet"/>
      </w:pPr>
      <w:r>
        <w:t>Validated Skills: Inferred skills transition into validated skills through formal manager evaluations, peer reviews, or assessment completions.</w:t>
      </w:r>
    </w:p>
    <w:p>
      <w:r>
        <w:t>The Growth Portfolio tracks proficiency origins, explicitly distinguishing between ratings generated via Performance Management forms (Job Profile Builder Source) and direct portfolio updates (Last Proficiency Rating). To prevent organizational confusion during early adoption, leading practice dictates configuring the Growth Portfolio with view-only access for employees and managers during initial implementation, deferring self-edits and unmoderated skill additions until skill governance processes mature.</w:t>
      </w:r>
    </w:p>
    <w:p>
      <w:r>
        <w:t>Natural language interaction across this skill layer is driven by SAP Joule. HR leaders and managers can query team capabilities or draft developmental goals using precise prompts, such as: "Identify engineering leads with ISO 26262 proficiency gaps on my team," or "Draft a 90-day development goal for TARA methodology proficiency."</w:t>
      </w:r>
    </w:p>
    <w:p>
      <w:r>
        <w:t>Complementing the Career Worksheet, which calculates role readiness scores by categorizing target position attributes into Matched and Unmatched categories, SuccessFactors Career Explorer provides AI-driven career pathing. Integrated via People Connection data synchronization, Career Explorer generates dynamic lineage charts that recommend non-linear, diagonal, and cross-functional role progressions outside an employee's immediate direct hierarchy. By analyzing historical career moves of profiles with similar skill footprints, Career Explorer surfaces unexpected development pathways—such as transitioning a Powertrain Hardware Engineer into a System Cybersecurity Architect—complete with recommendation rationale and competency gap analyses.</w:t>
      </w:r>
    </w:p>
    <w:p>
      <w:r>
        <w:t>Within Career Development Planning (CDP), Performance &amp; Goals (PMGM), and Succession &amp; Development (S&amp;D), the standard Capability Picker replaces legacy competency pickers. The Capability Picker allows users to search standardized capabilities by library, job role, or keyword. Enabling the Capability Picker within the CDP development goal plan requires configuring the explicit XML switch &lt;show-competency-browser&gt; within the development goal plan template.</w:t>
      </w:r>
    </w:p>
    <w:p>
      <w:r>
        <w:t>To maintain strict data integrity, business rules configured within the Metadata Framework (MDF) enforce dynamic system validation:</w:t>
      </w:r>
    </w:p>
    <w:p>
      <w:pPr>
        <w:pStyle w:val="ListBullet"/>
      </w:pPr>
      <w:r>
        <w:t>Dynamic Rating Justifications: Rules mandate compulsory comment fields when specific evaluation thresholds are met (e.g., requiring written text when a rating falls below "Meets Expectations" or when an employee is designated as "High Potential").</w:t>
      </w:r>
    </w:p>
    <w:p>
      <w:pPr>
        <w:pStyle w:val="ListBullet"/>
      </w:pPr>
      <w:r>
        <w:t>Character Length Enforcement: The Length business rule attribute evaluates plain text length while excluding rich-text HTML tags, enforcing substantive qualitative feedback (e.g., a 100-character minimum for performance improvement entries).</w:t>
      </w:r>
    </w:p>
    <w:p>
      <w:pPr>
        <w:pStyle w:val="ListBullet"/>
      </w:pPr>
      <w:r>
        <w:t>Automated Workflow Routing: MDF rules dynamically route review forms based on subject user attributes, such as legal entity, department, or job code.</w:t>
      </w:r>
    </w:p>
    <w:p>
      <w:r>
        <w:t>Establishing robust system data standards creates the core infrastructure necessary to execute an annual, structured succession planning lifecycle.</w:t>
      </w:r>
    </w:p>
    <w:p>
      <w:pPr>
        <w:pStyle w:val="Heading1"/>
      </w:pPr>
      <w:r>
        <w:t>4. End-to-End Succession Planning Lifecycle &amp; Governance</w:t>
      </w:r>
    </w:p>
    <w:p>
      <w:r>
        <w:t>Transitioning from reactive emergency replacements to a proactive annual succession cycle is vital for operational continuity. The automotive succession management framework executes across a structured 12-month operational lifecycle divided into four distinct phases:</w:t>
      </w:r>
    </w:p>
    <w:p>
      <w:r>
        <w:t>|               PHASE 1: STRATEGIC ALIGNMENT &amp; DATA AGGREGATION (Q1)                |</w:t>
      </w:r>
    </w:p>
    <w:p>
      <w:r>
        <w:t>|  - Aggregate 3-Year Sustained Performance Data                                    |</w:t>
      </w:r>
    </w:p>
    <w:p>
      <w:r>
        <w:t>|  - Execute TIH Skill Gap Profiling                                                |</w:t>
      </w:r>
    </w:p>
    <w:p>
      <w:r>
        <w:t>|  - Identify Critical Positions in Employee Central                                |</w:t>
      </w:r>
    </w:p>
    <w:p>
      <w:r>
        <w:t>|               PHASE 2: MANAGERIAL ASSESSMENT &amp; TALENT REVIEW (Q2)                 |</w:t>
      </w:r>
    </w:p>
    <w:p>
      <w:r>
        <w:t>|  - Evaluate Performance (5-Point Scale) &amp; Potential (3-Point Scale)              |</w:t>
      </w:r>
    </w:p>
    <w:p>
      <w:r>
        <w:t>|  - Map Ratings to 9-Box Grid Axis                                                 |</w:t>
      </w:r>
    </w:p>
    <w:p>
      <w:r>
        <w:t>|  - Complete Talent Review Forms                                                   |</w:t>
      </w:r>
    </w:p>
    <w:p>
      <w:r>
        <w:t>|              PHASE 3: EXECUTIVE CALIBRATION &amp; SUCCESSION NOMINATIONS (Q3)         |</w:t>
      </w:r>
    </w:p>
    <w:p>
      <w:r>
        <w:t>|  - Conduct Calibration via SuccessFactors Presentations                           |</w:t>
      </w:r>
    </w:p>
    <w:p>
      <w:r>
        <w:t>|  - Assign Readiness Horizons (Ready Now, 1-2 Yrs, 3-5 Yrs)                        |</w:t>
      </w:r>
    </w:p>
    <w:p>
      <w:r>
        <w:t>|  - Nominate Person-Based Successors &amp; Emergency Replacements                      |</w:t>
      </w:r>
    </w:p>
    <w:p>
      <w:r>
        <w:t>|            PHASE 4: PERSONALIZED DEVELOPMENT PLAN (PDP) ACTIVATION (Q4)           |</w:t>
      </w:r>
    </w:p>
    <w:p>
      <w:r>
        <w:t>|  - Activate CDP Goals for Unmatched Attribute Gaps                                |</w:t>
      </w:r>
    </w:p>
    <w:p>
      <w:r>
        <w:t>|  - Link Goals to LMS Pathways &amp; Opportunity Marketplace Gigs                      |</w:t>
      </w:r>
    </w:p>
    <w:p>
      <w:pPr>
        <w:pStyle w:val="Heading2"/>
      </w:pPr>
      <w:r>
        <w:t>Phase 1: Strategic Alignment &amp; Data Aggregation (Q1)</w:t>
      </w:r>
    </w:p>
    <w:p>
      <w:pPr>
        <w:pStyle w:val="ListBullet"/>
      </w:pPr>
      <w:r>
        <w:t>Performance Aggregation: Pull 3-year sustained performance ratings from PMGM to smooth out annual operational anomalies and single-year project noise.</w:t>
      </w:r>
    </w:p>
    <w:p>
      <w:pPr>
        <w:pStyle w:val="ListBullet"/>
      </w:pPr>
      <w:r>
        <w:t>Skill Gap Profiling: Aggregate Growth Portfolio data via TIH to surface organizational skill deficits against updated JPB target profiles.</w:t>
      </w:r>
    </w:p>
    <w:p>
      <w:pPr>
        <w:pStyle w:val="ListBullet"/>
      </w:pPr>
      <w:r>
        <w:t>Critical Position Flagging: Flag key organizational roles in Employee Central requiring dedicated succession lines (e.g., Chief Software Architect, Head of Battery Integration, Regulatory Compliance Director).</w:t>
      </w:r>
    </w:p>
    <w:p>
      <w:pPr>
        <w:pStyle w:val="Heading2"/>
      </w:pPr>
      <w:r>
        <w:t>Phase 2: Managerial Assessment &amp; Talent Review (Q2)</w:t>
      </w:r>
    </w:p>
    <w:p>
      <w:pPr>
        <w:pStyle w:val="ListBullet"/>
      </w:pPr>
      <w:r>
        <w:t>Performance &amp; Potential Evaluation: Evaluate performance on a 5-point scale and potential on a 3-point scale (Low, Medium/Expanded, High/Transformational).</w:t>
      </w:r>
    </w:p>
    <w:p>
      <w:pPr>
        <w:pStyle w:val="ListBullet"/>
      </w:pPr>
      <w:r>
        <w:t>Grid Axis Translation: Map the 5-point performance scale into the 3-point performance axis of the standard 9-Box Grid matrix.</w:t>
      </w:r>
    </w:p>
    <w:p>
      <w:pPr>
        <w:pStyle w:val="Heading2"/>
      </w:pPr>
      <w:r>
        <w:t>Phase 3: Executive Calibration &amp; Succession Nominations (Q3)</w:t>
      </w:r>
    </w:p>
    <w:p>
      <w:pPr>
        <w:pStyle w:val="ListBullet"/>
      </w:pPr>
      <w:r>
        <w:t>Executive Calibration: Conduct talent calibration using SuccessFactors Presentations, ingesting live 9-Box data, Talent Cards, and Employee Profiles directly without static manual slides.</w:t>
      </w:r>
    </w:p>
    <w:p>
      <w:pPr>
        <w:pStyle w:val="ListBullet"/>
      </w:pPr>
      <w:r>
        <w:t>Readiness Horizons: Assign nominated successors to explicit readiness tiers: Ready Now, Ready in 1–2 Years, and Ready in 3–5 Years.</w:t>
      </w:r>
    </w:p>
    <w:p>
      <w:pPr>
        <w:pStyle w:val="ListBullet"/>
      </w:pPr>
      <w:r>
        <w:t>Person-Based Nominations: Enable person-based nominations to ensure global assignees and employees with concurrent employments remain visible across all business units.</w:t>
      </w:r>
    </w:p>
    <w:p>
      <w:pPr>
        <w:pStyle w:val="ListBullet"/>
      </w:pPr>
      <w:r>
        <w:t>Filtering &amp; Talent Pools: Apply Foundation Object filters (Business Unit, Division, Legal Entity) to target specific audiences, and construct functional Talent Pools (e.g., "Future Plant Managers") that incorporate inactive users where appropriate.</w:t>
      </w:r>
    </w:p>
    <w:p>
      <w:pPr>
        <w:pStyle w:val="ListBullet"/>
      </w:pPr>
      <w:r>
        <w:t>Emergency Replacements: Assign designated Emergency Replacements to all critical positions to ensure business continuity during sudden vacancies.</w:t>
      </w:r>
    </w:p>
    <w:p>
      <w:pPr>
        <w:pStyle w:val="Heading2"/>
      </w:pPr>
      <w:r>
        <w:t>Phase 4: Personalized Development Plan (PDP) Activation (Q4)</w:t>
      </w:r>
    </w:p>
    <w:p>
      <w:pPr>
        <w:pStyle w:val="ListBullet"/>
      </w:pPr>
      <w:r>
        <w:t>PDP Activation: Activate development plans within CDP targeted specifically at closing unmatched attribute gaps identified during calibration.</w:t>
      </w:r>
    </w:p>
    <w:p>
      <w:r>
        <w:t>Calibrating enterprise talent requires mapping ratings to the standard 9-Box Grid strategy matrix:</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vAlign w:val="center"/>
            <w:shd w:fill="17365D"/>
          </w:tcPr>
          <w:p>
            <w:pPr>
              <w:spacing w:after="40"/>
            </w:pPr>
            <w:r/>
            <w:r>
              <w:rPr>
                <w:rFonts w:ascii="Aptos" w:hAnsi="Aptos"/>
                <w:b/>
                <w:color w:val="FFFFFF"/>
                <w:sz w:val="16"/>
              </w:rPr>
              <w:t>9-Box Grid Cell</w:t>
            </w:r>
          </w:p>
        </w:tc>
        <w:tc>
          <w:tcPr>
            <w:tcW w:type="dxa" w:w="1656"/>
            <w:vAlign w:val="center"/>
            <w:shd w:fill="17365D"/>
          </w:tcPr>
          <w:p>
            <w:pPr>
              <w:spacing w:after="40"/>
            </w:pPr>
            <w:r/>
            <w:r>
              <w:rPr>
                <w:rFonts w:ascii="Aptos" w:hAnsi="Aptos"/>
                <w:b/>
                <w:color w:val="FFFFFF"/>
                <w:sz w:val="16"/>
              </w:rPr>
              <w:t>Performance Tier</w:t>
            </w:r>
          </w:p>
        </w:tc>
        <w:tc>
          <w:tcPr>
            <w:tcW w:type="dxa" w:w="1656"/>
            <w:vAlign w:val="center"/>
            <w:shd w:fill="17365D"/>
          </w:tcPr>
          <w:p>
            <w:pPr>
              <w:spacing w:after="40"/>
            </w:pPr>
            <w:r/>
            <w:r>
              <w:rPr>
                <w:rFonts w:ascii="Aptos" w:hAnsi="Aptos"/>
                <w:b/>
                <w:color w:val="FFFFFF"/>
                <w:sz w:val="16"/>
              </w:rPr>
              <w:t>Potential Tier</w:t>
            </w:r>
          </w:p>
        </w:tc>
        <w:tc>
          <w:tcPr>
            <w:tcW w:type="dxa" w:w="1656"/>
            <w:vAlign w:val="center"/>
            <w:shd w:fill="17365D"/>
          </w:tcPr>
          <w:p>
            <w:pPr>
              <w:spacing w:after="40"/>
            </w:pPr>
            <w:r/>
            <w:r>
              <w:rPr>
                <w:rFonts w:ascii="Aptos" w:hAnsi="Aptos"/>
                <w:b/>
                <w:color w:val="FFFFFF"/>
                <w:sz w:val="16"/>
              </w:rPr>
              <w:t>Sectoral Profile Description</w:t>
            </w:r>
          </w:p>
        </w:tc>
        <w:tc>
          <w:tcPr>
            <w:tcW w:type="dxa" w:w="1656"/>
            <w:vAlign w:val="center"/>
            <w:shd w:fill="17365D"/>
          </w:tcPr>
          <w:p>
            <w:pPr>
              <w:spacing w:after="40"/>
            </w:pPr>
            <w:r/>
            <w:r>
              <w:rPr>
                <w:rFonts w:ascii="Aptos" w:hAnsi="Aptos"/>
                <w:b/>
                <w:color w:val="FFFFFF"/>
                <w:sz w:val="16"/>
              </w:rPr>
              <w:t>Actionable Strategic Talent Intervention</w:t>
            </w:r>
          </w:p>
        </w:tc>
        <w:tc>
          <w:tcPr>
            <w:tcW w:type="dxa" w:w="1656"/>
            <w:vAlign w:val="center"/>
            <w:shd w:fill="17365D"/>
          </w:tcPr>
          <w:p>
            <w:pPr>
              <w:spacing w:after="40"/>
            </w:pPr>
            <w:r/>
            <w:r>
              <w:rPr>
                <w:rFonts w:ascii="Aptos" w:hAnsi="Aptos"/>
                <w:b/>
                <w:color w:val="FFFFFF"/>
                <w:sz w:val="16"/>
              </w:rPr>
              <w:t>SuccessFactors System Tooling Deployed</w:t>
            </w:r>
          </w:p>
        </w:tc>
      </w:tr>
      <w:tr>
        <w:tc>
          <w:tcPr>
            <w:tcW w:type="dxa" w:w="1656"/>
            <w:vAlign w:val="center"/>
          </w:tcPr>
          <w:p>
            <w:pPr>
              <w:spacing w:after="40"/>
            </w:pPr>
            <w:r/>
            <w:r>
              <w:rPr>
                <w:rFonts w:ascii="Aptos" w:hAnsi="Aptos"/>
                <w:b w:val="0"/>
                <w:sz w:val="15"/>
              </w:rPr>
              <w:t>1: Top Talent</w:t>
            </w:r>
          </w:p>
        </w:tc>
        <w:tc>
          <w:tcPr>
            <w:tcW w:type="dxa" w:w="1656"/>
            <w:vAlign w:val="center"/>
          </w:tcPr>
          <w:p>
            <w:pPr>
              <w:spacing w:after="40"/>
            </w:pPr>
            <w:r/>
            <w:r>
              <w:rPr>
                <w:rFonts w:ascii="Aptos" w:hAnsi="Aptos"/>
                <w:b w:val="0"/>
                <w:sz w:val="15"/>
              </w:rPr>
              <w:t>High (5-Point: 4.5–5.0)</w:t>
            </w:r>
          </w:p>
        </w:tc>
        <w:tc>
          <w:tcPr>
            <w:tcW w:type="dxa" w:w="1656"/>
            <w:vAlign w:val="center"/>
          </w:tcPr>
          <w:p>
            <w:pPr>
              <w:spacing w:after="40"/>
            </w:pPr>
            <w:r/>
            <w:r>
              <w:rPr>
                <w:rFonts w:ascii="Aptos" w:hAnsi="Aptos"/>
                <w:b w:val="0"/>
                <w:sz w:val="15"/>
              </w:rPr>
              <w:t>High</w:t>
            </w:r>
          </w:p>
        </w:tc>
        <w:tc>
          <w:tcPr>
            <w:tcW w:type="dxa" w:w="1656"/>
            <w:vAlign w:val="center"/>
          </w:tcPr>
          <w:p>
            <w:pPr>
              <w:spacing w:after="40"/>
            </w:pPr>
            <w:r/>
            <w:r>
              <w:rPr>
                <w:rFonts w:ascii="Aptos" w:hAnsi="Aptos"/>
                <w:b w:val="0"/>
                <w:sz w:val="15"/>
              </w:rPr>
              <w:t>Top performer driving major innovations (e.g., Lead Architect for SDV).</w:t>
            </w:r>
          </w:p>
        </w:tc>
        <w:tc>
          <w:tcPr>
            <w:tcW w:type="dxa" w:w="1656"/>
            <w:vAlign w:val="center"/>
          </w:tcPr>
          <w:p>
            <w:pPr>
              <w:spacing w:after="40"/>
            </w:pPr>
            <w:r/>
            <w:r>
              <w:rPr>
                <w:rFonts w:ascii="Aptos" w:hAnsi="Aptos"/>
                <w:b w:val="0"/>
                <w:sz w:val="15"/>
              </w:rPr>
              <w:t>Executive sponsorship, fast-track succession nomination, retention equity grants.</w:t>
            </w:r>
          </w:p>
        </w:tc>
        <w:tc>
          <w:tcPr>
            <w:tcW w:type="dxa" w:w="1656"/>
            <w:vAlign w:val="center"/>
          </w:tcPr>
          <w:p>
            <w:pPr>
              <w:spacing w:after="40"/>
            </w:pPr>
            <w:r/>
            <w:r>
              <w:rPr>
                <w:rFonts w:ascii="Aptos" w:hAnsi="Aptos"/>
                <w:b w:val="0"/>
                <w:sz w:val="15"/>
              </w:rPr>
              <w:t>S&amp;D Person-Based Nominations, Executive Mentoring in OMP</w:t>
            </w:r>
          </w:p>
        </w:tc>
      </w:tr>
      <w:tr>
        <w:tc>
          <w:tcPr>
            <w:tcW w:type="dxa" w:w="1656"/>
            <w:vAlign w:val="center"/>
            <w:shd w:fill="EAF1F8"/>
          </w:tcPr>
          <w:p>
            <w:pPr>
              <w:spacing w:after="40"/>
            </w:pPr>
            <w:r/>
            <w:r>
              <w:rPr>
                <w:rFonts w:ascii="Aptos" w:hAnsi="Aptos"/>
                <w:b w:val="0"/>
                <w:sz w:val="15"/>
              </w:rPr>
              <w:t>2: High Performer</w:t>
            </w:r>
          </w:p>
        </w:tc>
        <w:tc>
          <w:tcPr>
            <w:tcW w:type="dxa" w:w="1656"/>
            <w:vAlign w:val="center"/>
            <w:shd w:fill="EAF1F8"/>
          </w:tcPr>
          <w:p>
            <w:pPr>
              <w:spacing w:after="40"/>
            </w:pPr>
            <w:r/>
            <w:r>
              <w:rPr>
                <w:rFonts w:ascii="Aptos" w:hAnsi="Aptos"/>
                <w:b w:val="0"/>
                <w:sz w:val="15"/>
              </w:rPr>
              <w:t>High (5-Point: 4.5–5.0)</w:t>
            </w:r>
          </w:p>
        </w:tc>
        <w:tc>
          <w:tcPr>
            <w:tcW w:type="dxa" w:w="1656"/>
            <w:vAlign w:val="center"/>
            <w:shd w:fill="EAF1F8"/>
          </w:tcPr>
          <w:p>
            <w:pPr>
              <w:spacing w:after="40"/>
            </w:pPr>
            <w:r/>
            <w:r>
              <w:rPr>
                <w:rFonts w:ascii="Aptos" w:hAnsi="Aptos"/>
                <w:b w:val="0"/>
                <w:sz w:val="15"/>
              </w:rPr>
              <w:t>Medium</w:t>
            </w:r>
          </w:p>
        </w:tc>
        <w:tc>
          <w:tcPr>
            <w:tcW w:type="dxa" w:w="1656"/>
            <w:vAlign w:val="center"/>
            <w:shd w:fill="EAF1F8"/>
          </w:tcPr>
          <w:p>
            <w:pPr>
              <w:spacing w:after="40"/>
            </w:pPr>
            <w:r/>
            <w:r>
              <w:rPr>
                <w:rFonts w:ascii="Aptos" w:hAnsi="Aptos"/>
                <w:b w:val="0"/>
                <w:sz w:val="15"/>
              </w:rPr>
              <w:t>Exceptional technical delivery; limited interest or capacity for enterprise leadership.</w:t>
            </w:r>
          </w:p>
        </w:tc>
        <w:tc>
          <w:tcPr>
            <w:tcW w:type="dxa" w:w="1656"/>
            <w:vAlign w:val="center"/>
            <w:shd w:fill="EAF1F8"/>
          </w:tcPr>
          <w:p>
            <w:pPr>
              <w:spacing w:after="40"/>
            </w:pPr>
            <w:r/>
            <w:r>
              <w:rPr>
                <w:rFonts w:ascii="Aptos" w:hAnsi="Aptos"/>
                <w:b w:val="0"/>
                <w:sz w:val="15"/>
              </w:rPr>
              <w:t>Subject Matter Expert (SME) career pathing, advanced technical certifications.</w:t>
            </w:r>
          </w:p>
        </w:tc>
        <w:tc>
          <w:tcPr>
            <w:tcW w:type="dxa" w:w="1656"/>
            <w:vAlign w:val="center"/>
            <w:shd w:fill="EAF1F8"/>
          </w:tcPr>
          <w:p>
            <w:pPr>
              <w:spacing w:after="40"/>
            </w:pPr>
            <w:r/>
            <w:r>
              <w:rPr>
                <w:rFonts w:ascii="Aptos" w:hAnsi="Aptos"/>
                <w:b w:val="0"/>
                <w:sz w:val="15"/>
              </w:rPr>
              <w:t>LMS Technical Pathways, Growth Portfolio Expansion</w:t>
            </w:r>
          </w:p>
        </w:tc>
      </w:tr>
      <w:tr>
        <w:tc>
          <w:tcPr>
            <w:tcW w:type="dxa" w:w="1656"/>
            <w:vAlign w:val="center"/>
          </w:tcPr>
          <w:p>
            <w:pPr>
              <w:spacing w:after="40"/>
            </w:pPr>
            <w:r/>
            <w:r>
              <w:rPr>
                <w:rFonts w:ascii="Aptos" w:hAnsi="Aptos"/>
                <w:b w:val="0"/>
                <w:sz w:val="15"/>
              </w:rPr>
              <w:t>3: Solid Contributor</w:t>
            </w:r>
          </w:p>
        </w:tc>
        <w:tc>
          <w:tcPr>
            <w:tcW w:type="dxa" w:w="1656"/>
            <w:vAlign w:val="center"/>
          </w:tcPr>
          <w:p>
            <w:pPr>
              <w:spacing w:after="40"/>
            </w:pPr>
            <w:r/>
            <w:r>
              <w:rPr>
                <w:rFonts w:ascii="Aptos" w:hAnsi="Aptos"/>
                <w:b w:val="0"/>
                <w:sz w:val="15"/>
              </w:rPr>
              <w:t>High (5-Point: 4.5–5.0)</w:t>
            </w:r>
          </w:p>
        </w:tc>
        <w:tc>
          <w:tcPr>
            <w:tcW w:type="dxa" w:w="1656"/>
            <w:vAlign w:val="center"/>
          </w:tcPr>
          <w:p>
            <w:pPr>
              <w:spacing w:after="40"/>
            </w:pPr>
            <w:r/>
            <w:r>
              <w:rPr>
                <w:rFonts w:ascii="Aptos" w:hAnsi="Aptos"/>
                <w:b w:val="0"/>
                <w:sz w:val="15"/>
              </w:rPr>
              <w:t>Low</w:t>
            </w:r>
          </w:p>
        </w:tc>
        <w:tc>
          <w:tcPr>
            <w:tcW w:type="dxa" w:w="1656"/>
            <w:vAlign w:val="center"/>
          </w:tcPr>
          <w:p>
            <w:pPr>
              <w:spacing w:after="40"/>
            </w:pPr>
            <w:r/>
            <w:r>
              <w:rPr>
                <w:rFonts w:ascii="Aptos" w:hAnsi="Aptos"/>
                <w:b w:val="0"/>
                <w:sz w:val="15"/>
              </w:rPr>
              <w:t>Consistent high-quality executor in fixed operational domains.</w:t>
            </w:r>
          </w:p>
        </w:tc>
        <w:tc>
          <w:tcPr>
            <w:tcW w:type="dxa" w:w="1656"/>
            <w:vAlign w:val="center"/>
          </w:tcPr>
          <w:p>
            <w:pPr>
              <w:spacing w:after="40"/>
            </w:pPr>
            <w:r/>
            <w:r>
              <w:rPr>
                <w:rFonts w:ascii="Aptos" w:hAnsi="Aptos"/>
                <w:b w:val="0"/>
                <w:sz w:val="15"/>
              </w:rPr>
              <w:t>Maintain engagement, lateral skill broadening, knowledge transfer roles.</w:t>
            </w:r>
          </w:p>
        </w:tc>
        <w:tc>
          <w:tcPr>
            <w:tcW w:type="dxa" w:w="1656"/>
            <w:vAlign w:val="center"/>
          </w:tcPr>
          <w:p>
            <w:pPr>
              <w:spacing w:after="40"/>
            </w:pPr>
            <w:r/>
            <w:r>
              <w:rPr>
                <w:rFonts w:ascii="Aptos" w:hAnsi="Aptos"/>
                <w:b w:val="0"/>
                <w:sz w:val="15"/>
              </w:rPr>
              <w:t>Continuous Feedback, Opportunity Marketplace Gigs</w:t>
            </w:r>
          </w:p>
        </w:tc>
      </w:tr>
      <w:tr>
        <w:tc>
          <w:tcPr>
            <w:tcW w:type="dxa" w:w="1656"/>
            <w:vAlign w:val="center"/>
            <w:shd w:fill="EAF1F8"/>
          </w:tcPr>
          <w:p>
            <w:pPr>
              <w:spacing w:after="40"/>
            </w:pPr>
            <w:r/>
            <w:r>
              <w:rPr>
                <w:rFonts w:ascii="Aptos" w:hAnsi="Aptos"/>
                <w:b w:val="0"/>
                <w:sz w:val="15"/>
              </w:rPr>
              <w:t>4: High Potential</w:t>
            </w:r>
          </w:p>
        </w:tc>
        <w:tc>
          <w:tcPr>
            <w:tcW w:type="dxa" w:w="1656"/>
            <w:vAlign w:val="center"/>
            <w:shd w:fill="EAF1F8"/>
          </w:tcPr>
          <w:p>
            <w:pPr>
              <w:spacing w:after="40"/>
            </w:pPr>
            <w:r/>
            <w:r>
              <w:rPr>
                <w:rFonts w:ascii="Aptos" w:hAnsi="Aptos"/>
                <w:b w:val="0"/>
                <w:sz w:val="15"/>
              </w:rPr>
              <w:t>Medium (5-Point: 3.5–4.4)</w:t>
            </w:r>
          </w:p>
        </w:tc>
        <w:tc>
          <w:tcPr>
            <w:tcW w:type="dxa" w:w="1656"/>
            <w:vAlign w:val="center"/>
            <w:shd w:fill="EAF1F8"/>
          </w:tcPr>
          <w:p>
            <w:pPr>
              <w:spacing w:after="40"/>
            </w:pPr>
            <w:r/>
            <w:r>
              <w:rPr>
                <w:rFonts w:ascii="Aptos" w:hAnsi="Aptos"/>
                <w:b w:val="0"/>
                <w:sz w:val="15"/>
              </w:rPr>
              <w:t>High</w:t>
            </w:r>
          </w:p>
        </w:tc>
        <w:tc>
          <w:tcPr>
            <w:tcW w:type="dxa" w:w="1656"/>
            <w:vAlign w:val="center"/>
            <w:shd w:fill="EAF1F8"/>
          </w:tcPr>
          <w:p>
            <w:pPr>
              <w:spacing w:after="40"/>
            </w:pPr>
            <w:r/>
            <w:r>
              <w:rPr>
                <w:rFonts w:ascii="Aptos" w:hAnsi="Aptos"/>
                <w:b w:val="0"/>
                <w:sz w:val="15"/>
              </w:rPr>
              <w:t>Emerging talent with high learning agility; technical skills still maturing.</w:t>
            </w:r>
          </w:p>
        </w:tc>
        <w:tc>
          <w:tcPr>
            <w:tcW w:type="dxa" w:w="1656"/>
            <w:vAlign w:val="center"/>
            <w:shd w:fill="EAF1F8"/>
          </w:tcPr>
          <w:p>
            <w:pPr>
              <w:spacing w:after="40"/>
            </w:pPr>
            <w:r/>
            <w:r>
              <w:rPr>
                <w:rFonts w:ascii="Aptos" w:hAnsi="Aptos"/>
                <w:b w:val="0"/>
                <w:sz w:val="15"/>
              </w:rPr>
              <w:t>Stretch assignments, cross-functional rotational programs, high-visibility projects.</w:t>
            </w:r>
          </w:p>
        </w:tc>
        <w:tc>
          <w:tcPr>
            <w:tcW w:type="dxa" w:w="1656"/>
            <w:vAlign w:val="center"/>
            <w:shd w:fill="EAF1F8"/>
          </w:tcPr>
          <w:p>
            <w:pPr>
              <w:spacing w:after="40"/>
            </w:pPr>
            <w:r/>
            <w:r>
              <w:rPr>
                <w:rFonts w:ascii="Aptos" w:hAnsi="Aptos"/>
                <w:b w:val="0"/>
                <w:sz w:val="15"/>
              </w:rPr>
              <w:t>Opportunity Marketplace Rotations, Dynamic Teams</w:t>
            </w:r>
          </w:p>
        </w:tc>
      </w:tr>
      <w:tr>
        <w:tc>
          <w:tcPr>
            <w:tcW w:type="dxa" w:w="1656"/>
            <w:vAlign w:val="center"/>
          </w:tcPr>
          <w:p>
            <w:pPr>
              <w:spacing w:after="40"/>
            </w:pPr>
            <w:r/>
            <w:r>
              <w:rPr>
                <w:rFonts w:ascii="Aptos" w:hAnsi="Aptos"/>
                <w:b w:val="0"/>
                <w:sz w:val="15"/>
              </w:rPr>
              <w:t>5: Core Performer</w:t>
            </w:r>
          </w:p>
        </w:tc>
        <w:tc>
          <w:tcPr>
            <w:tcW w:type="dxa" w:w="1656"/>
            <w:vAlign w:val="center"/>
          </w:tcPr>
          <w:p>
            <w:pPr>
              <w:spacing w:after="40"/>
            </w:pPr>
            <w:r/>
            <w:r>
              <w:rPr>
                <w:rFonts w:ascii="Aptos" w:hAnsi="Aptos"/>
                <w:b w:val="0"/>
                <w:sz w:val="15"/>
              </w:rPr>
              <w:t>Medium (5-Point: 3.5–4.4)</w:t>
            </w:r>
          </w:p>
        </w:tc>
        <w:tc>
          <w:tcPr>
            <w:tcW w:type="dxa" w:w="1656"/>
            <w:vAlign w:val="center"/>
          </w:tcPr>
          <w:p>
            <w:pPr>
              <w:spacing w:after="40"/>
            </w:pPr>
            <w:r/>
            <w:r>
              <w:rPr>
                <w:rFonts w:ascii="Aptos" w:hAnsi="Aptos"/>
                <w:b w:val="0"/>
                <w:sz w:val="15"/>
              </w:rPr>
              <w:t>Medium</w:t>
            </w:r>
          </w:p>
        </w:tc>
        <w:tc>
          <w:tcPr>
            <w:tcW w:type="dxa" w:w="1656"/>
            <w:vAlign w:val="center"/>
          </w:tcPr>
          <w:p>
            <w:pPr>
              <w:spacing w:after="40"/>
            </w:pPr>
            <w:r/>
            <w:r>
              <w:rPr>
                <w:rFonts w:ascii="Aptos" w:hAnsi="Aptos"/>
                <w:b w:val="0"/>
                <w:sz w:val="15"/>
              </w:rPr>
              <w:t>Reliable core contributor meeting all operational requirements.</w:t>
            </w:r>
          </w:p>
        </w:tc>
        <w:tc>
          <w:tcPr>
            <w:tcW w:type="dxa" w:w="1656"/>
            <w:vAlign w:val="center"/>
          </w:tcPr>
          <w:p>
            <w:pPr>
              <w:spacing w:after="40"/>
            </w:pPr>
            <w:r/>
            <w:r>
              <w:rPr>
                <w:rFonts w:ascii="Aptos" w:hAnsi="Aptos"/>
                <w:b w:val="0"/>
                <w:sz w:val="15"/>
              </w:rPr>
              <w:t>Targeted skill upskilling, role enhancement, continuous performance coaching.</w:t>
            </w:r>
          </w:p>
        </w:tc>
        <w:tc>
          <w:tcPr>
            <w:tcW w:type="dxa" w:w="1656"/>
            <w:vAlign w:val="center"/>
          </w:tcPr>
          <w:p>
            <w:pPr>
              <w:spacing w:after="40"/>
            </w:pPr>
            <w:r/>
            <w:r>
              <w:rPr>
                <w:rFonts w:ascii="Aptos" w:hAnsi="Aptos"/>
                <w:b w:val="0"/>
                <w:sz w:val="15"/>
              </w:rPr>
              <w:t>CPM Activities &amp; Achievements, Development Goals</w:t>
            </w:r>
          </w:p>
        </w:tc>
      </w:tr>
      <w:tr>
        <w:tc>
          <w:tcPr>
            <w:tcW w:type="dxa" w:w="1656"/>
            <w:vAlign w:val="center"/>
            <w:shd w:fill="EAF1F8"/>
          </w:tcPr>
          <w:p>
            <w:pPr>
              <w:spacing w:after="40"/>
            </w:pPr>
            <w:r/>
            <w:r>
              <w:rPr>
                <w:rFonts w:ascii="Aptos" w:hAnsi="Aptos"/>
                <w:b w:val="0"/>
                <w:sz w:val="15"/>
              </w:rPr>
              <w:t>6: Effective</w:t>
            </w:r>
          </w:p>
        </w:tc>
        <w:tc>
          <w:tcPr>
            <w:tcW w:type="dxa" w:w="1656"/>
            <w:vAlign w:val="center"/>
            <w:shd w:fill="EAF1F8"/>
          </w:tcPr>
          <w:p>
            <w:pPr>
              <w:spacing w:after="40"/>
            </w:pPr>
            <w:r/>
            <w:r>
              <w:rPr>
                <w:rFonts w:ascii="Aptos" w:hAnsi="Aptos"/>
                <w:b w:val="0"/>
                <w:sz w:val="15"/>
              </w:rPr>
              <w:t>Medium (5-Point: 3.5–4.4)</w:t>
            </w:r>
          </w:p>
        </w:tc>
        <w:tc>
          <w:tcPr>
            <w:tcW w:type="dxa" w:w="1656"/>
            <w:vAlign w:val="center"/>
            <w:shd w:fill="EAF1F8"/>
          </w:tcPr>
          <w:p>
            <w:pPr>
              <w:spacing w:after="40"/>
            </w:pPr>
            <w:r/>
            <w:r>
              <w:rPr>
                <w:rFonts w:ascii="Aptos" w:hAnsi="Aptos"/>
                <w:b w:val="0"/>
                <w:sz w:val="15"/>
              </w:rPr>
              <w:t>Low</w:t>
            </w:r>
          </w:p>
        </w:tc>
        <w:tc>
          <w:tcPr>
            <w:tcW w:type="dxa" w:w="1656"/>
            <w:vAlign w:val="center"/>
            <w:shd w:fill="EAF1F8"/>
          </w:tcPr>
          <w:p>
            <w:pPr>
              <w:spacing w:after="40"/>
            </w:pPr>
            <w:r/>
            <w:r>
              <w:rPr>
                <w:rFonts w:ascii="Aptos" w:hAnsi="Aptos"/>
                <w:b w:val="0"/>
                <w:sz w:val="15"/>
              </w:rPr>
              <w:t>Meets expectations; displays low adaptability to digital/technological shifts.</w:t>
            </w:r>
          </w:p>
        </w:tc>
        <w:tc>
          <w:tcPr>
            <w:tcW w:type="dxa" w:w="1656"/>
            <w:vAlign w:val="center"/>
            <w:shd w:fill="EAF1F8"/>
          </w:tcPr>
          <w:p>
            <w:pPr>
              <w:spacing w:after="40"/>
            </w:pPr>
            <w:r/>
            <w:r>
              <w:rPr>
                <w:rFonts w:ascii="Aptos" w:hAnsi="Aptos"/>
                <w:b w:val="0"/>
                <w:sz w:val="15"/>
              </w:rPr>
              <w:t>Focused technical reskilling, core compliance training.</w:t>
            </w:r>
          </w:p>
        </w:tc>
        <w:tc>
          <w:tcPr>
            <w:tcW w:type="dxa" w:w="1656"/>
            <w:vAlign w:val="center"/>
            <w:shd w:fill="EAF1F8"/>
          </w:tcPr>
          <w:p>
            <w:pPr>
              <w:spacing w:after="40"/>
            </w:pPr>
            <w:r/>
            <w:r>
              <w:rPr>
                <w:rFonts w:ascii="Aptos" w:hAnsi="Aptos"/>
                <w:b w:val="0"/>
                <w:sz w:val="15"/>
              </w:rPr>
              <w:t>LMS Mandatory Learning, TIH Gap Analysis</w:t>
            </w:r>
          </w:p>
        </w:tc>
      </w:tr>
      <w:tr>
        <w:tc>
          <w:tcPr>
            <w:tcW w:type="dxa" w:w="1656"/>
            <w:vAlign w:val="center"/>
          </w:tcPr>
          <w:p>
            <w:pPr>
              <w:spacing w:after="40"/>
            </w:pPr>
            <w:r/>
            <w:r>
              <w:rPr>
                <w:rFonts w:ascii="Aptos" w:hAnsi="Aptos"/>
                <w:b w:val="0"/>
                <w:sz w:val="15"/>
              </w:rPr>
              <w:t>7: Enigma</w:t>
            </w:r>
          </w:p>
        </w:tc>
        <w:tc>
          <w:tcPr>
            <w:tcW w:type="dxa" w:w="1656"/>
            <w:vAlign w:val="center"/>
          </w:tcPr>
          <w:p>
            <w:pPr>
              <w:spacing w:after="40"/>
            </w:pPr>
            <w:r/>
            <w:r>
              <w:rPr>
                <w:rFonts w:ascii="Aptos" w:hAnsi="Aptos"/>
                <w:b w:val="0"/>
                <w:sz w:val="15"/>
              </w:rPr>
              <w:t>Low (5-Point: &lt;3.5)</w:t>
            </w:r>
          </w:p>
        </w:tc>
        <w:tc>
          <w:tcPr>
            <w:tcW w:type="dxa" w:w="1656"/>
            <w:vAlign w:val="center"/>
          </w:tcPr>
          <w:p>
            <w:pPr>
              <w:spacing w:after="40"/>
            </w:pPr>
            <w:r/>
            <w:r>
              <w:rPr>
                <w:rFonts w:ascii="Aptos" w:hAnsi="Aptos"/>
                <w:b w:val="0"/>
                <w:sz w:val="15"/>
              </w:rPr>
              <w:t>High</w:t>
            </w:r>
          </w:p>
        </w:tc>
        <w:tc>
          <w:tcPr>
            <w:tcW w:type="dxa" w:w="1656"/>
            <w:vAlign w:val="center"/>
          </w:tcPr>
          <w:p>
            <w:pPr>
              <w:spacing w:after="40"/>
            </w:pPr>
            <w:r/>
            <w:r>
              <w:rPr>
                <w:rFonts w:ascii="Aptos" w:hAnsi="Aptos"/>
                <w:b w:val="0"/>
                <w:sz w:val="15"/>
              </w:rPr>
              <w:t>High cognitive ability; struggling due to role misplacement or environment.</w:t>
            </w:r>
          </w:p>
        </w:tc>
        <w:tc>
          <w:tcPr>
            <w:tcW w:type="dxa" w:w="1656"/>
            <w:vAlign w:val="center"/>
          </w:tcPr>
          <w:p>
            <w:pPr>
              <w:spacing w:after="40"/>
            </w:pPr>
            <w:r/>
            <w:r>
              <w:rPr>
                <w:rFonts w:ascii="Aptos" w:hAnsi="Aptos"/>
                <w:b w:val="0"/>
                <w:sz w:val="15"/>
              </w:rPr>
              <w:t>Role realignment, assign dedicated mentor, review motivation factors.</w:t>
            </w:r>
          </w:p>
        </w:tc>
        <w:tc>
          <w:tcPr>
            <w:tcW w:type="dxa" w:w="1656"/>
            <w:vAlign w:val="center"/>
          </w:tcPr>
          <w:p>
            <w:pPr>
              <w:spacing w:after="40"/>
            </w:pPr>
            <w:r/>
            <w:r>
              <w:rPr>
                <w:rFonts w:ascii="Aptos" w:hAnsi="Aptos"/>
                <w:b w:val="0"/>
                <w:sz w:val="15"/>
              </w:rPr>
              <w:t>Mentoring in Opportunity Marketplace, Career Worksheet</w:t>
            </w:r>
          </w:p>
        </w:tc>
      </w:tr>
      <w:tr>
        <w:tc>
          <w:tcPr>
            <w:tcW w:type="dxa" w:w="1656"/>
            <w:vAlign w:val="center"/>
            <w:shd w:fill="EAF1F8"/>
          </w:tcPr>
          <w:p>
            <w:pPr>
              <w:spacing w:after="40"/>
            </w:pPr>
            <w:r/>
            <w:r>
              <w:rPr>
                <w:rFonts w:ascii="Aptos" w:hAnsi="Aptos"/>
                <w:b w:val="0"/>
                <w:sz w:val="15"/>
              </w:rPr>
              <w:t>8: Dilemma</w:t>
            </w:r>
          </w:p>
        </w:tc>
        <w:tc>
          <w:tcPr>
            <w:tcW w:type="dxa" w:w="1656"/>
            <w:vAlign w:val="center"/>
            <w:shd w:fill="EAF1F8"/>
          </w:tcPr>
          <w:p>
            <w:pPr>
              <w:spacing w:after="40"/>
            </w:pPr>
            <w:r/>
            <w:r>
              <w:rPr>
                <w:rFonts w:ascii="Aptos" w:hAnsi="Aptos"/>
                <w:b w:val="0"/>
                <w:sz w:val="15"/>
              </w:rPr>
              <w:t>Low (5-Point: &lt;3.5)</w:t>
            </w:r>
          </w:p>
        </w:tc>
        <w:tc>
          <w:tcPr>
            <w:tcW w:type="dxa" w:w="1656"/>
            <w:vAlign w:val="center"/>
            <w:shd w:fill="EAF1F8"/>
          </w:tcPr>
          <w:p>
            <w:pPr>
              <w:spacing w:after="40"/>
            </w:pPr>
            <w:r/>
            <w:r>
              <w:rPr>
                <w:rFonts w:ascii="Aptos" w:hAnsi="Aptos"/>
                <w:b w:val="0"/>
                <w:sz w:val="15"/>
              </w:rPr>
              <w:t>Medium</w:t>
            </w:r>
          </w:p>
        </w:tc>
        <w:tc>
          <w:tcPr>
            <w:tcW w:type="dxa" w:w="1656"/>
            <w:vAlign w:val="center"/>
            <w:shd w:fill="EAF1F8"/>
          </w:tcPr>
          <w:p>
            <w:pPr>
              <w:spacing w:after="40"/>
            </w:pPr>
            <w:r/>
            <w:r>
              <w:rPr>
                <w:rFonts w:ascii="Aptos" w:hAnsi="Aptos"/>
                <w:b w:val="0"/>
                <w:sz w:val="15"/>
              </w:rPr>
              <w:t>Inconsistent output; potential to achieve core contributor status with support.</w:t>
            </w:r>
          </w:p>
        </w:tc>
        <w:tc>
          <w:tcPr>
            <w:tcW w:type="dxa" w:w="1656"/>
            <w:vAlign w:val="center"/>
            <w:shd w:fill="EAF1F8"/>
          </w:tcPr>
          <w:p>
            <w:pPr>
              <w:spacing w:after="40"/>
            </w:pPr>
            <w:r/>
            <w:r>
              <w:rPr>
                <w:rFonts w:ascii="Aptos" w:hAnsi="Aptos"/>
                <w:b w:val="0"/>
                <w:sz w:val="15"/>
              </w:rPr>
              <w:t>Time-bound performance support plan, targeted skills training.</w:t>
            </w:r>
          </w:p>
        </w:tc>
        <w:tc>
          <w:tcPr>
            <w:tcW w:type="dxa" w:w="1656"/>
            <w:vAlign w:val="center"/>
            <w:shd w:fill="EAF1F8"/>
          </w:tcPr>
          <w:p>
            <w:pPr>
              <w:spacing w:after="40"/>
            </w:pPr>
            <w:r/>
            <w:r>
              <w:rPr>
                <w:rFonts w:ascii="Aptos" w:hAnsi="Aptos"/>
                <w:b w:val="0"/>
                <w:sz w:val="15"/>
              </w:rPr>
              <w:t>PMGM Performance Improvement Goal Plan</w:t>
            </w:r>
          </w:p>
        </w:tc>
      </w:tr>
      <w:tr>
        <w:tc>
          <w:tcPr>
            <w:tcW w:type="dxa" w:w="1656"/>
            <w:vAlign w:val="center"/>
          </w:tcPr>
          <w:p>
            <w:pPr>
              <w:spacing w:after="40"/>
            </w:pPr>
            <w:r/>
            <w:r>
              <w:rPr>
                <w:rFonts w:ascii="Aptos" w:hAnsi="Aptos"/>
                <w:b w:val="0"/>
                <w:sz w:val="15"/>
              </w:rPr>
              <w:t>9: Underperformer</w:t>
            </w:r>
          </w:p>
        </w:tc>
        <w:tc>
          <w:tcPr>
            <w:tcW w:type="dxa" w:w="1656"/>
            <w:vAlign w:val="center"/>
          </w:tcPr>
          <w:p>
            <w:pPr>
              <w:spacing w:after="40"/>
            </w:pPr>
            <w:r/>
            <w:r>
              <w:rPr>
                <w:rFonts w:ascii="Aptos" w:hAnsi="Aptos"/>
                <w:b w:val="0"/>
                <w:sz w:val="15"/>
              </w:rPr>
              <w:t>Low (5-Point: &lt;3.5)</w:t>
            </w:r>
          </w:p>
        </w:tc>
        <w:tc>
          <w:tcPr>
            <w:tcW w:type="dxa" w:w="1656"/>
            <w:vAlign w:val="center"/>
          </w:tcPr>
          <w:p>
            <w:pPr>
              <w:spacing w:after="40"/>
            </w:pPr>
            <w:r/>
            <w:r>
              <w:rPr>
                <w:rFonts w:ascii="Aptos" w:hAnsi="Aptos"/>
                <w:b w:val="0"/>
                <w:sz w:val="15"/>
              </w:rPr>
              <w:t>Low</w:t>
            </w:r>
          </w:p>
        </w:tc>
        <w:tc>
          <w:tcPr>
            <w:tcW w:type="dxa" w:w="1656"/>
            <w:vAlign w:val="center"/>
          </w:tcPr>
          <w:p>
            <w:pPr>
              <w:spacing w:after="40"/>
            </w:pPr>
            <w:r/>
            <w:r>
              <w:rPr>
                <w:rFonts w:ascii="Aptos" w:hAnsi="Aptos"/>
                <w:b w:val="0"/>
                <w:sz w:val="15"/>
              </w:rPr>
              <w:t>Fails to meet performance expectations and demonstrates low potential.</w:t>
            </w:r>
          </w:p>
        </w:tc>
        <w:tc>
          <w:tcPr>
            <w:tcW w:type="dxa" w:w="1656"/>
            <w:vAlign w:val="center"/>
          </w:tcPr>
          <w:p>
            <w:pPr>
              <w:spacing w:after="40"/>
            </w:pPr>
            <w:r/>
            <w:r>
              <w:rPr>
                <w:rFonts w:ascii="Aptos" w:hAnsi="Aptos"/>
                <w:b w:val="0"/>
                <w:sz w:val="15"/>
              </w:rPr>
              <w:t>Formal Performance Improvement Plan (PIP) or offboarding transition.</w:t>
            </w:r>
          </w:p>
        </w:tc>
        <w:tc>
          <w:tcPr>
            <w:tcW w:type="dxa" w:w="1656"/>
            <w:vAlign w:val="center"/>
          </w:tcPr>
          <w:p>
            <w:pPr>
              <w:spacing w:after="40"/>
            </w:pPr>
            <w:r/>
            <w:r>
              <w:rPr>
                <w:rFonts w:ascii="Aptos" w:hAnsi="Aptos"/>
                <w:b w:val="0"/>
                <w:sz w:val="15"/>
              </w:rPr>
              <w:t>PMGM PIP Form, Offboarding Workflow</w:t>
            </w:r>
          </w:p>
        </w:tc>
      </w:tr>
    </w:tbl>
    <w:p>
      <w:pPr>
        <w:spacing w:after="40"/>
      </w:pPr>
    </w:p>
    <w:p>
      <w:r>
        <w:t>During executive calibration, technical discrepancies between ratings displayed in Talent Review forms and the Talent Card Mini-Matrix can undermine decision-making. Resolving rating misalignments requires executing four precise system configuration steps:</w:t>
      </w:r>
    </w:p>
    <w:p>
      <w:pPr>
        <w:pStyle w:val="ListNumber"/>
      </w:pPr>
      <w:r>
        <w:t>Matrix Grid Report Source Settings: Navigate to Matrix Grid Report – Performance-Potential in Admin Center and change the X-axis and Y-axis data sources from "All Data Sources" directly to "Talent Review".</w:t>
      </w:r>
    </w:p>
    <w:p>
      <w:pPr>
        <w:pStyle w:val="ListNumber"/>
      </w:pPr>
      <w:r>
        <w:t>Processes &amp; Forms Configuration: Access Processes and Forms, select the active Talent Review form process (e.g., "Talent Review 2025 Template"), and check the "Include In-Progress Documents" box to capture active evaluation data.</w:t>
      </w:r>
    </w:p>
    <w:p>
      <w:pPr>
        <w:pStyle w:val="ListNumber"/>
      </w:pPr>
      <w:r>
        <w:t>Configure People Profile Settings: In Configure People Profile under General Settings, set the Talent Data Date Range to match the active review cycle dates exactly. Ensure "Include Talent data from this process" is set to "Talent Review", and select "Include In-Progress Documents".</w:t>
      </w:r>
    </w:p>
    <w:p>
      <w:pPr>
        <w:pStyle w:val="ListNumber"/>
      </w:pPr>
      <w:r>
        <w:t>Manage Talent Card Setup: Open Manage Talent Card, select the Succession Talent Card, navigate to the Performance &amp; Potential section, and enable "Use employee profile rating configuration" to enforce system-wide rating synchronization.</w:t>
      </w:r>
    </w:p>
    <w:p>
      <w:r>
        <w:t>With calibration complete and potential successors identified, the framework transitions from talent identification to active, personalized development execution.</w:t>
      </w:r>
    </w:p>
    <w:p>
      <w:pPr>
        <w:pStyle w:val="Heading1"/>
      </w:pPr>
      <w:r>
        <w:t>5. Integrated Talent Development, Mobility &amp; Experiential Learning Framework</w:t>
      </w:r>
    </w:p>
    <w:p>
      <w:r>
        <w:t>Accelerating skill acquisition for critical roles requires a structured blend of practical execution, collaborative coaching, and targeted formal education structured around the 70-20-10 learning model.</w:t>
      </w:r>
    </w:p>
    <w:p>
      <w:r>
        <w:t>|                        70% EXPERIENTIAL DEVELOPMENT                               |</w:t>
      </w:r>
    </w:p>
    <w:p>
      <w:pPr>
        <w:spacing w:before="60" w:after="140"/>
        <w:ind w:left="216"/>
      </w:pPr>
      <w:r>
        <w:rPr>
          <w:rFonts w:ascii="Consolas" w:hAnsi="Consolas"/>
          <w:color w:val="2878A5"/>
          <w:sz w:val="14"/>
        </w:rPr>
        <w:t>|   Opportunity Marketplace (OMP) Gigs  &lt;---------&gt;  Dynamic Teams &amp; OKRs           |</w:t>
      </w:r>
    </w:p>
    <w:p>
      <w:r>
        <w:t>|            (Cross-Functional Projects, VSOC Task Forces, Rotations)              |</w:t>
      </w:r>
    </w:p>
    <w:p>
      <w:r>
        <w:t>|                           20% SOCIAL LEARNING &amp; COACHING                          |</w:t>
      </w:r>
    </w:p>
    <w:p>
      <w:pPr>
        <w:spacing w:before="60" w:after="140"/>
        <w:ind w:left="216"/>
      </w:pPr>
      <w:r>
        <w:rPr>
          <w:rFonts w:ascii="Consolas" w:hAnsi="Consolas"/>
          <w:color w:val="2878A5"/>
          <w:sz w:val="14"/>
        </w:rPr>
        <w:t>|   Algorithmic Mentorship Matching     &lt;---------&gt;  Continuous Performance (CPM)   |</w:t>
      </w:r>
    </w:p>
    <w:p>
      <w:r>
        <w:t>|            (Target Capability Pairing)             (1-on-1 Coaching &amp; Feedback)   |</w:t>
      </w:r>
    </w:p>
    <w:p>
      <w:r>
        <w:t>|                         10% FORMAL EDUCATION &amp; CERTIFICATION                      |</w:t>
      </w:r>
    </w:p>
    <w:p>
      <w:pPr>
        <w:spacing w:before="60" w:after="140"/>
        <w:ind w:left="216"/>
      </w:pPr>
      <w:r>
        <w:rPr>
          <w:rFonts w:ascii="Consolas" w:hAnsi="Consolas"/>
          <w:color w:val="2878A5"/>
          <w:sz w:val="14"/>
        </w:rPr>
        <w:t>|   SuccessFactors Learning (LMS)       &lt;---------&gt;  Regulatory Certifications      |</w:t>
      </w:r>
    </w:p>
    <w:p>
      <w:r>
        <w:t>|            (Automated Gap Recommendations)         (TÜV FSCP, ISO 21434, A-SPICE) |</w:t>
      </w:r>
    </w:p>
    <w:p>
      <w:pPr>
        <w:pStyle w:val="Heading2"/>
      </w:pPr>
      <w:r>
        <w:t>70% Experiential Development (Opportunity Marketplace &amp; Dynamic Teams)</w:t>
      </w:r>
    </w:p>
    <w:p>
      <w:pPr>
        <w:pStyle w:val="ListBullet"/>
      </w:pPr>
      <w:r>
        <w:t>Opportunity Marketplace (OMP): Matches employees with short-term project assignments, specialized task forces (e.g., VSOC operational monitoring), and engineering gigs based on Growth Portfolio attributes. Active opportunities display directly within the Career Worksheet, enabling real-time milestone tracking.</w:t>
      </w:r>
    </w:p>
    <w:p>
      <w:pPr>
        <w:pStyle w:val="ListBullet"/>
      </w:pPr>
      <w:r>
        <w:t>Dynamic Teams: Enables matrixed project teams to form outside traditional reporting lines, utilizing Objectives and Key Results (OKRs) to drive execution. Aligned with the phased activation paradigm, Dynamic Teams are introduced in later implementation phases to avoid early organizational complexity.</w:t>
      </w:r>
    </w:p>
    <w:p>
      <w:pPr>
        <w:pStyle w:val="Heading2"/>
      </w:pPr>
      <w:r>
        <w:t>20% Social Learning &amp; Continuous Coaching</w:t>
      </w:r>
    </w:p>
    <w:p>
      <w:pPr>
        <w:pStyle w:val="ListBullet"/>
      </w:pPr>
      <w:r>
        <w:t>Algorithmic Mentorship Matching: OMP matches mentees with mentors based on target capability gaps (e.g., pairing a Hardware Engineer with a Master Assessor skilled in A-SPICE process governance).</w:t>
      </w:r>
    </w:p>
    <w:p>
      <w:pPr>
        <w:pStyle w:val="ListBullet"/>
      </w:pPr>
      <w:r>
        <w:t>Continuous Performance Management (CPM): Captures real-time progress through structured Continuous Feedback (launched on Day 1) and Activities/Achievements 1-on-1 coaching logs (phased in subsequently).</w:t>
      </w:r>
    </w:p>
    <w:p>
      <w:pPr>
        <w:pStyle w:val="ListBullet"/>
      </w:pPr>
      <w:r>
        <w:t>Career Explorer Integration: AI-driven recommendations from Career Explorer suggest non-traditional career moves, which employees convert directly into targeted OMP mentoring relationships or project gigs.</w:t>
      </w:r>
    </w:p>
    <w:p>
      <w:pPr>
        <w:pStyle w:val="Heading2"/>
      </w:pPr>
      <w:r>
        <w:t>10% Formal Education &amp; Certification Pathways</w:t>
      </w:r>
    </w:p>
    <w:p>
      <w:pPr>
        <w:pStyle w:val="ListBullet"/>
      </w:pPr>
      <w:r>
        <w:t>Automated LMS Pathways: Unmatched Growth Portfolio attributes in the Career Worksheet automatically trigger recommended learning paths within SuccessFactors LMS.</w:t>
      </w:r>
    </w:p>
    <w:p>
      <w:pPr>
        <w:pStyle w:val="ListBullet"/>
      </w:pPr>
      <w:r>
        <w:t>Regulatory Certification Tracking: LMS tracks formal external certifications required for automotive regulatory compliance and supplier audits, including:</w:t>
      </w:r>
    </w:p>
    <w:p>
      <w:pPr>
        <w:pStyle w:val="ListBullet"/>
      </w:pPr>
      <w:r>
        <w:t>TÜV SÜD ISO 26262 Functional Safety Certification Programme (FSCP) Level 1 (Engineer) and Level 2 (Professional).</w:t>
      </w:r>
    </w:p>
    <w:p>
      <w:pPr>
        <w:pStyle w:val="ListBullet"/>
      </w:pPr>
      <w:r>
        <w:t>ISO/SAE 21434 Automotive Cybersecurity Specialist and TARA Auditor certifications.</w:t>
      </w:r>
    </w:p>
    <w:p>
      <w:pPr>
        <w:pStyle w:val="ListBullet"/>
      </w:pPr>
      <w:r>
        <w:t>Automotive SPICE (A-SPICE) Provisional and Competent Assessor credentials.</w:t>
      </w:r>
    </w:p>
    <w:p>
      <w:pPr>
        <w:pStyle w:val="ListBullet"/>
      </w:pPr>
      <w:r>
        <w:t>Supply Chain &amp; Audit Compliance: System tracking provides auditable proof of Cybersecurity Assurance Levels (CAL 2+ verification via fuzz testing and penetration testing evidence) required under CSMS regulations and Tier-1 Cybersecurity Interface Agreements (CIAs).</w:t>
      </w:r>
    </w:p>
    <w:p>
      <w:r>
        <w:t>Applying this integrated development framework to specific organizational scenarios demonstrates its practical execution within an automotive enterprise.</w:t>
      </w:r>
    </w:p>
    <w:p>
      <w:pPr>
        <w:pStyle w:val="Heading1"/>
      </w:pPr>
      <w:r>
        <w:t>6. Scenario-Based Automotive Case Applications</w:t>
      </w:r>
    </w:p>
    <w:p>
      <w:pPr>
        <w:pStyle w:val="Heading2"/>
      </w:pPr>
      <w:r>
        <w:t>Scenario A: Executive Succession for Chief Software Officer (CSO)</w:t>
      </w:r>
    </w:p>
    <w:p>
      <w:pPr>
        <w:pStyle w:val="ListBullet"/>
      </w:pPr>
      <w:r>
        <w:t>Context &amp; Business Impact: An OEM is transitioning to an SDV platform architecture. The incumbent CSO announces retirement within 18 months. The role demands mastery of cloud-to-car telematics, Adaptive AUTOSAR, ISO 21434 cybersecurity governance, and enterprise leadership. Failing to fill this role internally risks severe SDV platform launch delays estimated at $50M+ in delayed market revenue and over $5M in executive search costs.</w:t>
      </w:r>
    </w:p>
    <w:p>
      <w:pPr>
        <w:pStyle w:val="ListBullet"/>
      </w:pPr>
      <w:r>
        <w:t>Candidate Diagnostic: System searches across global business units surface two internal candidates and an emergency replacement:</w:t>
      </w:r>
    </w:p>
    <w:p>
      <w:pPr>
        <w:pStyle w:val="ListBullet"/>
      </w:pPr>
      <w:r>
        <w:t>Candidate A (VP of Embedded Systems): Cell 1 Top Talent; 1–2 Years readiness. Matches technical attributes in Adaptive AUTOSAR (5/5) and ISO 26262 (4/4), but presents gaps in ISO 21434 Cybersecurity Governance (2/4) and Cloud Infrastructure (3/5).</w:t>
      </w:r>
    </w:p>
    <w:p>
      <w:pPr>
        <w:pStyle w:val="ListBullet"/>
      </w:pPr>
      <w:r>
        <w:t>Candidate B (Director of Cloud &amp; Telematics): Cell 4 High Potential; 3–5 Years readiness. Strong cloud experience, but lacks embedded automotive safety standards.</w:t>
      </w:r>
    </w:p>
    <w:p>
      <w:pPr>
        <w:pStyle w:val="ListBullet"/>
      </w:pPr>
      <w:r>
        <w:t>Emergency Replacement: Head of Vehicle Engineering designated as Ready Now for immediate operational cover.</w:t>
      </w:r>
    </w:p>
    <w:p>
      <w:pPr>
        <w:pStyle w:val="ListBullet"/>
      </w:pPr>
      <w:r>
        <w:t>SuccessFactors Execution Steps:</w:t>
      </w:r>
    </w:p>
    <w:p>
      <w:pPr>
        <w:pStyle w:val="ListNumber"/>
      </w:pPr>
      <w:r>
        <w:t>Role Profiling: HR updates the CSO profile in JPB, adding custom attributes for UNECE R155 regulatory oversight mapped at the job level.</w:t>
      </w:r>
    </w:p>
    <w:p>
      <w:pPr>
        <w:pStyle w:val="ListNumber"/>
      </w:pPr>
      <w:r>
        <w:t>Gap Analysis: Candidate A views the CSO target role in the Career Worksheet, identifying unmatched gaps in ISO 21434 Governance and Cloud Infrastructure.</w:t>
      </w:r>
    </w:p>
    <w:p>
      <w:pPr>
        <w:pStyle w:val="ListNumber"/>
      </w:pPr>
      <w:r>
        <w:t>70-20-10 Execution: Candidate A accepts an executive sponsor gig for a VSOC implementation team in OMP (70%), engages in bi-weekly executive mentoring (20%), and completes the ISO/SAE 21434 Executive Governance curriculum in LMS (10%).</w:t>
      </w:r>
    </w:p>
    <w:p>
      <w:pPr>
        <w:pStyle w:val="ListNumber"/>
      </w:pPr>
      <w:r>
        <w:t>Tracking &amp; Transition: Progress is logged via CPM and reviewed quarterly in Presentations. At 14 months, Candidate A’s readiness updates to Ready Now, enabling a seamless executive transition.</w:t>
      </w:r>
    </w:p>
    <w:p>
      <w:pPr>
        <w:pStyle w:val="Heading2"/>
      </w:pPr>
      <w:r>
        <w:t>Scenario B: Technical Reskilling Pipeline for Automotive Cybersecurity Architects</w:t>
      </w:r>
    </w:p>
    <w:p>
      <w:pPr>
        <w:pStyle w:val="ListBullet"/>
      </w:pPr>
      <w:r>
        <w:t>Context &amp; Business Impact: Mandatory UNECE R155 compliance requires reskilling 150 Powertrain Hardware Engineers into certified Automotive Cybersecurity Architects within 12 months. Failure to achieve compliance risks losing vehicle type-approval, halting vehicle sales across 54 UNECE member nations, and breaching Tier-1 Cybersecurity Interface Agreements (CIAs).</w:t>
      </w:r>
    </w:p>
    <w:p>
      <w:pPr>
        <w:pStyle w:val="ListBullet"/>
      </w:pPr>
      <w:r>
        <w:t>SuccessFactors Execution Steps:</w:t>
      </w:r>
    </w:p>
    <w:p>
      <w:pPr>
        <w:pStyle w:val="ListNumber"/>
      </w:pPr>
      <w:r>
        <w:t>Taxonomy Setup: HR configures the attribute Automotive Threat Analysis and Risk Assessment (TARA) in TIH, tagged with Mandatory Compliance, Standard:ISO21434, and Domain:Cybersecurity.</w:t>
      </w:r>
    </w:p>
    <w:p>
      <w:pPr>
        <w:pStyle w:val="ListNumber"/>
      </w:pPr>
      <w:r>
        <w:t>AI Skill Extraction: Engineers upload updated resumes to the Growth Portfolio, where AI parses engineering history and flags unvalidated skill levels.</w:t>
      </w:r>
    </w:p>
    <w:p>
      <w:pPr>
        <w:pStyle w:val="ListNumber"/>
      </w:pPr>
      <w:r>
        <w:t>Talent Pool Assembly: HR creates a functional Talent Pool in S&amp;D titled "Cybersecurity Reskilling Pipeline", incorporating global assignees and inactive users.</w:t>
      </w:r>
    </w:p>
    <w:p>
      <w:pPr>
        <w:pStyle w:val="ListNumber"/>
      </w:pPr>
      <w:r>
        <w:t>Experiential Matching: Engineers join live TARA evaluation project gigs in OMP focused on TCUs and EVSE charging communication interfaces.</w:t>
      </w:r>
    </w:p>
    <w:p>
      <w:pPr>
        <w:pStyle w:val="ListNumber"/>
      </w:pPr>
      <w:r>
        <w:t>Joule Tracking: Leadership issues Joule queries ("Show percentage of engineers in Cybersecurity Pipeline reaching Level 3 TARA proficiency") to track velocity. The pipeline achieves an 88% qualification rate within 10 months, securing audit compliance.</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vAlign w:val="center"/>
            <w:shd w:fill="17365D"/>
          </w:tcPr>
          <w:p>
            <w:pPr>
              <w:spacing w:after="40"/>
            </w:pPr>
            <w:r/>
            <w:r>
              <w:rPr>
                <w:rFonts w:ascii="Aptos" w:hAnsi="Aptos"/>
                <w:b/>
                <w:color w:val="FFFFFF"/>
                <w:sz w:val="16"/>
              </w:rPr>
              <w:t>Implementation Dimension</w:t>
            </w:r>
          </w:p>
        </w:tc>
        <w:tc>
          <w:tcPr>
            <w:tcW w:type="dxa" w:w="3312"/>
            <w:vAlign w:val="center"/>
            <w:shd w:fill="17365D"/>
          </w:tcPr>
          <w:p>
            <w:pPr>
              <w:spacing w:after="40"/>
            </w:pPr>
            <w:r/>
            <w:r>
              <w:rPr>
                <w:rFonts w:ascii="Aptos" w:hAnsi="Aptos"/>
                <w:b/>
                <w:color w:val="FFFFFF"/>
                <w:sz w:val="16"/>
              </w:rPr>
              <w:t>Scenario A: Executive CSO Succession</w:t>
            </w:r>
          </w:p>
        </w:tc>
        <w:tc>
          <w:tcPr>
            <w:tcW w:type="dxa" w:w="3312"/>
            <w:vAlign w:val="center"/>
            <w:shd w:fill="17365D"/>
          </w:tcPr>
          <w:p>
            <w:pPr>
              <w:spacing w:after="40"/>
            </w:pPr>
            <w:r/>
            <w:r>
              <w:rPr>
                <w:rFonts w:ascii="Aptos" w:hAnsi="Aptos"/>
                <w:b/>
                <w:color w:val="FFFFFF"/>
                <w:sz w:val="16"/>
              </w:rPr>
              <w:t>Scenario B: Cybersecurity Reskilling Pipeline</w:t>
            </w:r>
          </w:p>
        </w:tc>
      </w:tr>
      <w:tr>
        <w:tc>
          <w:tcPr>
            <w:tcW w:type="dxa" w:w="3312"/>
            <w:vAlign w:val="center"/>
          </w:tcPr>
          <w:p>
            <w:pPr>
              <w:spacing w:after="40"/>
            </w:pPr>
            <w:r/>
            <w:r>
              <w:rPr>
                <w:rFonts w:ascii="Aptos" w:hAnsi="Aptos"/>
                <w:b w:val="0"/>
                <w:sz w:val="16"/>
              </w:rPr>
              <w:t>Primary Business Driver</w:t>
            </w:r>
          </w:p>
        </w:tc>
        <w:tc>
          <w:tcPr>
            <w:tcW w:type="dxa" w:w="3312"/>
            <w:vAlign w:val="center"/>
          </w:tcPr>
          <w:p>
            <w:pPr>
              <w:spacing w:after="40"/>
            </w:pPr>
            <w:r/>
            <w:r>
              <w:rPr>
                <w:rFonts w:ascii="Aptos" w:hAnsi="Aptos"/>
                <w:b w:val="0"/>
                <w:sz w:val="16"/>
              </w:rPr>
              <w:t>Executive retirement &amp; SDV platform transformation</w:t>
            </w:r>
          </w:p>
        </w:tc>
        <w:tc>
          <w:tcPr>
            <w:tcW w:type="dxa" w:w="3312"/>
            <w:vAlign w:val="center"/>
          </w:tcPr>
          <w:p>
            <w:pPr>
              <w:spacing w:after="40"/>
            </w:pPr>
            <w:r/>
            <w:r>
              <w:rPr>
                <w:rFonts w:ascii="Aptos" w:hAnsi="Aptos"/>
                <w:b w:val="0"/>
                <w:sz w:val="16"/>
              </w:rPr>
              <w:t>UNECE R155 compliance &amp; ISO 21434 audit readiness</w:t>
            </w:r>
          </w:p>
        </w:tc>
      </w:tr>
      <w:tr>
        <w:tc>
          <w:tcPr>
            <w:tcW w:type="dxa" w:w="3312"/>
            <w:vAlign w:val="center"/>
            <w:shd w:fill="EAF1F8"/>
          </w:tcPr>
          <w:p>
            <w:pPr>
              <w:spacing w:after="40"/>
            </w:pPr>
            <w:r/>
            <w:r>
              <w:rPr>
                <w:rFonts w:ascii="Aptos" w:hAnsi="Aptos"/>
                <w:b w:val="0"/>
                <w:sz w:val="16"/>
              </w:rPr>
              <w:t>Primary SuccessFactors Tooling</w:t>
            </w:r>
          </w:p>
        </w:tc>
        <w:tc>
          <w:tcPr>
            <w:tcW w:type="dxa" w:w="3312"/>
            <w:vAlign w:val="center"/>
            <w:shd w:fill="EAF1F8"/>
          </w:tcPr>
          <w:p>
            <w:pPr>
              <w:spacing w:after="40"/>
            </w:pPr>
            <w:r/>
            <w:r>
              <w:rPr>
                <w:rFonts w:ascii="Aptos" w:hAnsi="Aptos"/>
                <w:b w:val="0"/>
                <w:sz w:val="16"/>
              </w:rPr>
              <w:t>S&amp;D, Presentations, Career Worksheet, JPB</w:t>
            </w:r>
          </w:p>
        </w:tc>
        <w:tc>
          <w:tcPr>
            <w:tcW w:type="dxa" w:w="3312"/>
            <w:vAlign w:val="center"/>
            <w:shd w:fill="EAF1F8"/>
          </w:tcPr>
          <w:p>
            <w:pPr>
              <w:spacing w:after="40"/>
            </w:pPr>
            <w:r/>
            <w:r>
              <w:rPr>
                <w:rFonts w:ascii="Aptos" w:hAnsi="Aptos"/>
                <w:b w:val="0"/>
                <w:sz w:val="16"/>
              </w:rPr>
              <w:t>TIH Attributes Library, Growth Portfolio AI, OMP, LMS</w:t>
            </w:r>
          </w:p>
        </w:tc>
      </w:tr>
      <w:tr>
        <w:tc>
          <w:tcPr>
            <w:tcW w:type="dxa" w:w="3312"/>
            <w:vAlign w:val="center"/>
          </w:tcPr>
          <w:p>
            <w:pPr>
              <w:spacing w:after="40"/>
            </w:pPr>
            <w:r/>
            <w:r>
              <w:rPr>
                <w:rFonts w:ascii="Aptos" w:hAnsi="Aptos"/>
                <w:b w:val="0"/>
                <w:sz w:val="16"/>
              </w:rPr>
              <w:t>Target Population</w:t>
            </w:r>
          </w:p>
        </w:tc>
        <w:tc>
          <w:tcPr>
            <w:tcW w:type="dxa" w:w="3312"/>
            <w:vAlign w:val="center"/>
          </w:tcPr>
          <w:p>
            <w:pPr>
              <w:spacing w:after="40"/>
            </w:pPr>
            <w:r/>
            <w:r>
              <w:rPr>
                <w:rFonts w:ascii="Aptos" w:hAnsi="Aptos"/>
                <w:b w:val="0"/>
                <w:sz w:val="16"/>
              </w:rPr>
              <w:t>Single C-suite role; 3 direct candidate lines</w:t>
            </w:r>
          </w:p>
        </w:tc>
        <w:tc>
          <w:tcPr>
            <w:tcW w:type="dxa" w:w="3312"/>
            <w:vAlign w:val="center"/>
          </w:tcPr>
          <w:p>
            <w:pPr>
              <w:spacing w:after="40"/>
            </w:pPr>
            <w:r/>
            <w:r>
              <w:rPr>
                <w:rFonts w:ascii="Aptos" w:hAnsi="Aptos"/>
                <w:b w:val="0"/>
                <w:sz w:val="16"/>
              </w:rPr>
              <w:t>150 Powertrain Engineers (Cohort-based reskilling)</w:t>
            </w:r>
          </w:p>
        </w:tc>
      </w:tr>
      <w:tr>
        <w:tc>
          <w:tcPr>
            <w:tcW w:type="dxa" w:w="3312"/>
            <w:vAlign w:val="center"/>
            <w:shd w:fill="EAF1F8"/>
          </w:tcPr>
          <w:p>
            <w:pPr>
              <w:spacing w:after="40"/>
            </w:pPr>
            <w:r/>
            <w:r>
              <w:rPr>
                <w:rFonts w:ascii="Aptos" w:hAnsi="Aptos"/>
                <w:b w:val="0"/>
                <w:sz w:val="16"/>
              </w:rPr>
              <w:t>Key Metric / Output</w:t>
            </w:r>
          </w:p>
        </w:tc>
        <w:tc>
          <w:tcPr>
            <w:tcW w:type="dxa" w:w="3312"/>
            <w:vAlign w:val="center"/>
            <w:shd w:fill="EAF1F8"/>
          </w:tcPr>
          <w:p>
            <w:pPr>
              <w:spacing w:after="40"/>
            </w:pPr>
            <w:r/>
            <w:r>
              <w:rPr>
                <w:rFonts w:ascii="Aptos" w:hAnsi="Aptos"/>
                <w:b w:val="0"/>
                <w:sz w:val="16"/>
              </w:rPr>
              <w:t>Readiness horizon shift from 1–2 Years to Ready Now</w:t>
            </w:r>
          </w:p>
        </w:tc>
        <w:tc>
          <w:tcPr>
            <w:tcW w:type="dxa" w:w="3312"/>
            <w:vAlign w:val="center"/>
            <w:shd w:fill="EAF1F8"/>
          </w:tcPr>
          <w:p>
            <w:pPr>
              <w:spacing w:after="40"/>
            </w:pPr>
            <w:r/>
            <w:r>
              <w:rPr>
                <w:rFonts w:ascii="Aptos" w:hAnsi="Aptos"/>
                <w:b w:val="0"/>
                <w:sz w:val="16"/>
              </w:rPr>
              <w:t>88% of cohort achieving Level 3+ TARA proficiency</w:t>
            </w:r>
          </w:p>
        </w:tc>
      </w:tr>
      <w:tr>
        <w:tc>
          <w:tcPr>
            <w:tcW w:type="dxa" w:w="3312"/>
            <w:vAlign w:val="center"/>
          </w:tcPr>
          <w:p>
            <w:pPr>
              <w:spacing w:after="40"/>
            </w:pPr>
            <w:r/>
            <w:r>
              <w:rPr>
                <w:rFonts w:ascii="Aptos" w:hAnsi="Aptos"/>
                <w:b w:val="0"/>
                <w:sz w:val="16"/>
              </w:rPr>
              <w:t>Time Horizon</w:t>
            </w:r>
          </w:p>
        </w:tc>
        <w:tc>
          <w:tcPr>
            <w:tcW w:type="dxa" w:w="3312"/>
            <w:vAlign w:val="center"/>
          </w:tcPr>
          <w:p>
            <w:pPr>
              <w:spacing w:after="40"/>
            </w:pPr>
            <w:r/>
            <w:r>
              <w:rPr>
                <w:rFonts w:ascii="Aptos" w:hAnsi="Aptos"/>
                <w:b w:val="0"/>
                <w:sz w:val="16"/>
              </w:rPr>
              <w:t>12 to 18 Months</w:t>
            </w:r>
          </w:p>
        </w:tc>
        <w:tc>
          <w:tcPr>
            <w:tcW w:type="dxa" w:w="3312"/>
            <w:vAlign w:val="center"/>
          </w:tcPr>
          <w:p>
            <w:pPr>
              <w:spacing w:after="40"/>
            </w:pPr>
            <w:r/>
            <w:r>
              <w:rPr>
                <w:rFonts w:ascii="Aptos" w:hAnsi="Aptos"/>
                <w:b w:val="0"/>
                <w:sz w:val="16"/>
              </w:rPr>
              <w:t>10 to 12 Months</w:t>
            </w:r>
          </w:p>
        </w:tc>
      </w:tr>
      <w:tr>
        <w:tc>
          <w:tcPr>
            <w:tcW w:type="dxa" w:w="3312"/>
            <w:vAlign w:val="center"/>
            <w:shd w:fill="EAF1F8"/>
          </w:tcPr>
          <w:p>
            <w:pPr>
              <w:spacing w:after="40"/>
            </w:pPr>
            <w:r/>
            <w:r>
              <w:rPr>
                <w:rFonts w:ascii="Aptos" w:hAnsi="Aptos"/>
                <w:b w:val="0"/>
                <w:sz w:val="16"/>
              </w:rPr>
              <w:t>Financial / Regulatory Impact</w:t>
            </w:r>
          </w:p>
        </w:tc>
        <w:tc>
          <w:tcPr>
            <w:tcW w:type="dxa" w:w="3312"/>
            <w:vAlign w:val="center"/>
            <w:shd w:fill="EAF1F8"/>
          </w:tcPr>
          <w:p>
            <w:pPr>
              <w:spacing w:after="40"/>
            </w:pPr>
            <w:r/>
            <w:r>
              <w:rPr>
                <w:rFonts w:ascii="Aptos" w:hAnsi="Aptos"/>
                <w:b w:val="0"/>
                <w:sz w:val="16"/>
              </w:rPr>
              <w:t>$5M+ search fee saving; zero platform launch delay</w:t>
            </w:r>
          </w:p>
        </w:tc>
        <w:tc>
          <w:tcPr>
            <w:tcW w:type="dxa" w:w="3312"/>
            <w:vAlign w:val="center"/>
            <w:shd w:fill="EAF1F8"/>
          </w:tcPr>
          <w:p>
            <w:pPr>
              <w:spacing w:after="40"/>
            </w:pPr>
            <w:r/>
            <w:r>
              <w:rPr>
                <w:rFonts w:ascii="Aptos" w:hAnsi="Aptos"/>
                <w:b w:val="0"/>
                <w:sz w:val="16"/>
              </w:rPr>
              <w:t>Vehicle type-approval secured; CIA supplier compliance</w:t>
            </w:r>
          </w:p>
        </w:tc>
      </w:tr>
    </w:tbl>
    <w:p>
      <w:pPr>
        <w:spacing w:after="40"/>
      </w:pPr>
    </w:p>
    <w:p>
      <w:r>
        <w:t>Translating these case applications into sustainable enterprise practices requires robust organizational governance, administrative system setup, and clear operational analytics.</w:t>
      </w:r>
    </w:p>
    <w:p>
      <w:pPr>
        <w:pStyle w:val="Heading1"/>
      </w:pPr>
      <w:r>
        <w:t>7. Enterprise Governance, Operational Metrics &amp; Implementation Roadmap</w:t>
      </w:r>
    </w:p>
    <w:p>
      <w:r>
        <w:t>Sustaining long-term ROI from SAP SuccessFactors implementations mandates a clear governance structure, explicit key performance indicators, and a structured implementation roadmap.</w:t>
      </w:r>
    </w:p>
    <w:p>
      <w:pPr>
        <w:pStyle w:val="Heading2"/>
      </w:pPr>
      <w:r>
        <w:t>Multi-Tier Governance Architecture</w:t>
      </w:r>
    </w:p>
    <w:p>
      <w:pPr>
        <w:pStyle w:val="ListNumber"/>
      </w:pPr>
      <w:r>
        <w:t>Executive HR Steering Committee: Composed of the CHRO and Business Unit Presidents; meets semi-annually to review executive bench strength, approve 9-Box distributions across critical positions, and sign off on key successor nominations.</w:t>
      </w:r>
    </w:p>
    <w:p>
      <w:pPr>
        <w:pStyle w:val="ListNumber"/>
      </w:pPr>
      <w:r>
        <w:t>Skills Governance Council: Composed of Technical Fellows, Chief Engineers, and HR COE leads; meets quarterly to audit the TIH Attributes Library, validate AI-inferred skills, adjust proficiency scales, and align taxonomies with evolving automotive standards.</w:t>
      </w:r>
    </w:p>
    <w:p>
      <w:pPr>
        <w:pStyle w:val="ListNumber"/>
      </w:pPr>
      <w:r>
        <w:t>Business Unit Calibration Boards: Composed of BU Directors and HRBPs; meets annually to execute objective 9-Box calibrations using SuccessFactors Presentations.</w:t>
      </w:r>
    </w:p>
    <w:p>
      <w:pPr>
        <w:pStyle w:val="Heading2"/>
      </w:pPr>
      <w:r>
        <w:t>Strategic Analytics &amp; Quantitative KPI Formulas</w:t>
      </w:r>
    </w:p>
    <w:p>
      <w:pPr>
        <w:ind w:left="360"/>
      </w:pPr>
      <w:r>
        <w:rPr>
          <w:rFonts w:ascii="Cambria Math" w:hAnsi="Cambria Math"/>
          <w:b/>
          <w:sz w:val="20"/>
        </w:rPr>
        <w:t>Pipeline Bench Strength Ratio = ( \frac{Total Critical Positions with at least 1 "Ready Now" Successor{Total Identified Critical Positions ) \times 100</w:t>
      </w:r>
    </w:p>
    <w:p>
      <w:pPr>
        <w:ind w:left="360"/>
      </w:pPr>
      <w:r>
        <w:rPr>
          <w:rFonts w:ascii="Cambria Math" w:hAnsi="Cambria Math"/>
          <w:b/>
          <w:sz w:val="20"/>
        </w:rPr>
        <w:t>Skill Gap Closure Velocity = \frac{\sum ( Target Proficiency Level - Initial Proficiency Level ){Time to Complete Development Plan (Months)</w:t>
      </w:r>
    </w:p>
    <w:p>
      <w:pPr>
        <w:ind w:left="360"/>
      </w:pPr>
      <w:r>
        <w:rPr>
          <w:rFonts w:ascii="Cambria Math" w:hAnsi="Cambria Math"/>
          <w:b/>
          <w:sz w:val="20"/>
        </w:rPr>
        <w:t>Internal Mobility Rate = ( \frac{Open Critical Roles Filled via Internal Succession / OMP{Total Requisitions Opened for Critical Roles ) \times 100</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vAlign w:val="center"/>
            <w:shd w:fill="17365D"/>
          </w:tcPr>
          <w:p>
            <w:pPr>
              <w:spacing w:after="40"/>
            </w:pPr>
            <w:r/>
            <w:r>
              <w:rPr>
                <w:rFonts w:ascii="Aptos" w:hAnsi="Aptos"/>
                <w:b/>
                <w:color w:val="FFFFFF"/>
                <w:sz w:val="16"/>
              </w:rPr>
              <w:t>Governance Metric</w:t>
            </w:r>
          </w:p>
        </w:tc>
        <w:tc>
          <w:tcPr>
            <w:tcW w:type="dxa" w:w="2484"/>
            <w:vAlign w:val="center"/>
            <w:shd w:fill="17365D"/>
          </w:tcPr>
          <w:p>
            <w:pPr>
              <w:spacing w:after="40"/>
            </w:pPr>
            <w:r/>
            <w:r>
              <w:rPr>
                <w:rFonts w:ascii="Aptos" w:hAnsi="Aptos"/>
                <w:b/>
                <w:color w:val="FFFFFF"/>
                <w:sz w:val="16"/>
              </w:rPr>
              <w:t>Target Benchmark</w:t>
            </w:r>
          </w:p>
        </w:tc>
        <w:tc>
          <w:tcPr>
            <w:tcW w:type="dxa" w:w="2484"/>
            <w:vAlign w:val="center"/>
            <w:shd w:fill="17365D"/>
          </w:tcPr>
          <w:p>
            <w:pPr>
              <w:spacing w:after="40"/>
            </w:pPr>
            <w:r/>
            <w:r>
              <w:rPr>
                <w:rFonts w:ascii="Aptos" w:hAnsi="Aptos"/>
                <w:b/>
                <w:color w:val="FFFFFF"/>
                <w:sz w:val="16"/>
              </w:rPr>
              <w:t>Sourcing SuccessFactors Analytics Module</w:t>
            </w:r>
          </w:p>
        </w:tc>
        <w:tc>
          <w:tcPr>
            <w:tcW w:type="dxa" w:w="2484"/>
            <w:vAlign w:val="center"/>
            <w:shd w:fill="17365D"/>
          </w:tcPr>
          <w:p>
            <w:pPr>
              <w:spacing w:after="40"/>
            </w:pPr>
            <w:r/>
            <w:r>
              <w:rPr>
                <w:rFonts w:ascii="Aptos" w:hAnsi="Aptos"/>
                <w:b/>
                <w:color w:val="FFFFFF"/>
                <w:sz w:val="16"/>
              </w:rPr>
              <w:t>Strategic Impact / Risk Mitigation</w:t>
            </w:r>
          </w:p>
        </w:tc>
      </w:tr>
      <w:tr>
        <w:tc>
          <w:tcPr>
            <w:tcW w:type="dxa" w:w="2484"/>
            <w:vAlign w:val="center"/>
          </w:tcPr>
          <w:p>
            <w:pPr>
              <w:spacing w:after="40"/>
            </w:pPr>
            <w:r/>
            <w:r>
              <w:rPr>
                <w:rFonts w:ascii="Aptos" w:hAnsi="Aptos"/>
                <w:b w:val="0"/>
                <w:sz w:val="16"/>
              </w:rPr>
              <w:t>Pipeline Bench Strength Ratio</w:t>
            </w:r>
          </w:p>
        </w:tc>
        <w:tc>
          <w:tcPr>
            <w:tcW w:type="dxa" w:w="2484"/>
            <w:vAlign w:val="center"/>
          </w:tcPr>
          <w:p>
            <w:pPr>
              <w:spacing w:after="40"/>
            </w:pPr>
            <w:r/>
            <w:r>
              <w:rPr>
                <w:rFonts w:ascii="Aptos" w:hAnsi="Aptos"/>
                <w:b w:val="0"/>
                <w:sz w:val="16"/>
              </w:rPr>
              <w:t>\ge 85\%</w:t>
            </w:r>
          </w:p>
        </w:tc>
        <w:tc>
          <w:tcPr>
            <w:tcW w:type="dxa" w:w="2484"/>
            <w:vAlign w:val="center"/>
          </w:tcPr>
          <w:p>
            <w:pPr>
              <w:spacing w:after="40"/>
            </w:pPr>
            <w:r/>
            <w:r>
              <w:rPr>
                <w:rFonts w:ascii="Aptos" w:hAnsi="Aptos"/>
                <w:b w:val="0"/>
                <w:sz w:val="16"/>
              </w:rPr>
              <w:t>S&amp;D Position Tile Analytics</w:t>
            </w:r>
          </w:p>
        </w:tc>
        <w:tc>
          <w:tcPr>
            <w:tcW w:type="dxa" w:w="2484"/>
            <w:vAlign w:val="center"/>
          </w:tcPr>
          <w:p>
            <w:pPr>
              <w:spacing w:after="40"/>
            </w:pPr>
            <w:r/>
            <w:r>
              <w:rPr>
                <w:rFonts w:ascii="Aptos" w:hAnsi="Aptos"/>
                <w:b w:val="0"/>
                <w:sz w:val="16"/>
              </w:rPr>
              <w:t>Mitigates executive operational disruption upon sudden exit</w:t>
            </w:r>
          </w:p>
        </w:tc>
      </w:tr>
      <w:tr>
        <w:tc>
          <w:tcPr>
            <w:tcW w:type="dxa" w:w="2484"/>
            <w:vAlign w:val="center"/>
            <w:shd w:fill="EAF1F8"/>
          </w:tcPr>
          <w:p>
            <w:pPr>
              <w:spacing w:after="40"/>
            </w:pPr>
            <w:r/>
            <w:r>
              <w:rPr>
                <w:rFonts w:ascii="Aptos" w:hAnsi="Aptos"/>
                <w:b w:val="0"/>
                <w:sz w:val="16"/>
              </w:rPr>
              <w:t>Ready Now Coverage Ratio</w:t>
            </w:r>
          </w:p>
        </w:tc>
        <w:tc>
          <w:tcPr>
            <w:tcW w:type="dxa" w:w="2484"/>
            <w:vAlign w:val="center"/>
            <w:shd w:fill="EAF1F8"/>
          </w:tcPr>
          <w:p>
            <w:pPr>
              <w:spacing w:after="40"/>
            </w:pPr>
            <w:r/>
            <w:r>
              <w:rPr>
                <w:rFonts w:ascii="Aptos" w:hAnsi="Aptos"/>
                <w:b w:val="0"/>
                <w:sz w:val="16"/>
              </w:rPr>
              <w:t>\ge 2 Successors per Key Role</w:t>
            </w:r>
          </w:p>
        </w:tc>
        <w:tc>
          <w:tcPr>
            <w:tcW w:type="dxa" w:w="2484"/>
            <w:vAlign w:val="center"/>
            <w:shd w:fill="EAF1F8"/>
          </w:tcPr>
          <w:p>
            <w:pPr>
              <w:spacing w:after="40"/>
            </w:pPr>
            <w:r/>
            <w:r>
              <w:rPr>
                <w:rFonts w:ascii="Aptos" w:hAnsi="Aptos"/>
                <w:b w:val="0"/>
                <w:sz w:val="16"/>
              </w:rPr>
              <w:t>S&amp;D Nominations Report</w:t>
            </w:r>
          </w:p>
        </w:tc>
        <w:tc>
          <w:tcPr>
            <w:tcW w:type="dxa" w:w="2484"/>
            <w:vAlign w:val="center"/>
            <w:shd w:fill="EAF1F8"/>
          </w:tcPr>
          <w:p>
            <w:pPr>
              <w:spacing w:after="40"/>
            </w:pPr>
            <w:r/>
            <w:r>
              <w:rPr>
                <w:rFonts w:ascii="Aptos" w:hAnsi="Aptos"/>
                <w:b w:val="0"/>
                <w:sz w:val="16"/>
              </w:rPr>
              <w:t>Prevents single-point-of-failure exposure in critical domains</w:t>
            </w:r>
          </w:p>
        </w:tc>
      </w:tr>
      <w:tr>
        <w:tc>
          <w:tcPr>
            <w:tcW w:type="dxa" w:w="2484"/>
            <w:vAlign w:val="center"/>
          </w:tcPr>
          <w:p>
            <w:pPr>
              <w:spacing w:after="40"/>
            </w:pPr>
            <w:r/>
            <w:r>
              <w:rPr>
                <w:rFonts w:ascii="Aptos" w:hAnsi="Aptos"/>
                <w:b w:val="0"/>
                <w:sz w:val="16"/>
              </w:rPr>
              <w:t>Skill Gap Closure Velocity</w:t>
            </w:r>
          </w:p>
        </w:tc>
        <w:tc>
          <w:tcPr>
            <w:tcW w:type="dxa" w:w="2484"/>
            <w:vAlign w:val="center"/>
          </w:tcPr>
          <w:p>
            <w:pPr>
              <w:spacing w:after="40"/>
            </w:pPr>
            <w:r/>
            <w:r>
              <w:rPr>
                <w:rFonts w:ascii="Aptos" w:hAnsi="Aptos"/>
                <w:b w:val="0"/>
                <w:sz w:val="16"/>
              </w:rPr>
              <w:t>&lt; 9 Months per Proficiency Level</w:t>
            </w:r>
          </w:p>
        </w:tc>
        <w:tc>
          <w:tcPr>
            <w:tcW w:type="dxa" w:w="2484"/>
            <w:vAlign w:val="center"/>
          </w:tcPr>
          <w:p>
            <w:pPr>
              <w:spacing w:after="40"/>
            </w:pPr>
            <w:r/>
            <w:r>
              <w:rPr>
                <w:rFonts w:ascii="Aptos" w:hAnsi="Aptos"/>
                <w:b w:val="0"/>
                <w:sz w:val="16"/>
              </w:rPr>
              <w:t>TIH Growth Portfolio Analytics</w:t>
            </w:r>
          </w:p>
        </w:tc>
        <w:tc>
          <w:tcPr>
            <w:tcW w:type="dxa" w:w="2484"/>
            <w:vAlign w:val="center"/>
          </w:tcPr>
          <w:p>
            <w:pPr>
              <w:spacing w:after="40"/>
            </w:pPr>
            <w:r/>
            <w:r>
              <w:rPr>
                <w:rFonts w:ascii="Aptos" w:hAnsi="Aptos"/>
                <w:b w:val="0"/>
                <w:sz w:val="16"/>
              </w:rPr>
              <w:t>Accelerates reskilling cycles for ISO/UNECE regulatory compliance</w:t>
            </w:r>
          </w:p>
        </w:tc>
      </w:tr>
      <w:tr>
        <w:tc>
          <w:tcPr>
            <w:tcW w:type="dxa" w:w="2484"/>
            <w:vAlign w:val="center"/>
            <w:shd w:fill="EAF1F8"/>
          </w:tcPr>
          <w:p>
            <w:pPr>
              <w:spacing w:after="40"/>
            </w:pPr>
            <w:r/>
            <w:r>
              <w:rPr>
                <w:rFonts w:ascii="Aptos" w:hAnsi="Aptos"/>
                <w:b w:val="0"/>
                <w:sz w:val="16"/>
              </w:rPr>
              <w:t>9-Box Grid Movement Velocity</w:t>
            </w:r>
          </w:p>
        </w:tc>
        <w:tc>
          <w:tcPr>
            <w:tcW w:type="dxa" w:w="2484"/>
            <w:vAlign w:val="center"/>
            <w:shd w:fill="EAF1F8"/>
          </w:tcPr>
          <w:p>
            <w:pPr>
              <w:spacing w:after="40"/>
            </w:pPr>
            <w:r/>
            <w:r>
              <w:rPr>
                <w:rFonts w:ascii="Aptos" w:hAnsi="Aptos"/>
                <w:b w:val="0"/>
                <w:sz w:val="16"/>
              </w:rPr>
              <w:t>20\% Annual Upward Shift</w:t>
            </w:r>
          </w:p>
        </w:tc>
        <w:tc>
          <w:tcPr>
            <w:tcW w:type="dxa" w:w="2484"/>
            <w:vAlign w:val="center"/>
            <w:shd w:fill="EAF1F8"/>
          </w:tcPr>
          <w:p>
            <w:pPr>
              <w:spacing w:after="40"/>
            </w:pPr>
            <w:r/>
            <w:r>
              <w:rPr>
                <w:rFonts w:ascii="Aptos" w:hAnsi="Aptos"/>
                <w:b w:val="0"/>
                <w:sz w:val="16"/>
              </w:rPr>
              <w:t>S&amp;D Matrix Grid Trend Reporting</w:t>
            </w:r>
          </w:p>
        </w:tc>
        <w:tc>
          <w:tcPr>
            <w:tcW w:type="dxa" w:w="2484"/>
            <w:vAlign w:val="center"/>
            <w:shd w:fill="EAF1F8"/>
          </w:tcPr>
          <w:p>
            <w:pPr>
              <w:spacing w:after="40"/>
            </w:pPr>
            <w:r/>
            <w:r>
              <w:rPr>
                <w:rFonts w:ascii="Aptos" w:hAnsi="Aptos"/>
                <w:b w:val="0"/>
                <w:sz w:val="16"/>
              </w:rPr>
              <w:t>Validates ROI on Experiential Gigs and LMS investments</w:t>
            </w:r>
          </w:p>
        </w:tc>
      </w:tr>
      <w:tr>
        <w:tc>
          <w:tcPr>
            <w:tcW w:type="dxa" w:w="2484"/>
            <w:vAlign w:val="center"/>
          </w:tcPr>
          <w:p>
            <w:pPr>
              <w:spacing w:after="40"/>
            </w:pPr>
            <w:r/>
            <w:r>
              <w:rPr>
                <w:rFonts w:ascii="Aptos" w:hAnsi="Aptos"/>
                <w:b w:val="0"/>
                <w:sz w:val="16"/>
              </w:rPr>
              <w:t>Succession Pipeline Retention</w:t>
            </w:r>
          </w:p>
        </w:tc>
        <w:tc>
          <w:tcPr>
            <w:tcW w:type="dxa" w:w="2484"/>
            <w:vAlign w:val="center"/>
          </w:tcPr>
          <w:p>
            <w:pPr>
              <w:spacing w:after="40"/>
            </w:pPr>
            <w:r/>
            <w:r>
              <w:rPr>
                <w:rFonts w:ascii="Aptos" w:hAnsi="Aptos"/>
                <w:b w:val="0"/>
                <w:sz w:val="16"/>
              </w:rPr>
              <w:t>\ge 92\% Retention of Top Talent</w:t>
            </w:r>
          </w:p>
        </w:tc>
        <w:tc>
          <w:tcPr>
            <w:tcW w:type="dxa" w:w="2484"/>
            <w:vAlign w:val="center"/>
          </w:tcPr>
          <w:p>
            <w:pPr>
              <w:spacing w:after="40"/>
            </w:pPr>
            <w:r/>
            <w:r>
              <w:rPr>
                <w:rFonts w:ascii="Aptos" w:hAnsi="Aptos"/>
                <w:b w:val="0"/>
                <w:sz w:val="16"/>
              </w:rPr>
              <w:t>PMGM / Turnover Analytics Integration</w:t>
            </w:r>
          </w:p>
        </w:tc>
        <w:tc>
          <w:tcPr>
            <w:tcW w:type="dxa" w:w="2484"/>
            <w:vAlign w:val="center"/>
          </w:tcPr>
          <w:p>
            <w:pPr>
              <w:spacing w:after="40"/>
            </w:pPr>
            <w:r/>
            <w:r>
              <w:rPr>
                <w:rFonts w:ascii="Aptos" w:hAnsi="Aptos"/>
                <w:b w:val="0"/>
                <w:sz w:val="16"/>
              </w:rPr>
              <w:t>Protects core intellectual property and engineering capital</w:t>
            </w:r>
          </w:p>
        </w:tc>
      </w:tr>
    </w:tbl>
    <w:p>
      <w:pPr>
        <w:spacing w:after="40"/>
      </w:pPr>
    </w:p>
    <w:p>
      <w:pPr>
        <w:pStyle w:val="Heading2"/>
      </w:pPr>
      <w:r>
        <w:t>Phased 12-Month Rollout Roadmap</w:t>
      </w:r>
    </w:p>
    <w:p>
      <w:r>
        <w:t>|               PHASE 1: FOUNDATION &amp; TAXONOMY STANDARDIZATION (MONTHS 1-4)         |</w:t>
      </w:r>
    </w:p>
    <w:p>
      <w:r>
        <w:t>|  - Enable Talent Intelligence Hub (TIH) &amp; Establish Attributes Library            |</w:t>
      </w:r>
    </w:p>
    <w:p>
      <w:r>
        <w:t>|  - Map JPB Roles 1:1 with Employee Central Positions (Job-Level Mapping)          |</w:t>
      </w:r>
    </w:p>
    <w:p>
      <w:r>
        <w:t>|  - Deploy Growth Portfolio (View-Only) &amp; Launch Continuous Feedback               |</w:t>
      </w:r>
    </w:p>
    <w:p>
      <w:r>
        <w:t>|        PHASE 2: SUCCESSION ARCHITECTURE &amp; CALIBRATION HARMONIZATION (MONTHS 5-8)  |</w:t>
      </w:r>
    </w:p>
    <w:p>
      <w:r>
        <w:t>|  - Enable Matrix Grid Reports &amp; Align Rating Scale Mappings                       |</w:t>
      </w:r>
    </w:p>
    <w:p>
      <w:r>
        <w:t>|  - Synchronize Talent Reviews, People Profile, &amp; Talent Card mini-matrices        |</w:t>
      </w:r>
    </w:p>
    <w:p>
      <w:r>
        <w:t>|  - Deploy MDF Business Rules for Rating Justifications &amp; Text Length Rules       |</w:t>
      </w:r>
    </w:p>
    <w:p>
      <w:r>
        <w:t>|          PHASE 3: EXPERIENTIAL DEVELOPMENT &amp; AI OPTIMIZATION (MONTHS 9-12)        |</w:t>
      </w:r>
    </w:p>
    <w:p>
      <w:r>
        <w:t>|  - Activate Opportunity Marketplace (OMP), Career Explorer, &amp; Dynamic Teams       |</w:t>
      </w:r>
    </w:p>
    <w:p>
      <w:r>
        <w:t>|  - Enable CPM Activities/Achievements &amp; Moderated Growth Portfolio Self-Edits     |</w:t>
      </w:r>
    </w:p>
    <w:p>
      <w:r>
        <w:t>|  - Connect LMS Learning Paths &amp; Deploy SAP Joule Prompts Across Suite             |</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vAlign w:val="center"/>
            <w:shd w:fill="17365D"/>
          </w:tcPr>
          <w:p>
            <w:pPr>
              <w:spacing w:after="40"/>
            </w:pPr>
            <w:r/>
            <w:r>
              <w:rPr>
                <w:rFonts w:ascii="Aptos" w:hAnsi="Aptos"/>
                <w:b/>
                <w:color w:val="FFFFFF"/>
                <w:sz w:val="16"/>
              </w:rPr>
              <w:t>Phase</w:t>
            </w:r>
          </w:p>
        </w:tc>
        <w:tc>
          <w:tcPr>
            <w:tcW w:type="dxa" w:w="2484"/>
            <w:vAlign w:val="center"/>
            <w:shd w:fill="17365D"/>
          </w:tcPr>
          <w:p>
            <w:pPr>
              <w:spacing w:after="40"/>
            </w:pPr>
            <w:r/>
            <w:r>
              <w:rPr>
                <w:rFonts w:ascii="Aptos" w:hAnsi="Aptos"/>
                <w:b/>
                <w:color w:val="FFFFFF"/>
                <w:sz w:val="16"/>
              </w:rPr>
              <w:t>Timeframe</w:t>
            </w:r>
          </w:p>
        </w:tc>
        <w:tc>
          <w:tcPr>
            <w:tcW w:type="dxa" w:w="2484"/>
            <w:vAlign w:val="center"/>
            <w:shd w:fill="17365D"/>
          </w:tcPr>
          <w:p>
            <w:pPr>
              <w:spacing w:after="40"/>
            </w:pPr>
            <w:r/>
            <w:r>
              <w:rPr>
                <w:rFonts w:ascii="Aptos" w:hAnsi="Aptos"/>
                <w:b/>
                <w:color w:val="FFFFFF"/>
                <w:sz w:val="16"/>
              </w:rPr>
              <w:t>Core System Deliverables</w:t>
            </w:r>
          </w:p>
        </w:tc>
        <w:tc>
          <w:tcPr>
            <w:tcW w:type="dxa" w:w="2484"/>
            <w:vAlign w:val="center"/>
            <w:shd w:fill="17365D"/>
          </w:tcPr>
          <w:p>
            <w:pPr>
              <w:spacing w:after="40"/>
            </w:pPr>
            <w:r/>
            <w:r>
              <w:rPr>
                <w:rFonts w:ascii="Aptos" w:hAnsi="Aptos"/>
                <w:b/>
                <w:color w:val="FFFFFF"/>
                <w:sz w:val="16"/>
              </w:rPr>
              <w:t>Governance &amp; Activation Focus</w:t>
            </w:r>
          </w:p>
        </w:tc>
      </w:tr>
      <w:tr>
        <w:tc>
          <w:tcPr>
            <w:tcW w:type="dxa" w:w="2484"/>
            <w:vAlign w:val="center"/>
          </w:tcPr>
          <w:p>
            <w:pPr>
              <w:spacing w:after="40"/>
            </w:pPr>
            <w:r/>
            <w:r>
              <w:rPr>
                <w:rFonts w:ascii="Aptos" w:hAnsi="Aptos"/>
                <w:b w:val="0"/>
                <w:sz w:val="16"/>
              </w:rPr>
              <w:t>Phase 1: Foundation &amp; Taxonomy Standardization</w:t>
            </w:r>
          </w:p>
        </w:tc>
        <w:tc>
          <w:tcPr>
            <w:tcW w:type="dxa" w:w="2484"/>
            <w:vAlign w:val="center"/>
          </w:tcPr>
          <w:p>
            <w:pPr>
              <w:spacing w:after="40"/>
            </w:pPr>
            <w:r/>
            <w:r>
              <w:rPr>
                <w:rFonts w:ascii="Aptos" w:hAnsi="Aptos"/>
                <w:b w:val="0"/>
                <w:sz w:val="16"/>
              </w:rPr>
              <w:t>Months 1–4</w:t>
            </w:r>
          </w:p>
        </w:tc>
        <w:tc>
          <w:tcPr>
            <w:tcW w:type="dxa" w:w="2484"/>
            <w:vAlign w:val="center"/>
          </w:tcPr>
          <w:p>
            <w:pPr>
              <w:spacing w:after="40"/>
            </w:pPr>
            <w:r/>
            <w:r>
              <w:rPr>
                <w:rFonts w:ascii="Aptos" w:hAnsi="Aptos"/>
                <w:b w:val="0"/>
                <w:sz w:val="16"/>
              </w:rPr>
              <w:t>TIH Attributes Library, JPB Job-Level Mapping, View-Only Growth Portfolio, PMGM Core Reviews.</w:t>
            </w:r>
          </w:p>
        </w:tc>
        <w:tc>
          <w:tcPr>
            <w:tcW w:type="dxa" w:w="2484"/>
            <w:vAlign w:val="center"/>
          </w:tcPr>
          <w:p>
            <w:pPr>
              <w:spacing w:after="40"/>
            </w:pPr>
            <w:r/>
            <w:r>
              <w:rPr>
                <w:rFonts w:ascii="Aptos" w:hAnsi="Aptos"/>
                <w:b w:val="0"/>
                <w:sz w:val="16"/>
              </w:rPr>
              <w:t>Establish Skills Governance Council; activate Continuous Feedback; enforce baseline skill taxonomies.</w:t>
            </w:r>
          </w:p>
        </w:tc>
      </w:tr>
      <w:tr>
        <w:tc>
          <w:tcPr>
            <w:tcW w:type="dxa" w:w="2484"/>
            <w:vAlign w:val="center"/>
            <w:shd w:fill="EAF1F8"/>
          </w:tcPr>
          <w:p>
            <w:pPr>
              <w:spacing w:after="40"/>
            </w:pPr>
            <w:r/>
            <w:r>
              <w:rPr>
                <w:rFonts w:ascii="Aptos" w:hAnsi="Aptos"/>
                <w:b w:val="0"/>
                <w:sz w:val="16"/>
              </w:rPr>
              <w:t>Phase 2: Succession Architecture &amp; Calibration</w:t>
            </w:r>
          </w:p>
        </w:tc>
        <w:tc>
          <w:tcPr>
            <w:tcW w:type="dxa" w:w="2484"/>
            <w:vAlign w:val="center"/>
            <w:shd w:fill="EAF1F8"/>
          </w:tcPr>
          <w:p>
            <w:pPr>
              <w:spacing w:after="40"/>
            </w:pPr>
            <w:r/>
            <w:r>
              <w:rPr>
                <w:rFonts w:ascii="Aptos" w:hAnsi="Aptos"/>
                <w:b w:val="0"/>
                <w:sz w:val="16"/>
              </w:rPr>
              <w:t>Months 5–8</w:t>
            </w:r>
          </w:p>
        </w:tc>
        <w:tc>
          <w:tcPr>
            <w:tcW w:type="dxa" w:w="2484"/>
            <w:vAlign w:val="center"/>
            <w:shd w:fill="EAF1F8"/>
          </w:tcPr>
          <w:p>
            <w:pPr>
              <w:spacing w:after="40"/>
            </w:pPr>
            <w:r/>
            <w:r>
              <w:rPr>
                <w:rFonts w:ascii="Aptos" w:hAnsi="Aptos"/>
                <w:b w:val="0"/>
                <w:sz w:val="16"/>
              </w:rPr>
              <w:t>S&amp;D Matrix Grid Reports, Presentations Module, Rating Synchronization, MDF Business Rules.</w:t>
            </w:r>
          </w:p>
        </w:tc>
        <w:tc>
          <w:tcPr>
            <w:tcW w:type="dxa" w:w="2484"/>
            <w:vAlign w:val="center"/>
            <w:shd w:fill="EAF1F8"/>
          </w:tcPr>
          <w:p>
            <w:pPr>
              <w:spacing w:after="40"/>
            </w:pPr>
            <w:r/>
            <w:r>
              <w:rPr>
                <w:rFonts w:ascii="Aptos" w:hAnsi="Aptos"/>
                <w:b w:val="0"/>
                <w:sz w:val="16"/>
              </w:rPr>
              <w:t>Executive Calibration Boards; 3-year sustained performance mapping; rating synchronization fixes.</w:t>
            </w:r>
          </w:p>
        </w:tc>
      </w:tr>
      <w:tr>
        <w:tc>
          <w:tcPr>
            <w:tcW w:type="dxa" w:w="2484"/>
            <w:vAlign w:val="center"/>
          </w:tcPr>
          <w:p>
            <w:pPr>
              <w:spacing w:after="40"/>
            </w:pPr>
            <w:r/>
            <w:r>
              <w:rPr>
                <w:rFonts w:ascii="Aptos" w:hAnsi="Aptos"/>
                <w:b w:val="0"/>
                <w:sz w:val="16"/>
              </w:rPr>
              <w:t>Phase 3: Experiential Development &amp; AI Optimization</w:t>
            </w:r>
          </w:p>
        </w:tc>
        <w:tc>
          <w:tcPr>
            <w:tcW w:type="dxa" w:w="2484"/>
            <w:vAlign w:val="center"/>
          </w:tcPr>
          <w:p>
            <w:pPr>
              <w:spacing w:after="40"/>
            </w:pPr>
            <w:r/>
            <w:r>
              <w:rPr>
                <w:rFonts w:ascii="Aptos" w:hAnsi="Aptos"/>
                <w:b w:val="0"/>
                <w:sz w:val="16"/>
              </w:rPr>
              <w:t>Months 9–12</w:t>
            </w:r>
          </w:p>
        </w:tc>
        <w:tc>
          <w:tcPr>
            <w:tcW w:type="dxa" w:w="2484"/>
            <w:vAlign w:val="center"/>
          </w:tcPr>
          <w:p>
            <w:pPr>
              <w:spacing w:after="40"/>
            </w:pPr>
            <w:r/>
            <w:r>
              <w:rPr>
                <w:rFonts w:ascii="Aptos" w:hAnsi="Aptos"/>
                <w:b w:val="0"/>
                <w:sz w:val="16"/>
              </w:rPr>
              <w:t>Opportunity Marketplace, Career Explorer, Dynamic Teams, CPM Activities/Achievements, Joule.</w:t>
            </w:r>
          </w:p>
        </w:tc>
        <w:tc>
          <w:tcPr>
            <w:tcW w:type="dxa" w:w="2484"/>
            <w:vAlign w:val="center"/>
          </w:tcPr>
          <w:p>
            <w:pPr>
              <w:spacing w:after="40"/>
            </w:pPr>
            <w:r/>
            <w:r>
              <w:rPr>
                <w:rFonts w:ascii="Aptos" w:hAnsi="Aptos"/>
                <w:b w:val="0"/>
                <w:sz w:val="16"/>
              </w:rPr>
              <w:t>Phased activation of dynamic teams, moderated portfolio edits, algorithmic mentoring, and Joule queries.</w:t>
            </w:r>
          </w:p>
        </w:tc>
      </w:tr>
    </w:tbl>
    <w:p>
      <w:pPr>
        <w:spacing w:after="40"/>
      </w:pPr>
    </w:p>
    <w:p>
      <w:r>
        <w:t>Implementing this integrated framework transforms human capital management from a reactive administrative function into an agile enterprise architectural capability. Leveraging the SAP SuccessFactors HXM suite allows automotive organizations to systematically close critical technical skill gaps, maintain robust leadership succession pipelines, and secure a sustainable competitive advantage in the evolving landscape of electrified, software-defined mobility.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SAP SuccessFactors Blueprint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ENTERPRISE TALENT DEVELOPMENT | AUTOMOTIVE SECTOR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78A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878A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