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B365D"/>
          <w:sz w:val="48"/>
        </w:rPr>
        <w:t>US Payroll Fundamentals — Federal &amp; State Taxes</w:t>
      </w:r>
    </w:p>
    <w:p>
      <w:pPr>
        <w:spacing w:after="360"/>
      </w:pPr>
      <w:r>
        <w:rPr>
          <w:i/>
          <w:color w:val="5C768D"/>
          <w:sz w:val="26"/>
        </w:rPr>
        <w:t>Executive Guidance &amp; Compliance Note</w:t>
      </w:r>
    </w:p>
    <w:p>
      <w:pPr>
        <w:spacing w:after="360"/>
        <w:pBdr>
          <w:bottom w:val="single" w:sz="12" w:space="1" w:color="1B365D"/>
        </w:pBdr>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80"/>
            </w:pPr>
            <w:r>
              <w:rPr>
                <w:b/>
                <w:color w:val="1B365D"/>
                <w:sz w:val="24"/>
              </w:rPr>
              <w:t>Summary &amp; Learning Objectives</w:t>
            </w:r>
          </w:p>
          <w:p>
            <w:pPr>
              <w:spacing w:after="80"/>
            </w:pPr>
            <w:r>
              <w:rPr>
                <w:b/>
              </w:rPr>
              <w:t xml:space="preserve">Summary: </w:t>
            </w:r>
            <w:r>
              <w:t>Understand federal income tax withholding, state taxes, and the Form W-4 mechanism.</w:t>
            </w:r>
          </w:p>
          <w:p>
            <w:pPr>
              <w:spacing w:after="0"/>
            </w:pPr>
            <w:r>
              <w:rPr>
                <w:b/>
              </w:rPr>
              <w:t>Objectives:</w:t>
              <w:br/>
            </w:r>
            <w:r>
              <w:t>1) Learn how US payroll withholding works (federal income tax, state income tax variations, and Form W-4 determinations).</w:t>
              <w:br/>
              <w:t>2) Analyze how filing status and allowances/credits change an employee’s take-home pay through structured worked examples.</w:t>
            </w:r>
          </w:p>
        </w:tc>
      </w:tr>
    </w:tbl>
    <w:p>
      <w:pPr>
        <w:spacing w:after="120"/>
      </w:pPr>
    </w:p>
    <w:p>
      <w:pPr>
        <w:keepNext/>
        <w:spacing w:before="320" w:after="120"/>
      </w:pPr>
      <w:r>
        <w:rPr>
          <w:b/>
          <w:color w:val="1B365D"/>
          <w:sz w:val="32"/>
        </w:rPr>
        <w:t>Executive Summary</w:t>
      </w:r>
    </w:p>
    <w:p>
      <w:pPr>
        <w:spacing w:after="120" w:line="276" w:lineRule="auto"/>
      </w:pPr>
      <w:r>
        <w:t>Federal payroll withholding depends on gross wages and an employee’s Form W-4 elections. The Form W-4 asks for personal information, filing status (Single, Married Filing Jointly, Head of Household), multi-job adjustments, and Step 3 credits for dependents ($2,200/child under 17; $500/other dependent). Step 4 covers 'other income' (4a), additional deductions (4b), and extra withholding (4c). Note that an 'Exempt' checkbox replaces the old practice of writing 'Exempt'. Withholding is computed using IRS methods in Pub. 15-T (percentage-method or wage-bracket tables). For example, a single employee earning $60,000/year (~$5,000/month) with no dependents has roughly $708 withheld monthly for federal tax.</w:t>
      </w:r>
    </w:p>
    <w:p>
      <w:pPr>
        <w:spacing w:after="240" w:line="276" w:lineRule="auto"/>
      </w:pPr>
      <w:r>
        <w:t>State withholding varies across jurisdictions: states like Texas, Florida, and Washington impose no state income tax; Illinois taxes wages at a flat 4.95%; and states like California (~1–12.3%) or New York (~4–10.9%) apply progressive brackets, occasionally supplemented by local municipal taxes (e.g., NYC). Key reciprocity agreements between neighboring states prevent multi-state double withholding.</w:t>
      </w:r>
    </w:p>
    <w:p>
      <w:pPr>
        <w:keepNext/>
        <w:spacing w:before="320" w:after="120"/>
      </w:pPr>
      <w:r>
        <w:rPr>
          <w:b/>
          <w:color w:val="1B365D"/>
          <w:sz w:val="32"/>
        </w:rPr>
        <w:t>Federal Withholding Fundamentals</w:t>
      </w:r>
    </w:p>
    <w:p>
      <w:pPr>
        <w:spacing w:after="120" w:line="276" w:lineRule="auto"/>
      </w:pPr>
      <w:r>
        <w:t xml:space="preserve">Employers withhold federal income tax based on gross earnings and employee Form W-4 parameters. Crucially, </w:t>
      </w:r>
      <w:r>
        <w:rPr>
          <w:b/>
        </w:rPr>
        <w:t>allowances were eliminated on the 2020-and-later Form W-4</w:t>
      </w:r>
      <w:r>
        <w:t>; employees now enter explicit dollar values for credits and income adjustments directly.</w:t>
      </w:r>
    </w:p>
    <w:p>
      <w:pPr>
        <w:pStyle w:val="ListBullet"/>
        <w:spacing w:after="60" w:line="276" w:lineRule="auto"/>
      </w:pPr>
      <w:r>
        <w:rPr>
          <w:b/>
        </w:rPr>
        <w:t xml:space="preserve">Step 1(c) - Filing Status: </w:t>
      </w:r>
      <w:r>
        <w:t>Determines the standard deduction baseline and bracket thresholds (Single, Married Filing Jointly, Head of Household).</w:t>
      </w:r>
    </w:p>
    <w:p>
      <w:pPr>
        <w:pStyle w:val="ListBullet"/>
        <w:spacing w:after="60" w:line="276" w:lineRule="auto"/>
      </w:pPr>
      <w:r>
        <w:rPr>
          <w:b/>
        </w:rPr>
        <w:t xml:space="preserve">Step 2 - Multiple Jobs / Spouse Works: </w:t>
      </w:r>
      <w:r>
        <w:t>Adjusts withholding upward if the employee holds multiple jobs or files jointly with a working spouse.</w:t>
      </w:r>
    </w:p>
    <w:p>
      <w:pPr>
        <w:pStyle w:val="ListBullet"/>
        <w:spacing w:after="60" w:line="276" w:lineRule="auto"/>
      </w:pPr>
      <w:r>
        <w:rPr>
          <w:b/>
        </w:rPr>
        <w:t xml:space="preserve">Step 3 - Claim Dependents: </w:t>
      </w:r>
      <w:r>
        <w:t>Provides direct tax credit offsets ($2,200 per qualifying child under 17; $500 for other dependents).</w:t>
      </w:r>
    </w:p>
    <w:p>
      <w:pPr>
        <w:pStyle w:val="ListBullet"/>
        <w:spacing w:after="60" w:line="276" w:lineRule="auto"/>
      </w:pPr>
      <w:r>
        <w:rPr>
          <w:b/>
        </w:rPr>
        <w:t xml:space="preserve">Step 4(a-c) - Other Adjustments: </w:t>
      </w:r>
      <w:r>
        <w:t>Allows entries for non-job income (4a), itemized deductions exceeding standard deduction (4b), and extra flat withholding per pay period (4c).</w:t>
      </w:r>
    </w:p>
    <w:p>
      <w:pPr>
        <w:pStyle w:val="ListBullet"/>
        <w:spacing w:after="60" w:line="276" w:lineRule="auto"/>
      </w:pPr>
      <w:r>
        <w:rPr>
          <w:b/>
        </w:rPr>
        <w:t xml:space="preserve">Exempt Status: </w:t>
      </w:r>
      <w:r>
        <w:t>Employees who meet legal exemption requirements check the designated 'Exempt' box.</w:t>
      </w:r>
    </w:p>
    <w:p>
      <w:pPr>
        <w:spacing w:before="120" w:after="240" w:line="276" w:lineRule="auto"/>
      </w:pPr>
      <w:r>
        <w:t xml:space="preserve">To compute withholding, employers utilize IRS Pub. 15-T via either the </w:t>
      </w:r>
      <w:r>
        <w:rPr>
          <w:b/>
        </w:rPr>
        <w:t>Percentage Method</w:t>
      </w:r>
      <w:r>
        <w:t xml:space="preserve"> (automated systems) or the </w:t>
      </w:r>
      <w:r>
        <w:rPr>
          <w:b/>
        </w:rPr>
        <w:t>Wage-Bracket Method</w:t>
      </w:r>
      <w:r>
        <w:t xml:space="preserve"> (manual processing). Pay is annualized, adjusted for Step 4 elections and standard deductions, mapped against tax tables, and divided back into pay-period withholding.</w:t>
      </w:r>
    </w:p>
    <w:p>
      <w:pPr>
        <w:keepNext/>
        <w:spacing w:before="240" w:after="80"/>
      </w:pPr>
      <w:r>
        <w:rPr>
          <w:b/>
          <w:color w:val="5C768D"/>
          <w:sz w:val="26"/>
        </w:rPr>
        <w:t>Payroll Calculation Process Flow</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9360"/>
      </w:tblGrid>
      <w:tr>
        <w:tc>
          <w:tcPr>
            <w:tcW w:type="dxa" w:w="9360"/>
            <w:shd w:fill="F9FAFC"/>
            <w:tcMar>
              <w:top w:w="120" w:type="dxa"/>
              <w:bottom w:w="120" w:type="dxa"/>
              <w:left w:w="150" w:type="dxa"/>
              <w:right w:w="150" w:type="dxa"/>
            </w:tcMar>
          </w:tcPr>
          <w:p>
            <w:pPr>
              <w:spacing w:after="0"/>
              <w:jc w:val="center"/>
            </w:pPr>
            <w:r>
              <w:rPr>
                <w:b/>
                <w:color w:val="1B365D"/>
                <w:sz w:val="21"/>
              </w:rPr>
              <w:t xml:space="preserve"> [ Gross Pay ] </w:t>
            </w:r>
            <w:r>
              <w:rPr>
                <w:color w:val="5C768D"/>
              </w:rPr>
              <w:t xml:space="preserve"> ➔ </w:t>
            </w:r>
            <w:r>
              <w:rPr>
                <w:b/>
                <w:color w:val="1B365D"/>
                <w:sz w:val="21"/>
              </w:rPr>
              <w:t xml:space="preserve"> [ Pre-tax Deductions ] </w:t>
            </w:r>
            <w:r>
              <w:rPr>
                <w:color w:val="5C768D"/>
              </w:rPr>
              <w:t xml:space="preserve"> ➔ </w:t>
            </w:r>
            <w:r>
              <w:rPr>
                <w:b/>
                <w:color w:val="1B365D"/>
                <w:sz w:val="21"/>
              </w:rPr>
              <w:t xml:space="preserve"> [ Taxable Wages ] </w:t>
            </w:r>
            <w:r>
              <w:rPr>
                <w:color w:val="5C768D"/>
              </w:rPr>
              <w:t xml:space="preserve"> ➔ </w:t>
            </w:r>
            <w:r>
              <w:rPr>
                <w:b/>
                <w:color w:val="1B365D"/>
                <w:sz w:val="21"/>
              </w:rPr>
              <w:t xml:space="preserve"> [ Federal &amp; State Withholding ] </w:t>
            </w:r>
            <w:r>
              <w:rPr>
                <w:color w:val="5C768D"/>
              </w:rPr>
              <w:t xml:space="preserve"> ➔ </w:t>
            </w:r>
            <w:r>
              <w:rPr>
                <w:b/>
                <w:color w:val="1B365D"/>
                <w:sz w:val="21"/>
              </w:rPr>
              <w:t xml:space="preserve"> [ Net Pay ] </w:t>
            </w:r>
          </w:p>
        </w:tc>
      </w:tr>
    </w:tbl>
    <w:p>
      <w:pPr>
        <w:spacing w:after="120"/>
      </w:pPr>
    </w:p>
    <w:p>
      <w:pPr>
        <w:keepNext/>
        <w:spacing w:before="320" w:after="120"/>
      </w:pPr>
      <w:r>
        <w:rPr>
          <w:b/>
          <w:color w:val="1B365D"/>
          <w:sz w:val="32"/>
        </w:rPr>
        <w:t>State Withholding Variations</w:t>
      </w:r>
    </w:p>
    <w:p>
      <w:pPr>
        <w:spacing w:after="160" w:line="276" w:lineRule="auto"/>
      </w:pPr>
      <w:r>
        <w:t>State income tax withholding rules vary significantly by jurisdiction, ranging from zero income tax to progressive multi-bracket systems.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rPr>
          <w:tblHeader/>
        </w:trPr>
        <w:tc>
          <w:tcPr>
            <w:tcW w:type="dxa" w:w="1728"/>
            <w:shd w:fill="1B365D"/>
            <w:tcMar>
              <w:top w:w="100" w:type="dxa"/>
              <w:bottom w:w="100" w:type="dxa"/>
              <w:left w:w="120" w:type="dxa"/>
              <w:right w:w="120" w:type="dxa"/>
            </w:tcMar>
          </w:tcPr>
          <w:p>
            <w:pPr>
              <w:spacing w:after="0"/>
            </w:pPr>
            <w:r>
              <w:rPr>
                <w:b/>
                <w:color w:val="FFFFFF"/>
                <w:sz w:val="20"/>
              </w:rPr>
              <w:t>State</w:t>
            </w:r>
          </w:p>
        </w:tc>
        <w:tc>
          <w:tcPr>
            <w:tcW w:type="dxa" w:w="1584"/>
            <w:shd w:fill="1B365D"/>
            <w:tcMar>
              <w:top w:w="100" w:type="dxa"/>
              <w:bottom w:w="100" w:type="dxa"/>
              <w:left w:w="120" w:type="dxa"/>
              <w:right w:w="120" w:type="dxa"/>
            </w:tcMar>
          </w:tcPr>
          <w:p>
            <w:pPr>
              <w:spacing w:after="0"/>
            </w:pPr>
            <w:r>
              <w:rPr>
                <w:b/>
                <w:color w:val="FFFFFF"/>
                <w:sz w:val="20"/>
              </w:rPr>
              <w:t>Income Tax?</w:t>
            </w:r>
          </w:p>
        </w:tc>
        <w:tc>
          <w:tcPr>
            <w:tcW w:type="dxa" w:w="2592"/>
            <w:shd w:fill="1B365D"/>
            <w:tcMar>
              <w:top w:w="100" w:type="dxa"/>
              <w:bottom w:w="100" w:type="dxa"/>
              <w:left w:w="120" w:type="dxa"/>
              <w:right w:w="120" w:type="dxa"/>
            </w:tcMar>
          </w:tcPr>
          <w:p>
            <w:pPr>
              <w:spacing w:after="0"/>
            </w:pPr>
            <w:r>
              <w:rPr>
                <w:b/>
                <w:color w:val="FFFFFF"/>
                <w:sz w:val="20"/>
              </w:rPr>
              <w:t>Rate(s) / Brackets</w:t>
            </w:r>
          </w:p>
        </w:tc>
        <w:tc>
          <w:tcPr>
            <w:tcW w:type="dxa" w:w="3456"/>
            <w:shd w:fill="1B365D"/>
            <w:tcMar>
              <w:top w:w="100" w:type="dxa"/>
              <w:bottom w:w="100" w:type="dxa"/>
              <w:left w:w="120" w:type="dxa"/>
              <w:right w:w="120" w:type="dxa"/>
            </w:tcMar>
          </w:tcPr>
          <w:p>
            <w:pPr>
              <w:spacing w:after="0"/>
            </w:pPr>
            <w:r>
              <w:rPr>
                <w:b/>
                <w:color w:val="FFFFFF"/>
                <w:sz w:val="20"/>
              </w:rPr>
              <w:t>Withholding &amp; Local Notes</w:t>
            </w:r>
          </w:p>
        </w:tc>
      </w:tr>
      <w:tr>
        <w:tc>
          <w:tcPr>
            <w:tcW w:type="dxa" w:w="1728"/>
            <w:shd w:fill="F0F4F8"/>
            <w:tcMar>
              <w:top w:w="80" w:type="dxa"/>
              <w:bottom w:w="80" w:type="dxa"/>
              <w:left w:w="120" w:type="dxa"/>
              <w:right w:w="120" w:type="dxa"/>
            </w:tcMar>
          </w:tcPr>
          <w:p>
            <w:pPr>
              <w:spacing w:after="0"/>
            </w:pPr>
            <w:r>
              <w:rPr>
                <w:sz w:val="19"/>
              </w:rPr>
              <w:t>California</w:t>
            </w:r>
          </w:p>
        </w:tc>
        <w:tc>
          <w:tcPr>
            <w:tcW w:type="dxa" w:w="1584"/>
            <w:shd w:fill="F0F4F8"/>
            <w:tcMar>
              <w:top w:w="80" w:type="dxa"/>
              <w:bottom w:w="80" w:type="dxa"/>
              <w:left w:w="120" w:type="dxa"/>
              <w:right w:w="120" w:type="dxa"/>
            </w:tcMar>
          </w:tcPr>
          <w:p>
            <w:pPr>
              <w:spacing w:after="0"/>
            </w:pPr>
            <w:r>
              <w:rPr>
                <w:sz w:val="19"/>
              </w:rPr>
              <w:t>Yes (Progressive)</w:t>
            </w:r>
          </w:p>
        </w:tc>
        <w:tc>
          <w:tcPr>
            <w:tcW w:type="dxa" w:w="2592"/>
            <w:shd w:fill="F0F4F8"/>
            <w:tcMar>
              <w:top w:w="80" w:type="dxa"/>
              <w:bottom w:w="80" w:type="dxa"/>
              <w:left w:w="120" w:type="dxa"/>
              <w:right w:w="120" w:type="dxa"/>
            </w:tcMar>
          </w:tcPr>
          <w:p>
            <w:pPr>
              <w:spacing w:after="0"/>
            </w:pPr>
            <w:r>
              <w:rPr>
                <w:sz w:val="19"/>
              </w:rPr>
              <w:t>~1% to 12.3% (single)</w:t>
              <w:br/>
              <w:t>Standard ded. $9,606</w:t>
            </w:r>
          </w:p>
        </w:tc>
        <w:tc>
          <w:tcPr>
            <w:tcW w:type="dxa" w:w="3456"/>
            <w:shd w:fill="F0F4F8"/>
            <w:tcMar>
              <w:top w:w="80" w:type="dxa"/>
              <w:bottom w:w="80" w:type="dxa"/>
              <w:left w:w="120" w:type="dxa"/>
              <w:right w:w="120" w:type="dxa"/>
            </w:tcMar>
          </w:tcPr>
          <w:p>
            <w:pPr>
              <w:spacing w:after="0"/>
            </w:pPr>
            <w:r>
              <w:rPr>
                <w:sz w:val="19"/>
              </w:rPr>
              <w:t>Uses CA W-4 (DE 4) with allowances; progressive tax brackets.</w:t>
            </w:r>
          </w:p>
        </w:tc>
      </w:tr>
      <w:tr>
        <w:tc>
          <w:tcPr>
            <w:tcW w:type="dxa" w:w="1728"/>
            <w:shd w:fill="FFFFFF"/>
            <w:tcMar>
              <w:top w:w="80" w:type="dxa"/>
              <w:bottom w:w="80" w:type="dxa"/>
              <w:left w:w="120" w:type="dxa"/>
              <w:right w:w="120" w:type="dxa"/>
            </w:tcMar>
          </w:tcPr>
          <w:p>
            <w:pPr>
              <w:spacing w:after="0"/>
            </w:pPr>
            <w:r>
              <w:rPr>
                <w:sz w:val="19"/>
              </w:rPr>
              <w:t>New York</w:t>
            </w:r>
          </w:p>
        </w:tc>
        <w:tc>
          <w:tcPr>
            <w:tcW w:type="dxa" w:w="1584"/>
            <w:shd w:fill="FFFFFF"/>
            <w:tcMar>
              <w:top w:w="80" w:type="dxa"/>
              <w:bottom w:w="80" w:type="dxa"/>
              <w:left w:w="120" w:type="dxa"/>
              <w:right w:w="120" w:type="dxa"/>
            </w:tcMar>
          </w:tcPr>
          <w:p>
            <w:pPr>
              <w:spacing w:after="0"/>
            </w:pPr>
            <w:r>
              <w:rPr>
                <w:sz w:val="19"/>
              </w:rPr>
              <w:t>Yes (Progressive)</w:t>
            </w:r>
          </w:p>
        </w:tc>
        <w:tc>
          <w:tcPr>
            <w:tcW w:type="dxa" w:w="2592"/>
            <w:shd w:fill="FFFFFF"/>
            <w:tcMar>
              <w:top w:w="80" w:type="dxa"/>
              <w:bottom w:w="80" w:type="dxa"/>
              <w:left w:w="120" w:type="dxa"/>
              <w:right w:w="120" w:type="dxa"/>
            </w:tcMar>
          </w:tcPr>
          <w:p>
            <w:pPr>
              <w:spacing w:after="0"/>
            </w:pPr>
            <w:r>
              <w:rPr>
                <w:sz w:val="19"/>
              </w:rPr>
              <w:t>~4% to 10.9% (single)</w:t>
            </w:r>
          </w:p>
        </w:tc>
        <w:tc>
          <w:tcPr>
            <w:tcW w:type="dxa" w:w="3456"/>
            <w:shd w:fill="FFFFFF"/>
            <w:tcMar>
              <w:top w:w="80" w:type="dxa"/>
              <w:bottom w:w="80" w:type="dxa"/>
              <w:left w:w="120" w:type="dxa"/>
              <w:right w:w="120" w:type="dxa"/>
            </w:tcMar>
          </w:tcPr>
          <w:p>
            <w:pPr>
              <w:spacing w:after="0"/>
            </w:pPr>
            <w:r>
              <w:rPr>
                <w:sz w:val="19"/>
              </w:rPr>
              <w:t>State W-4 (IT-2104); progressive brackets; local taxes (NYC up to 3.8%, Yonkers).</w:t>
            </w:r>
          </w:p>
        </w:tc>
      </w:tr>
      <w:tr>
        <w:tc>
          <w:tcPr>
            <w:tcW w:type="dxa" w:w="1728"/>
            <w:shd w:fill="F0F4F8"/>
            <w:tcMar>
              <w:top w:w="80" w:type="dxa"/>
              <w:bottom w:w="80" w:type="dxa"/>
              <w:left w:w="120" w:type="dxa"/>
              <w:right w:w="120" w:type="dxa"/>
            </w:tcMar>
          </w:tcPr>
          <w:p>
            <w:pPr>
              <w:spacing w:after="0"/>
            </w:pPr>
            <w:r>
              <w:rPr>
                <w:sz w:val="19"/>
              </w:rPr>
              <w:t>Illinois</w:t>
            </w:r>
          </w:p>
        </w:tc>
        <w:tc>
          <w:tcPr>
            <w:tcW w:type="dxa" w:w="1584"/>
            <w:shd w:fill="F0F4F8"/>
            <w:tcMar>
              <w:top w:w="80" w:type="dxa"/>
              <w:bottom w:w="80" w:type="dxa"/>
              <w:left w:w="120" w:type="dxa"/>
              <w:right w:w="120" w:type="dxa"/>
            </w:tcMar>
          </w:tcPr>
          <w:p>
            <w:pPr>
              <w:spacing w:after="0"/>
            </w:pPr>
            <w:r>
              <w:rPr>
                <w:sz w:val="19"/>
              </w:rPr>
              <w:t>Yes (Flat)</w:t>
            </w:r>
          </w:p>
        </w:tc>
        <w:tc>
          <w:tcPr>
            <w:tcW w:type="dxa" w:w="2592"/>
            <w:shd w:fill="F0F4F8"/>
            <w:tcMar>
              <w:top w:w="80" w:type="dxa"/>
              <w:bottom w:w="80" w:type="dxa"/>
              <w:left w:w="120" w:type="dxa"/>
              <w:right w:w="120" w:type="dxa"/>
            </w:tcMar>
          </w:tcPr>
          <w:p>
            <w:pPr>
              <w:spacing w:after="0"/>
            </w:pPr>
            <w:r>
              <w:rPr>
                <w:sz w:val="19"/>
              </w:rPr>
              <w:t>4.95% flat on net income</w:t>
            </w:r>
          </w:p>
        </w:tc>
        <w:tc>
          <w:tcPr>
            <w:tcW w:type="dxa" w:w="3456"/>
            <w:shd w:fill="F0F4F8"/>
            <w:tcMar>
              <w:top w:w="80" w:type="dxa"/>
              <w:bottom w:w="80" w:type="dxa"/>
              <w:left w:w="120" w:type="dxa"/>
              <w:right w:w="120" w:type="dxa"/>
            </w:tcMar>
          </w:tcPr>
          <w:p>
            <w:pPr>
              <w:spacing w:after="0"/>
            </w:pPr>
            <w:r>
              <w:rPr>
                <w:sz w:val="19"/>
              </w:rPr>
              <w:t>Mandatory 4.95% withholding on wages; state allowance worksheet permitted.</w:t>
            </w:r>
          </w:p>
        </w:tc>
      </w:tr>
      <w:tr>
        <w:tc>
          <w:tcPr>
            <w:tcW w:type="dxa" w:w="1728"/>
            <w:shd w:fill="FFFFFF"/>
            <w:tcMar>
              <w:top w:w="80" w:type="dxa"/>
              <w:bottom w:w="80" w:type="dxa"/>
              <w:left w:w="120" w:type="dxa"/>
              <w:right w:w="120" w:type="dxa"/>
            </w:tcMar>
          </w:tcPr>
          <w:p>
            <w:pPr>
              <w:spacing w:after="0"/>
            </w:pPr>
            <w:r>
              <w:rPr>
                <w:sz w:val="19"/>
              </w:rPr>
              <w:t>Texas</w:t>
            </w:r>
          </w:p>
        </w:tc>
        <w:tc>
          <w:tcPr>
            <w:tcW w:type="dxa" w:w="1584"/>
            <w:shd w:fill="FFFFFF"/>
            <w:tcMar>
              <w:top w:w="80" w:type="dxa"/>
              <w:bottom w:w="80" w:type="dxa"/>
              <w:left w:w="120" w:type="dxa"/>
              <w:right w:w="120" w:type="dxa"/>
            </w:tcMar>
          </w:tcPr>
          <w:p>
            <w:pPr>
              <w:spacing w:after="0"/>
            </w:pPr>
            <w:r>
              <w:rPr>
                <w:sz w:val="19"/>
              </w:rPr>
              <w:t>No</w:t>
            </w:r>
          </w:p>
        </w:tc>
        <w:tc>
          <w:tcPr>
            <w:tcW w:type="dxa" w:w="2592"/>
            <w:shd w:fill="FFFFFF"/>
            <w:tcMar>
              <w:top w:w="80" w:type="dxa"/>
              <w:bottom w:w="80" w:type="dxa"/>
              <w:left w:w="120" w:type="dxa"/>
              <w:right w:w="120" w:type="dxa"/>
            </w:tcMar>
          </w:tcPr>
          <w:p>
            <w:pPr>
              <w:spacing w:after="0"/>
            </w:pPr>
            <w:r>
              <w:rPr>
                <w:sz w:val="19"/>
              </w:rPr>
              <w:t>— (No individual tax)</w:t>
            </w:r>
          </w:p>
        </w:tc>
        <w:tc>
          <w:tcPr>
            <w:tcW w:type="dxa" w:w="3456"/>
            <w:shd w:fill="FFFFFF"/>
            <w:tcMar>
              <w:top w:w="80" w:type="dxa"/>
              <w:bottom w:w="80" w:type="dxa"/>
              <w:left w:w="120" w:type="dxa"/>
              <w:right w:w="120" w:type="dxa"/>
            </w:tcMar>
          </w:tcPr>
          <w:p>
            <w:pPr>
              <w:spacing w:after="0"/>
            </w:pPr>
            <w:r>
              <w:rPr>
                <w:sz w:val="19"/>
              </w:rPr>
              <w:t>No state income tax withholding required.</w:t>
            </w:r>
          </w:p>
        </w:tc>
      </w:tr>
      <w:tr>
        <w:tc>
          <w:tcPr>
            <w:tcW w:type="dxa" w:w="1728"/>
            <w:shd w:fill="F0F4F8"/>
            <w:tcMar>
              <w:top w:w="80" w:type="dxa"/>
              <w:bottom w:w="80" w:type="dxa"/>
              <w:left w:w="120" w:type="dxa"/>
              <w:right w:w="120" w:type="dxa"/>
            </w:tcMar>
          </w:tcPr>
          <w:p>
            <w:pPr>
              <w:spacing w:after="0"/>
            </w:pPr>
            <w:r>
              <w:rPr>
                <w:sz w:val="19"/>
              </w:rPr>
              <w:t>Florida</w:t>
            </w:r>
          </w:p>
        </w:tc>
        <w:tc>
          <w:tcPr>
            <w:tcW w:type="dxa" w:w="1584"/>
            <w:shd w:fill="F0F4F8"/>
            <w:tcMar>
              <w:top w:w="80" w:type="dxa"/>
              <w:bottom w:w="80" w:type="dxa"/>
              <w:left w:w="120" w:type="dxa"/>
              <w:right w:w="120" w:type="dxa"/>
            </w:tcMar>
          </w:tcPr>
          <w:p>
            <w:pPr>
              <w:spacing w:after="0"/>
            </w:pPr>
            <w:r>
              <w:rPr>
                <w:sz w:val="19"/>
              </w:rPr>
              <w:t>No</w:t>
            </w:r>
          </w:p>
        </w:tc>
        <w:tc>
          <w:tcPr>
            <w:tcW w:type="dxa" w:w="2592"/>
            <w:shd w:fill="F0F4F8"/>
            <w:tcMar>
              <w:top w:w="80" w:type="dxa"/>
              <w:bottom w:w="80" w:type="dxa"/>
              <w:left w:w="120" w:type="dxa"/>
              <w:right w:w="120" w:type="dxa"/>
            </w:tcMar>
          </w:tcPr>
          <w:p>
            <w:pPr>
              <w:spacing w:after="0"/>
            </w:pPr>
            <w:r>
              <w:rPr>
                <w:sz w:val="19"/>
              </w:rPr>
              <w:t>— (No individual tax)</w:t>
            </w:r>
          </w:p>
        </w:tc>
        <w:tc>
          <w:tcPr>
            <w:tcW w:type="dxa" w:w="3456"/>
            <w:shd w:fill="F0F4F8"/>
            <w:tcMar>
              <w:top w:w="80" w:type="dxa"/>
              <w:bottom w:w="80" w:type="dxa"/>
              <w:left w:w="120" w:type="dxa"/>
              <w:right w:w="120" w:type="dxa"/>
            </w:tcMar>
          </w:tcPr>
          <w:p>
            <w:pPr>
              <w:spacing w:after="0"/>
            </w:pPr>
            <w:r>
              <w:rPr>
                <w:sz w:val="19"/>
              </w:rPr>
              <w:t>No state income tax withholding required.</w:t>
            </w:r>
          </w:p>
        </w:tc>
      </w:tr>
      <w:tr>
        <w:tc>
          <w:tcPr>
            <w:tcW w:type="dxa" w:w="1728"/>
            <w:shd w:fill="FFFFFF"/>
            <w:tcMar>
              <w:top w:w="80" w:type="dxa"/>
              <w:bottom w:w="80" w:type="dxa"/>
              <w:left w:w="120" w:type="dxa"/>
              <w:right w:w="120" w:type="dxa"/>
            </w:tcMar>
          </w:tcPr>
          <w:p>
            <w:pPr>
              <w:spacing w:after="0"/>
            </w:pPr>
            <w:r>
              <w:rPr>
                <w:sz w:val="19"/>
              </w:rPr>
              <w:t>Washington</w:t>
            </w:r>
          </w:p>
        </w:tc>
        <w:tc>
          <w:tcPr>
            <w:tcW w:type="dxa" w:w="1584"/>
            <w:shd w:fill="FFFFFF"/>
            <w:tcMar>
              <w:top w:w="80" w:type="dxa"/>
              <w:bottom w:w="80" w:type="dxa"/>
              <w:left w:w="120" w:type="dxa"/>
              <w:right w:w="120" w:type="dxa"/>
            </w:tcMar>
          </w:tcPr>
          <w:p>
            <w:pPr>
              <w:spacing w:after="0"/>
            </w:pPr>
            <w:r>
              <w:rPr>
                <w:sz w:val="19"/>
              </w:rPr>
              <w:t>No</w:t>
            </w:r>
          </w:p>
        </w:tc>
        <w:tc>
          <w:tcPr>
            <w:tcW w:type="dxa" w:w="2592"/>
            <w:shd w:fill="FFFFFF"/>
            <w:tcMar>
              <w:top w:w="80" w:type="dxa"/>
              <w:bottom w:w="80" w:type="dxa"/>
              <w:left w:w="120" w:type="dxa"/>
              <w:right w:w="120" w:type="dxa"/>
            </w:tcMar>
          </w:tcPr>
          <w:p>
            <w:pPr>
              <w:spacing w:after="0"/>
            </w:pPr>
            <w:r>
              <w:rPr>
                <w:sz w:val="19"/>
              </w:rPr>
              <w:t>— (No individual tax)</w:t>
            </w:r>
          </w:p>
        </w:tc>
        <w:tc>
          <w:tcPr>
            <w:tcW w:type="dxa" w:w="3456"/>
            <w:shd w:fill="FFFFFF"/>
            <w:tcMar>
              <w:top w:w="80" w:type="dxa"/>
              <w:bottom w:w="80" w:type="dxa"/>
              <w:left w:w="120" w:type="dxa"/>
              <w:right w:w="120" w:type="dxa"/>
            </w:tcMar>
          </w:tcPr>
          <w:p>
            <w:pPr>
              <w:spacing w:after="0"/>
            </w:pPr>
            <w:r>
              <w:rPr>
                <w:sz w:val="19"/>
              </w:rPr>
              <w:t>No personal state income tax withholding (applies B&amp;O tax).</w:t>
            </w:r>
          </w:p>
        </w:tc>
      </w:tr>
    </w:tbl>
    <w:p>
      <w:pPr>
        <w:spacing w:after="120"/>
      </w:pPr>
    </w:p>
    <w:p>
      <w:pPr>
        <w:keepNext/>
        <w:spacing w:before="320" w:after="120"/>
      </w:pPr>
      <w:r>
        <w:rPr>
          <w:b/>
          <w:color w:val="1B365D"/>
          <w:sz w:val="32"/>
        </w:rPr>
        <w:t>Effect of Filing Status &amp; Dependents</w:t>
      </w:r>
    </w:p>
    <w:p>
      <w:pPr>
        <w:spacing w:after="160" w:line="276" w:lineRule="auto"/>
      </w:pPr>
      <w:r>
        <w:t xml:space="preserve">Filing status and W-4 dependent claims directly drive net pay. Selecting </w:t>
      </w:r>
      <w:r>
        <w:rPr>
          <w:b/>
        </w:rPr>
        <w:t>Married Filing Jointly</w:t>
      </w:r>
      <w:r>
        <w:t xml:space="preserve"> applies wider tax brackets and a larger standard deduction threshold compared to </w:t>
      </w:r>
      <w:r>
        <w:rPr>
          <w:b/>
        </w:rPr>
        <w:t>Single</w:t>
      </w:r>
      <w:r>
        <w:t xml:space="preserve"> status, immediately lowering tax withheld per pay period. Furthermore, Step 3 child tax credits ($2,200 per child &lt;17) directly offset dollar-for-dollar tax liability, translating to higher monthly take-home pay.</w:t>
      </w:r>
    </w:p>
    <w:p>
      <w:pPr>
        <w:keepNext/>
        <w:spacing w:before="320" w:after="120"/>
      </w:pPr>
      <w:r>
        <w:rPr>
          <w:b/>
          <w:color w:val="1B365D"/>
          <w:sz w:val="32"/>
        </w:rPr>
        <w:t>Worked Payroll Examples</w:t>
      </w:r>
    </w:p>
    <w:p>
      <w:pPr>
        <w:spacing w:after="160" w:line="276" w:lineRule="auto"/>
      </w:pPr>
      <w:r>
        <w:t>Below are two scenario comparisons based on a monthly gross wage of $5,000 ($60,000 annualized).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rPr>
          <w:tblHeader/>
        </w:trPr>
        <w:tc>
          <w:tcPr>
            <w:tcW w:type="dxa" w:w="3600"/>
            <w:shd w:fill="1B365D"/>
            <w:tcMar>
              <w:top w:w="100" w:type="dxa"/>
              <w:bottom w:w="100" w:type="dxa"/>
              <w:left w:w="120" w:type="dxa"/>
              <w:right w:w="120" w:type="dxa"/>
            </w:tcMar>
          </w:tcPr>
          <w:p>
            <w:pPr>
              <w:spacing w:after="0"/>
            </w:pPr>
            <w:r>
              <w:rPr>
                <w:b/>
                <w:color w:val="FFFFFF"/>
                <w:sz w:val="20"/>
              </w:rPr>
              <w:t>Calculation Component</w:t>
            </w:r>
          </w:p>
        </w:tc>
        <w:tc>
          <w:tcPr>
            <w:tcW w:type="dxa" w:w="2880"/>
            <w:shd w:fill="1B365D"/>
            <w:tcMar>
              <w:top w:w="100" w:type="dxa"/>
              <w:bottom w:w="100" w:type="dxa"/>
              <w:left w:w="120" w:type="dxa"/>
              <w:right w:w="120" w:type="dxa"/>
            </w:tcMar>
          </w:tcPr>
          <w:p>
            <w:pPr>
              <w:spacing w:after="0"/>
            </w:pPr>
            <w:r>
              <w:rPr>
                <w:b/>
                <w:color w:val="FFFFFF"/>
                <w:sz w:val="20"/>
              </w:rPr>
              <w:t>Example 1: Single (Illinois)</w:t>
            </w:r>
          </w:p>
        </w:tc>
        <w:tc>
          <w:tcPr>
            <w:tcW w:type="dxa" w:w="2880"/>
            <w:shd w:fill="1B365D"/>
            <w:tcMar>
              <w:top w:w="100" w:type="dxa"/>
              <w:bottom w:w="100" w:type="dxa"/>
              <w:left w:w="120" w:type="dxa"/>
              <w:right w:w="120" w:type="dxa"/>
            </w:tcMar>
          </w:tcPr>
          <w:p>
            <w:pPr>
              <w:spacing w:after="0"/>
            </w:pPr>
            <w:r>
              <w:rPr>
                <w:b/>
                <w:color w:val="FFFFFF"/>
                <w:sz w:val="20"/>
              </w:rPr>
              <w:t>Example 2: Married / 2 Kids (Florida)</w:t>
            </w:r>
          </w:p>
        </w:tc>
      </w:tr>
      <w:tr>
        <w:tc>
          <w:tcPr>
            <w:tcW w:type="dxa" w:w="3600"/>
            <w:shd w:fill="F0F4F8"/>
            <w:tcMar>
              <w:top w:w="80" w:type="dxa"/>
              <w:bottom w:w="80" w:type="dxa"/>
              <w:left w:w="120" w:type="dxa"/>
              <w:right w:w="120" w:type="dxa"/>
            </w:tcMar>
          </w:tcPr>
          <w:p>
            <w:pPr>
              <w:spacing w:after="0"/>
            </w:pPr>
            <w:r>
              <w:rPr>
                <w:b/>
                <w:sz w:val="19"/>
              </w:rPr>
              <w:t>Gross Monthly Pay</w:t>
            </w:r>
          </w:p>
        </w:tc>
        <w:tc>
          <w:tcPr>
            <w:tcW w:type="dxa" w:w="2880"/>
            <w:shd w:fill="F0F4F8"/>
            <w:tcMar>
              <w:top w:w="80" w:type="dxa"/>
              <w:bottom w:w="80" w:type="dxa"/>
              <w:left w:w="120" w:type="dxa"/>
              <w:right w:w="120" w:type="dxa"/>
            </w:tcMar>
          </w:tcPr>
          <w:p>
            <w:pPr>
              <w:spacing w:after="0"/>
            </w:pPr>
            <w:r>
              <w:rPr>
                <w:sz w:val="19"/>
              </w:rPr>
              <w:t>$5,000.00</w:t>
            </w:r>
          </w:p>
        </w:tc>
        <w:tc>
          <w:tcPr>
            <w:tcW w:type="dxa" w:w="2880"/>
            <w:shd w:fill="F0F4F8"/>
            <w:tcMar>
              <w:top w:w="80" w:type="dxa"/>
              <w:bottom w:w="80" w:type="dxa"/>
              <w:left w:w="120" w:type="dxa"/>
              <w:right w:w="120" w:type="dxa"/>
            </w:tcMar>
          </w:tcPr>
          <w:p>
            <w:pPr>
              <w:spacing w:after="0"/>
            </w:pPr>
            <w:r>
              <w:rPr>
                <w:sz w:val="19"/>
              </w:rPr>
              <w:t>$5,000.00</w:t>
            </w:r>
          </w:p>
        </w:tc>
      </w:tr>
      <w:tr>
        <w:tc>
          <w:tcPr>
            <w:tcW w:type="dxa" w:w="3600"/>
            <w:shd w:fill="FFFFFF"/>
            <w:tcMar>
              <w:top w:w="80" w:type="dxa"/>
              <w:bottom w:w="80" w:type="dxa"/>
              <w:left w:w="120" w:type="dxa"/>
              <w:right w:w="120" w:type="dxa"/>
            </w:tcMar>
          </w:tcPr>
          <w:p>
            <w:pPr>
              <w:spacing w:after="0"/>
            </w:pPr>
            <w:r>
              <w:rPr>
                <w:b/>
                <w:sz w:val="19"/>
              </w:rPr>
              <w:t>W-4 Elections</w:t>
            </w:r>
          </w:p>
        </w:tc>
        <w:tc>
          <w:tcPr>
            <w:tcW w:type="dxa" w:w="2880"/>
            <w:shd w:fill="FFFFFF"/>
            <w:tcMar>
              <w:top w:w="80" w:type="dxa"/>
              <w:bottom w:w="80" w:type="dxa"/>
              <w:left w:w="120" w:type="dxa"/>
              <w:right w:w="120" w:type="dxa"/>
            </w:tcMar>
          </w:tcPr>
          <w:p>
            <w:pPr>
              <w:spacing w:after="0"/>
            </w:pPr>
            <w:r>
              <w:rPr>
                <w:sz w:val="19"/>
              </w:rPr>
              <w:t>Single | 0 Dependents</w:t>
            </w:r>
          </w:p>
        </w:tc>
        <w:tc>
          <w:tcPr>
            <w:tcW w:type="dxa" w:w="2880"/>
            <w:shd w:fill="FFFFFF"/>
            <w:tcMar>
              <w:top w:w="80" w:type="dxa"/>
              <w:bottom w:w="80" w:type="dxa"/>
              <w:left w:w="120" w:type="dxa"/>
              <w:right w:w="120" w:type="dxa"/>
            </w:tcMar>
          </w:tcPr>
          <w:p>
            <w:pPr>
              <w:spacing w:after="0"/>
            </w:pPr>
            <w:r>
              <w:rPr>
                <w:sz w:val="19"/>
              </w:rPr>
              <w:t>Married Filing Jointly | 2 Kids ($4,400)</w:t>
            </w:r>
          </w:p>
        </w:tc>
      </w:tr>
      <w:tr>
        <w:tc>
          <w:tcPr>
            <w:tcW w:type="dxa" w:w="3600"/>
            <w:shd w:fill="F0F4F8"/>
            <w:tcMar>
              <w:top w:w="80" w:type="dxa"/>
              <w:bottom w:w="80" w:type="dxa"/>
              <w:left w:w="120" w:type="dxa"/>
              <w:right w:w="120" w:type="dxa"/>
            </w:tcMar>
          </w:tcPr>
          <w:p>
            <w:pPr>
              <w:spacing w:after="0"/>
            </w:pPr>
            <w:r>
              <w:rPr>
                <w:b/>
                <w:sz w:val="19"/>
              </w:rPr>
              <w:t>Federal Income Tax</w:t>
            </w:r>
          </w:p>
        </w:tc>
        <w:tc>
          <w:tcPr>
            <w:tcW w:type="dxa" w:w="2880"/>
            <w:shd w:fill="F0F4F8"/>
            <w:tcMar>
              <w:top w:w="80" w:type="dxa"/>
              <w:bottom w:w="80" w:type="dxa"/>
              <w:left w:w="120" w:type="dxa"/>
              <w:right w:w="120" w:type="dxa"/>
            </w:tcMar>
          </w:tcPr>
          <w:p>
            <w:pPr>
              <w:spacing w:after="0"/>
            </w:pPr>
            <w:r>
              <w:rPr>
                <w:sz w:val="19"/>
              </w:rPr>
              <w:t>$708.00</w:t>
            </w:r>
          </w:p>
        </w:tc>
        <w:tc>
          <w:tcPr>
            <w:tcW w:type="dxa" w:w="2880"/>
            <w:shd w:fill="F0F4F8"/>
            <w:tcMar>
              <w:top w:w="80" w:type="dxa"/>
              <w:bottom w:w="80" w:type="dxa"/>
              <w:left w:w="120" w:type="dxa"/>
              <w:right w:w="120" w:type="dxa"/>
            </w:tcMar>
          </w:tcPr>
          <w:p>
            <w:pPr>
              <w:spacing w:after="0"/>
            </w:pPr>
            <w:r>
              <w:rPr>
                <w:sz w:val="19"/>
              </w:rPr>
              <w:t>$434.00</w:t>
            </w:r>
          </w:p>
        </w:tc>
      </w:tr>
      <w:tr>
        <w:tc>
          <w:tcPr>
            <w:tcW w:type="dxa" w:w="3600"/>
            <w:shd w:fill="FFFFFF"/>
            <w:tcMar>
              <w:top w:w="80" w:type="dxa"/>
              <w:bottom w:w="80" w:type="dxa"/>
              <w:left w:w="120" w:type="dxa"/>
              <w:right w:w="120" w:type="dxa"/>
            </w:tcMar>
          </w:tcPr>
          <w:p>
            <w:pPr>
              <w:spacing w:after="0"/>
            </w:pPr>
            <w:r>
              <w:rPr>
                <w:b/>
                <w:sz w:val="19"/>
              </w:rPr>
              <w:t>State Income Tax</w:t>
            </w:r>
          </w:p>
        </w:tc>
        <w:tc>
          <w:tcPr>
            <w:tcW w:type="dxa" w:w="2880"/>
            <w:shd w:fill="FFFFFF"/>
            <w:tcMar>
              <w:top w:w="80" w:type="dxa"/>
              <w:bottom w:w="80" w:type="dxa"/>
              <w:left w:w="120" w:type="dxa"/>
              <w:right w:w="120" w:type="dxa"/>
            </w:tcMar>
          </w:tcPr>
          <w:p>
            <w:pPr>
              <w:spacing w:after="0"/>
            </w:pPr>
            <w:r>
              <w:rPr>
                <w:sz w:val="19"/>
              </w:rPr>
              <w:t>$248.00 (4.95% IL Flat)</w:t>
            </w:r>
          </w:p>
        </w:tc>
        <w:tc>
          <w:tcPr>
            <w:tcW w:type="dxa" w:w="2880"/>
            <w:shd w:fill="FFFFFF"/>
            <w:tcMar>
              <w:top w:w="80" w:type="dxa"/>
              <w:bottom w:w="80" w:type="dxa"/>
              <w:left w:w="120" w:type="dxa"/>
              <w:right w:w="120" w:type="dxa"/>
            </w:tcMar>
          </w:tcPr>
          <w:p>
            <w:pPr>
              <w:spacing w:after="0"/>
            </w:pPr>
            <w:r>
              <w:rPr>
                <w:sz w:val="19"/>
              </w:rPr>
              <w:t>$0.00 (FL No Tax)</w:t>
            </w:r>
          </w:p>
        </w:tc>
      </w:tr>
      <w:tr>
        <w:tc>
          <w:tcPr>
            <w:tcW w:type="dxa" w:w="3600"/>
            <w:shd w:fill="E2E8F0"/>
            <w:tcMar>
              <w:top w:w="80" w:type="dxa"/>
              <w:bottom w:w="80" w:type="dxa"/>
              <w:left w:w="120" w:type="dxa"/>
              <w:right w:w="120" w:type="dxa"/>
            </w:tcMar>
          </w:tcPr>
          <w:p>
            <w:pPr>
              <w:spacing w:after="0"/>
            </w:pPr>
            <w:r>
              <w:rPr>
                <w:b/>
                <w:sz w:val="19"/>
              </w:rPr>
              <w:t>Estimated Net Take-Home Pay</w:t>
            </w:r>
          </w:p>
        </w:tc>
        <w:tc>
          <w:tcPr>
            <w:tcW w:type="dxa" w:w="2880"/>
            <w:shd w:fill="E2E8F0"/>
            <w:tcMar>
              <w:top w:w="80" w:type="dxa"/>
              <w:bottom w:w="80" w:type="dxa"/>
              <w:left w:w="120" w:type="dxa"/>
              <w:right w:w="120" w:type="dxa"/>
            </w:tcMar>
          </w:tcPr>
          <w:p>
            <w:pPr>
              <w:spacing w:after="0"/>
            </w:pPr>
            <w:r>
              <w:rPr>
                <w:b/>
                <w:color w:val="1B365D"/>
                <w:sz w:val="19"/>
              </w:rPr>
              <w:t>$4,044.00</w:t>
            </w:r>
          </w:p>
        </w:tc>
        <w:tc>
          <w:tcPr>
            <w:tcW w:type="dxa" w:w="2880"/>
            <w:shd w:fill="E2E8F0"/>
            <w:tcMar>
              <w:top w:w="80" w:type="dxa"/>
              <w:bottom w:w="80" w:type="dxa"/>
              <w:left w:w="120" w:type="dxa"/>
              <w:right w:w="120" w:type="dxa"/>
            </w:tcMar>
          </w:tcPr>
          <w:p>
            <w:pPr>
              <w:spacing w:after="0"/>
            </w:pPr>
            <w:r>
              <w:rPr>
                <w:b/>
                <w:color w:val="1B365D"/>
                <w:sz w:val="19"/>
              </w:rPr>
              <w:t>$4,566.00</w:t>
            </w:r>
          </w:p>
        </w:tc>
      </w:tr>
    </w:tbl>
    <w:p>
      <w:pPr>
        <w:spacing w:after="240"/>
      </w:pPr>
    </w:p>
    <w:tbl>
      <w:tblPr>
        <w:tblW w:type="auto" w:w="0"/>
        <w:jc w:val="center"/>
        <w:tblLook w:firstColumn="1" w:firstRow="1" w:lastColumn="0" w:lastRow="0" w:noHBand="0" w:noVBand="1" w:val="04A0"/>
        <w:tblBorders>
          <w:top w:val="single" w:sz="6" w:space="0" w:color="5C768D"/>
          <w:bottom w:val="single" w:sz="6" w:space="0" w:color="5C768D"/>
          <w:insideH w:val="single" w:sz="6" w:space="0" w:color="5C768D"/>
          <w:insideV w:val="none"/>
          <w:left w:val="none"/>
          <w:right w:val="none"/>
        </w:tblBorders>
      </w:tblPr>
      <w:tblGrid>
        <w:gridCol w:w="9360"/>
      </w:tblGrid>
      <w:tr>
        <w:tc>
          <w:tcPr>
            <w:tcW w:type="dxa" w:w="9360"/>
            <w:shd w:fill="F4F6F8"/>
            <w:tcMar>
              <w:top w:w="100" w:type="dxa"/>
              <w:bottom w:w="100" w:type="dxa"/>
              <w:left w:w="150" w:type="dxa"/>
              <w:right w:w="150" w:type="dxa"/>
            </w:tcMar>
          </w:tcPr>
          <w:p>
            <w:pPr>
              <w:spacing w:after="0"/>
            </w:pPr>
            <w:r>
              <w:rPr>
                <w:b/>
                <w:color w:val="1B365D"/>
              </w:rPr>
              <w:t xml:space="preserve">Key Takeaway: </w:t>
            </w:r>
            <w:r>
              <w:t xml:space="preserve">In Example 2, checking 'Married Filing Jointly' and claiming two child tax credits ($4,400/yr) reduces federal withholding by ~$274/month compared to Example 1. Combined with Florida's zero state income tax, the employee retains </w:t>
            </w:r>
            <w:r>
              <w:rPr>
                <w:b/>
              </w:rPr>
              <w:t>$522 more per month</w:t>
            </w:r>
            <w:r>
              <w:t xml:space="preserve"> in take-home pay on the exact same $5,000 gross salary.</w:t>
            </w:r>
          </w:p>
        </w:tc>
      </w:tr>
    </w:tbl>
    <w:p>
      <w:pPr>
        <w:keepNext/>
        <w:spacing w:before="320" w:after="120"/>
      </w:pPr>
      <w:r>
        <w:rPr>
          <w:b/>
          <w:color w:val="1B365D"/>
          <w:sz w:val="32"/>
        </w:rPr>
        <w:t>Regulatory Sources &amp; Guidance</w:t>
      </w:r>
    </w:p>
    <w:p>
      <w:pPr>
        <w:pStyle w:val="ListBullet"/>
        <w:spacing w:after="60" w:line="276" w:lineRule="auto"/>
      </w:pPr>
      <w:r>
        <w:rPr>
          <w:b/>
        </w:rPr>
        <w:t xml:space="preserve">IRS Publication 15-T: </w:t>
      </w:r>
      <w:r>
        <w:t>Employer's Tax Guide for Payroll Withholding (Percentage &amp; Wage-Bracket Methods).</w:t>
      </w:r>
    </w:p>
    <w:p>
      <w:pPr>
        <w:pStyle w:val="ListBullet"/>
        <w:spacing w:after="60" w:line="276" w:lineRule="auto"/>
      </w:pPr>
      <w:r>
        <w:rPr>
          <w:b/>
        </w:rPr>
        <w:t xml:space="preserve">IRS Form W-4 &amp; Instructions: </w:t>
      </w:r>
      <w:r>
        <w:t>Employee's Withholding Certificate (Step 1–4 guidelines).</w:t>
      </w:r>
    </w:p>
    <w:p>
      <w:pPr>
        <w:pStyle w:val="ListBullet"/>
        <w:spacing w:after="60" w:line="276" w:lineRule="auto"/>
      </w:pPr>
      <w:r>
        <w:rPr>
          <w:b/>
        </w:rPr>
        <w:t xml:space="preserve">Illinois Dept. of Revenue: </w:t>
      </w:r>
      <w:r>
        <w:t>Withholding Tax Rates &amp; Form IL-W-4 Compliance.</w:t>
      </w:r>
    </w:p>
    <w:p>
      <w:pPr>
        <w:pStyle w:val="ListBullet"/>
        <w:spacing w:after="60" w:line="276" w:lineRule="auto"/>
      </w:pPr>
      <w:r>
        <w:rPr>
          <w:b/>
        </w:rPr>
        <w:t xml:space="preserve">Tax Foundation: </w:t>
      </w:r>
      <w:r>
        <w:t>State Individual Income Tax Rates and Brackets Overview.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