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UNIVERSITY FACULTY OF ENGINEERING</w:t>
      </w:r>
    </w:p>
    <w:p>
      <w:r>
        <w:rPr>
          <w:b/>
        </w:rPr>
        <w:t>Course: SE-402 Software Architecture &amp; Engineering</w:t>
        <w:br/>
        <w:t>Time: 2 Hours | Max Marks: 30</w:t>
      </w:r>
    </w:p>
    <w:p>
      <w:pPr>
        <w:pStyle w:val="Heading1"/>
      </w:pPr>
      <w:r>
        <w:t>SECTION A - Conceptual Foundations</w:t>
      </w:r>
    </w:p>
    <w:p>
      <w:r>
        <w:t>1. Define high cohesion and low coupling in modular software design. [3 Marks]</w:t>
      </w:r>
    </w:p>
    <w:p>
      <w:r>
        <w:t>2. What is the fundamental difference between functional and non-functional requirements? [3 Marks]</w:t>
      </w:r>
    </w:p>
    <w:p>
      <w:r>
        <w:t>3. State the primary goal of the Single Responsibility Principle (SRP) in SOLID. [4 Marks]</w:t>
      </w:r>
    </w:p>
    <w:p>
      <w:pPr>
        <w:pStyle w:val="Heading1"/>
      </w:pPr>
      <w:r>
        <w:t>SECTION B - Architecture &amp; Problem Solving</w:t>
      </w:r>
    </w:p>
    <w:p>
      <w:r>
        <w:t>4. Analyze the risk matrix for migrating a monolithic legacy application to microservices. [10 Marks]</w:t>
      </w:r>
    </w:p>
    <w:p>
      <w:r>
        <w:t>5. Design an event-driven publish-subscribe architecture using Apache Kafka for real-time telemetry. [10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