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2F5496"/>
          <w:sz w:val="32"/>
          <w:szCs w:val="32"/>
        </w:rPr>
        <w:t xml:space="preserve">Sales Forecasting &amp; Demand Intelligence</w:t>
      </w:r>
    </w:p>
    <w:p>
      <w:pPr>
        <w:pBdr>
          <w:bottom w:val="single" w:color="2F5496" w:sz="6" w:space="8"/>
        </w:pBdr>
        <w:spacing w:after="200"/>
      </w:pPr>
      <w:r>
        <w:rPr>
          <w:color w:val="595959"/>
          <w:sz w:val="22"/>
          <w:szCs w:val="22"/>
        </w:rPr>
        <w:t xml:space="preserve">Executive Business Report — Superstore Sales Analysis</w:t>
      </w:r>
    </w:p>
    <w:p>
      <w:pPr>
        <w:pStyle w:val="Heading2"/>
        <w:spacing w:after="120" w:before="240"/>
      </w:pPr>
      <w:r>
        <w:t xml:space="preserve">Executive Summary</w:t>
      </w:r>
    </w:p>
    <w:p>
      <w:pPr>
        <w:spacing w:after="160"/>
      </w:pPr>
      <w:r>
        <w:t xml:space="preserve">Over the past four years, our sales have grown steadily, but that growth is driven far more by seasonal buying patterns than by underlying business momentum. Sales spike predictably every September through December and fall off sharply afterward. Our forecasting model predicts sales will settle back to a more typical $25,000–$56,000 per month over the next quarter, following the December peak. We've identified a handful of unusual sales weeks that merit a closer look, four demand "personalities" among our product lines that call for different stocking approaches, and Technology as both our strongest revenue category and our most resilient one heading into the slow season.</w:t>
      </w:r>
    </w:p>
    <w:p>
      <w:pPr>
        <w:pStyle w:val="Heading2"/>
        <w:spacing w:after="120" w:before="240"/>
      </w:pPr>
      <w:r>
        <w:t xml:space="preserve">Key Findings from EDA &amp; Forecasting</w:t>
      </w:r>
    </w:p>
    <w:p>
      <w:pPr>
        <w:pStyle w:val="ListParagraph"/>
        <w:numPr>
          <w:ilvl w:val="0"/>
          <w:numId w:val="1"/>
        </w:numPr>
        <w:spacing w:after="100"/>
      </w:pPr>
      <w:r>
        <w:t xml:space="preserve">Technology is our top revenue category, generating $827,456 — 36.6% of all sales — over the four-year period.</w:t>
      </w:r>
    </w:p>
    <w:p>
      <w:pPr>
        <w:pStyle w:val="ListParagraph"/>
        <w:numPr>
          <w:ilvl w:val="0"/>
          <w:numId w:val="1"/>
        </w:numPr>
        <w:spacing w:after="100"/>
      </w:pPr>
      <w:r>
        <w:t xml:space="preserve">The East region shows the steadiest year-over-year growth of any region, meaning its sales trend is the most predictable and least prone to swings.</w:t>
      </w:r>
    </w:p>
    <w:p>
      <w:pPr>
        <w:pStyle w:val="ListParagraph"/>
        <w:numPr>
          <w:ilvl w:val="0"/>
          <w:numId w:val="1"/>
        </w:numPr>
        <w:spacing w:after="100"/>
      </w:pPr>
      <w:r>
        <w:t xml:space="preserve">Orders ship in 3.96 days on average, and this barely varies by region (under a 4-hour spread) — shipping speed is not something differentiating our regions today.</w:t>
      </w:r>
    </w:p>
    <w:p>
      <w:pPr>
        <w:pStyle w:val="ListParagraph"/>
        <w:numPr>
          <w:ilvl w:val="0"/>
          <w:numId w:val="1"/>
        </w:numPr>
        <w:spacing w:after="100"/>
      </w:pPr>
      <w:r>
        <w:t xml:space="preserve">September, November, and December consistently rank as our three best-selling months every single year — a reliable holiday-season effect that should anchor staffing and inventory planning.</w:t>
      </w:r>
    </w:p>
    <w:p>
      <w:pPr>
        <w:pStyle w:val="ListParagraph"/>
        <w:numPr>
          <w:ilvl w:val="0"/>
          <w:numId w:val="1"/>
        </w:numPr>
        <w:spacing w:after="100"/>
      </w:pPr>
      <w:r>
        <w:t xml:space="preserve">When we broke sales into trend vs. seasonal components, seasonality proved to be the dominant force (roughly twice as influential as the underlying growth trend) — in plain terms, most of the ups and downs in our monthly sales are the calendar, not the business changing direction.</w:t>
      </w:r>
    </w:p>
    <w:p>
      <w:pPr>
        <w:pStyle w:val="Heading2"/>
        <w:spacing w:after="120" w:before="240"/>
      </w:pPr>
      <w:r>
        <w:t xml:space="preserve">3-Month Sales Forecast</w:t>
      </w:r>
    </w:p>
    <w:p>
      <w:pPr>
        <w:spacing w:after="160"/>
      </w:pPr>
      <w:r>
        <w:t xml:space="preserve">We tested three different forecasting approaches (a classical statistical model, an industry-standard forecasting tool, and a machine-learning model) and selected the most accurate one based on its track record predicting recent months we already know the answer to. On that basis, our forecast for the next three months is:</w:t>
      </w:r>
    </w:p>
    <w:tbl>
      <w:tblPr>
        <w:tblW w:type="dxa" w:w="14000"/>
        <w:tblBorders>
          <w:top w:val="single" w:color="auto" w:sz="4"/>
          <w:left w:val="single" w:color="auto" w:sz="4"/>
          <w:bottom w:val="single" w:color="auto" w:sz="4"/>
          <w:right w:val="single" w:color="auto" w:sz="4"/>
          <w:insideH w:val="single" w:color="auto" w:sz="4"/>
          <w:insideV w:val="single" w:color="auto" w:sz="4"/>
        </w:tblBorders>
      </w:tblPr>
      <w:tblGrid>
        <w:gridCol w:w="4500"/>
        <w:gridCol w:w="4000"/>
        <w:gridCol w:w="5500"/>
      </w:tblGrid>
      <w:tr>
        <w:tc>
          <w:tcPr>
            <w:tcW w:type="dxa" w:w="4500"/>
            <w:shd w:fill="2F5496" w:val="clear"/>
          </w:tcPr>
          <w:p>
            <w:r>
              <w:rPr>
                <w:b/>
                <w:bCs/>
                <w:color w:val="FFFFFF"/>
                <w:sz w:val="20"/>
                <w:szCs w:val="20"/>
              </w:rPr>
              <w:t xml:space="preserve">Month</w:t>
            </w:r>
          </w:p>
        </w:tc>
        <w:tc>
          <w:tcPr>
            <w:tcW w:type="dxa" w:w="4000"/>
            <w:shd w:fill="2F5496" w:val="clear"/>
          </w:tcPr>
          <w:p>
            <w:r>
              <w:rPr>
                <w:b/>
                <w:bCs/>
                <w:color w:val="FFFFFF"/>
                <w:sz w:val="20"/>
                <w:szCs w:val="20"/>
              </w:rPr>
              <w:t xml:space="preserve">Expected Sales</w:t>
            </w:r>
          </w:p>
        </w:tc>
        <w:tc>
          <w:tcPr>
            <w:tcW w:type="dxa" w:w="5500"/>
            <w:shd w:fill="2F5496" w:val="clear"/>
          </w:tcPr>
          <w:p>
            <w:r>
              <w:rPr>
                <w:b/>
                <w:bCs/>
                <w:color w:val="FFFFFF"/>
                <w:sz w:val="20"/>
                <w:szCs w:val="20"/>
              </w:rPr>
              <w:t xml:space="preserve">Likely Range</w:t>
            </w:r>
          </w:p>
        </w:tc>
      </w:tr>
      <w:tr>
        <w:tc>
          <w:tcPr>
            <w:tcW w:type="dxa" w:w="4500"/>
          </w:tcPr>
          <w:p>
            <w:r>
              <w:rPr>
                <w:sz w:val="20"/>
                <w:szCs w:val="20"/>
              </w:rPr>
              <w:t xml:space="preserve">January 2019</w:t>
            </w:r>
          </w:p>
        </w:tc>
        <w:tc>
          <w:tcPr>
            <w:tcW w:type="dxa" w:w="4000"/>
          </w:tcPr>
          <w:p>
            <w:r>
              <w:rPr>
                <w:sz w:val="20"/>
                <w:szCs w:val="20"/>
              </w:rPr>
              <w:t xml:space="preserve">$45,153</w:t>
            </w:r>
          </w:p>
        </w:tc>
        <w:tc>
          <w:tcPr>
            <w:tcW w:type="dxa" w:w="5500"/>
          </w:tcPr>
          <w:p>
            <w:r>
              <w:rPr>
                <w:sz w:val="20"/>
                <w:szCs w:val="20"/>
              </w:rPr>
              <w:t xml:space="preserve">$26,548 – $63,759</w:t>
            </w:r>
          </w:p>
        </w:tc>
      </w:tr>
      <w:tr>
        <w:tc>
          <w:tcPr>
            <w:tcW w:type="dxa" w:w="4500"/>
          </w:tcPr>
          <w:p>
            <w:r>
              <w:rPr>
                <w:sz w:val="20"/>
                <w:szCs w:val="20"/>
              </w:rPr>
              <w:t xml:space="preserve">February 2019</w:t>
            </w:r>
          </w:p>
        </w:tc>
        <w:tc>
          <w:tcPr>
            <w:tcW w:type="dxa" w:w="4000"/>
          </w:tcPr>
          <w:p>
            <w:r>
              <w:rPr>
                <w:sz w:val="20"/>
                <w:szCs w:val="20"/>
              </w:rPr>
              <w:t xml:space="preserve">$24,241</w:t>
            </w:r>
          </w:p>
        </w:tc>
        <w:tc>
          <w:tcPr>
            <w:tcW w:type="dxa" w:w="5500"/>
          </w:tcPr>
          <w:p>
            <w:r>
              <w:rPr>
                <w:sz w:val="20"/>
                <w:szCs w:val="20"/>
              </w:rPr>
              <w:t xml:space="preserve">$5,635 – $42,847</w:t>
            </w:r>
          </w:p>
        </w:tc>
      </w:tr>
      <w:tr>
        <w:tc>
          <w:tcPr>
            <w:tcW w:type="dxa" w:w="4500"/>
          </w:tcPr>
          <w:p>
            <w:r>
              <w:rPr>
                <w:sz w:val="20"/>
                <w:szCs w:val="20"/>
              </w:rPr>
              <w:t xml:space="preserve">March 2019</w:t>
            </w:r>
          </w:p>
        </w:tc>
        <w:tc>
          <w:tcPr>
            <w:tcW w:type="dxa" w:w="4000"/>
          </w:tcPr>
          <w:p>
            <w:r>
              <w:rPr>
                <w:sz w:val="20"/>
                <w:szCs w:val="20"/>
              </w:rPr>
              <w:t xml:space="preserve">$56,492</w:t>
            </w:r>
          </w:p>
        </w:tc>
        <w:tc>
          <w:tcPr>
            <w:tcW w:type="dxa" w:w="5500"/>
          </w:tcPr>
          <w:p>
            <w:r>
              <w:rPr>
                <w:sz w:val="20"/>
                <w:szCs w:val="20"/>
              </w:rPr>
              <w:t xml:space="preserve">$37,886 – $75,097</w:t>
            </w:r>
          </w:p>
        </w:tc>
      </w:tr>
    </w:tbl>
    <w:p>
      <w:pPr>
        <w:spacing w:after="120"/>
      </w:pPr>
    </w:p>
    <w:p>
      <w:pPr>
        <w:spacing w:after="160"/>
      </w:pPr>
      <w:r>
        <w:t xml:space="preserve">In plain language: expect a quieter start to the year as the holiday rush ends, a further dip in February, then a partial rebound in March. The "Likely Range" column reflects how far off our model's predictions have typically landed from the actual monthly figure in recent months (about $18,600 in either direction) — useful for directional planning and setting a safety buffer, but not precise enough to be the sole basis for major inventory commitments.</w:t>
      </w:r>
    </w:p>
    <w:p>
      <w:pPr>
        <w:pStyle w:val="Heading2"/>
        <w:spacing w:after="120" w:before="240"/>
      </w:pPr>
      <w:r>
        <w:t xml:space="preserve">Top Anomalies &amp; Likely Causes</w:t>
      </w:r>
    </w:p>
    <w:tbl>
      <w:tblPr>
        <w:tblW w:type="dxa" w:w="15500"/>
        <w:tblBorders>
          <w:top w:val="single" w:color="auto" w:sz="4"/>
          <w:left w:val="single" w:color="auto" w:sz="4"/>
          <w:bottom w:val="single" w:color="auto" w:sz="4"/>
          <w:right w:val="single" w:color="auto" w:sz="4"/>
          <w:insideH w:val="single" w:color="auto" w:sz="4"/>
          <w:insideV w:val="single" w:color="auto" w:sz="4"/>
        </w:tblBorders>
      </w:tblPr>
      <w:tblGrid>
        <w:gridCol w:w="4000"/>
        <w:gridCol w:w="3000"/>
        <w:gridCol w:w="8500"/>
      </w:tblGrid>
      <w:tr>
        <w:tc>
          <w:tcPr>
            <w:tcW w:type="dxa" w:w="4000"/>
            <w:shd w:fill="2F5496" w:val="clear"/>
          </w:tcPr>
          <w:p>
            <w:r>
              <w:rPr>
                <w:b/>
                <w:bCs/>
                <w:color w:val="FFFFFF"/>
                <w:sz w:val="20"/>
                <w:szCs w:val="20"/>
              </w:rPr>
              <w:t xml:space="preserve">Week</w:t>
            </w:r>
          </w:p>
        </w:tc>
        <w:tc>
          <w:tcPr>
            <w:tcW w:type="dxa" w:w="3000"/>
            <w:shd w:fill="2F5496" w:val="clear"/>
          </w:tcPr>
          <w:p>
            <w:r>
              <w:rPr>
                <w:b/>
                <w:bCs/>
                <w:color w:val="FFFFFF"/>
                <w:sz w:val="20"/>
                <w:szCs w:val="20"/>
              </w:rPr>
              <w:t xml:space="preserve">Sales</w:t>
            </w:r>
          </w:p>
        </w:tc>
        <w:tc>
          <w:tcPr>
            <w:tcW w:type="dxa" w:w="8500"/>
            <w:shd w:fill="2F5496" w:val="clear"/>
          </w:tcPr>
          <w:p>
            <w:r>
              <w:rPr>
                <w:b/>
                <w:bCs/>
                <w:color w:val="FFFFFF"/>
                <w:sz w:val="20"/>
                <w:szCs w:val="20"/>
              </w:rPr>
              <w:t xml:space="preserve">Likely Cause</w:t>
            </w:r>
          </w:p>
        </w:tc>
      </w:tr>
      <w:tr>
        <w:tc>
          <w:tcPr>
            <w:tcW w:type="dxa" w:w="4000"/>
          </w:tcPr>
          <w:p>
            <w:r>
              <w:rPr>
                <w:sz w:val="20"/>
                <w:szCs w:val="20"/>
              </w:rPr>
              <w:t xml:space="preserve">Dec 2, 2018</w:t>
            </w:r>
          </w:p>
        </w:tc>
        <w:tc>
          <w:tcPr>
            <w:tcW w:type="dxa" w:w="3000"/>
          </w:tcPr>
          <w:p>
            <w:r>
              <w:rPr>
                <w:sz w:val="20"/>
                <w:szCs w:val="20"/>
              </w:rPr>
              <w:t xml:space="preserve">$35,999</w:t>
            </w:r>
          </w:p>
        </w:tc>
        <w:tc>
          <w:tcPr>
            <w:tcW w:type="dxa" w:w="8500"/>
          </w:tcPr>
          <w:p>
            <w:r>
              <w:rPr>
                <w:sz w:val="20"/>
                <w:szCs w:val="20"/>
              </w:rPr>
              <w:t xml:space="preserve">Cyber Monday / early holiday shopping surge</w:t>
            </w:r>
          </w:p>
        </w:tc>
      </w:tr>
      <w:tr>
        <w:tc>
          <w:tcPr>
            <w:tcW w:type="dxa" w:w="4000"/>
          </w:tcPr>
          <w:p>
            <w:r>
              <w:rPr>
                <w:sz w:val="20"/>
                <w:szCs w:val="20"/>
              </w:rPr>
              <w:t xml:space="preserve">Nov 18, 2018</w:t>
            </w:r>
          </w:p>
        </w:tc>
        <w:tc>
          <w:tcPr>
            <w:tcW w:type="dxa" w:w="3000"/>
          </w:tcPr>
          <w:p>
            <w:r>
              <w:rPr>
                <w:sz w:val="20"/>
                <w:szCs w:val="20"/>
              </w:rPr>
              <w:t xml:space="preserve">$30,572</w:t>
            </w:r>
          </w:p>
        </w:tc>
        <w:tc>
          <w:tcPr>
            <w:tcW w:type="dxa" w:w="8500"/>
          </w:tcPr>
          <w:p>
            <w:r>
              <w:rPr>
                <w:sz w:val="20"/>
                <w:szCs w:val="20"/>
              </w:rPr>
              <w:t xml:space="preserve">Pre-Thanksgiving / Black Friday run-up in orders</w:t>
            </w:r>
          </w:p>
        </w:tc>
      </w:tr>
      <w:tr>
        <w:tc>
          <w:tcPr>
            <w:tcW w:type="dxa" w:w="4000"/>
          </w:tcPr>
          <w:p>
            <w:r>
              <w:rPr>
                <w:sz w:val="20"/>
                <w:szCs w:val="20"/>
              </w:rPr>
              <w:t xml:space="preserve">Mar 22, 2015</w:t>
            </w:r>
          </w:p>
        </w:tc>
        <w:tc>
          <w:tcPr>
            <w:tcW w:type="dxa" w:w="3000"/>
          </w:tcPr>
          <w:p>
            <w:r>
              <w:rPr>
                <w:sz w:val="20"/>
                <w:szCs w:val="20"/>
              </w:rPr>
              <w:t xml:space="preserve">$37,704</w:t>
            </w:r>
          </w:p>
        </w:tc>
        <w:tc>
          <w:tcPr>
            <w:tcW w:type="dxa" w:w="8500"/>
          </w:tcPr>
          <w:p>
            <w:r>
              <w:rPr>
                <w:sz w:val="20"/>
                <w:szCs w:val="20"/>
              </w:rPr>
              <w:t xml:space="preserve">Likely a large one-off bulk or corporate order during the business's early ramp-up period</w:t>
            </w:r>
          </w:p>
        </w:tc>
      </w:tr>
    </w:tbl>
    <w:p>
      <w:pPr>
        <w:spacing w:after="120"/>
      </w:pPr>
    </w:p>
    <w:p>
      <w:pPr>
        <w:spacing w:after="160"/>
      </w:pPr>
      <w:r>
        <w:t xml:space="preserve">Notably, the very first few months of 2015 also show unusually low weeks — this looks like normal ramp-up noise from a new operation still building order volume, not a warning sign about current performance.</w:t>
      </w:r>
    </w:p>
    <w:p>
      <w:r>
        <w:br w:type="page"/>
      </w:r>
    </w:p>
    <w:p>
      <w:pPr>
        <w:pStyle w:val="Heading2"/>
        <w:spacing w:after="120" w:before="240"/>
      </w:pPr>
      <w:r>
        <w:t xml:space="preserve">Product Demand Segments &amp; Stocking Strategy</w:t>
      </w:r>
    </w:p>
    <w:p>
      <w:pPr>
        <w:spacing w:after="160"/>
      </w:pPr>
      <w:r>
        <w:t xml:space="preserve">We grouped our product sub-categories into four demand "personalities" based on how much they sell, how fast they're growing, and how unpredictable their month-to-month demand is:</w:t>
      </w:r>
    </w:p>
    <w:tbl>
      <w:tblPr>
        <w:tblW w:type="dxa" w:w="15500"/>
        <w:tblBorders>
          <w:top w:val="single" w:color="auto" w:sz="4"/>
          <w:left w:val="single" w:color="auto" w:sz="4"/>
          <w:bottom w:val="single" w:color="auto" w:sz="4"/>
          <w:right w:val="single" w:color="auto" w:sz="4"/>
          <w:insideH w:val="single" w:color="auto" w:sz="4"/>
          <w:insideV w:val="single" w:color="auto" w:sz="4"/>
        </w:tblBorders>
      </w:tblPr>
      <w:tblGrid>
        <w:gridCol w:w="4200"/>
        <w:gridCol w:w="6500"/>
        <w:gridCol w:w="4800"/>
      </w:tblGrid>
      <w:tr>
        <w:tc>
          <w:tcPr>
            <w:tcW w:type="dxa" w:w="4200"/>
            <w:shd w:fill="2F5496" w:val="clear"/>
          </w:tcPr>
          <w:p>
            <w:r>
              <w:rPr>
                <w:b/>
                <w:bCs/>
                <w:color w:val="FFFFFF"/>
                <w:sz w:val="20"/>
                <w:szCs w:val="20"/>
              </w:rPr>
              <w:t xml:space="preserve">Segment</w:t>
            </w:r>
          </w:p>
        </w:tc>
        <w:tc>
          <w:tcPr>
            <w:tcW w:type="dxa" w:w="6500"/>
            <w:shd w:fill="2F5496" w:val="clear"/>
          </w:tcPr>
          <w:p>
            <w:r>
              <w:rPr>
                <w:b/>
                <w:bCs/>
                <w:color w:val="FFFFFF"/>
                <w:sz w:val="20"/>
                <w:szCs w:val="20"/>
              </w:rPr>
              <w:t xml:space="preserve">Products</w:t>
            </w:r>
          </w:p>
        </w:tc>
        <w:tc>
          <w:tcPr>
            <w:tcW w:type="dxa" w:w="4800"/>
            <w:shd w:fill="2F5496" w:val="clear"/>
          </w:tcPr>
          <w:p>
            <w:r>
              <w:rPr>
                <w:b/>
                <w:bCs/>
                <w:color w:val="FFFFFF"/>
                <w:sz w:val="20"/>
                <w:szCs w:val="20"/>
              </w:rPr>
              <w:t xml:space="preserve">Recommended Stocking Strategy</w:t>
            </w:r>
          </w:p>
        </w:tc>
      </w:tr>
      <w:tr>
        <w:tc>
          <w:tcPr>
            <w:tcW w:type="dxa" w:w="4200"/>
          </w:tcPr>
          <w:p>
            <w:r>
              <w:rPr>
                <w:sz w:val="20"/>
                <w:szCs w:val="20"/>
              </w:rPr>
              <w:t xml:space="preserve">High Volume, Stable Demand</w:t>
            </w:r>
          </w:p>
        </w:tc>
        <w:tc>
          <w:tcPr>
            <w:tcW w:type="dxa" w:w="6500"/>
          </w:tcPr>
          <w:p>
            <w:r>
              <w:rPr>
                <w:sz w:val="20"/>
                <w:szCs w:val="20"/>
              </w:rPr>
              <w:t xml:space="preserve">Accessories, Binders, Chairs, Phones, Storage, Tables</w:t>
            </w:r>
          </w:p>
        </w:tc>
        <w:tc>
          <w:tcPr>
            <w:tcW w:type="dxa" w:w="4800"/>
          </w:tcPr>
          <w:p>
            <w:r>
              <w:rPr>
                <w:sz w:val="20"/>
                <w:szCs w:val="20"/>
              </w:rPr>
              <w:t xml:space="preserve">Keep consistently high stock — these are reliable revenue drivers where running out is costlier than overstocking.</w:t>
            </w:r>
          </w:p>
        </w:tc>
      </w:tr>
      <w:tr>
        <w:tc>
          <w:tcPr>
            <w:tcW w:type="dxa" w:w="4200"/>
          </w:tcPr>
          <w:p>
            <w:r>
              <w:rPr>
                <w:sz w:val="20"/>
                <w:szCs w:val="20"/>
              </w:rPr>
              <w:t xml:space="preserve">Moderate Volume, Stable Demand</w:t>
            </w:r>
          </w:p>
        </w:tc>
        <w:tc>
          <w:tcPr>
            <w:tcW w:type="dxa" w:w="6500"/>
          </w:tcPr>
          <w:p>
            <w:r>
              <w:rPr>
                <w:sz w:val="20"/>
                <w:szCs w:val="20"/>
              </w:rPr>
              <w:t xml:space="preserve">Appliances, Art, Bookcases, Envelopes, Fasteners, Furnishings, Labels, Paper</w:t>
            </w:r>
          </w:p>
        </w:tc>
        <w:tc>
          <w:tcPr>
            <w:tcW w:type="dxa" w:w="4800"/>
          </w:tcPr>
          <w:p>
            <w:r>
              <w:rPr>
                <w:sz w:val="20"/>
                <w:szCs w:val="20"/>
              </w:rPr>
              <w:t xml:space="preserve">Maintain steady inventory with routine reorders; low risk of surprises.</w:t>
            </w:r>
          </w:p>
        </w:tc>
      </w:tr>
      <w:tr>
        <w:tc>
          <w:tcPr>
            <w:tcW w:type="dxa" w:w="4200"/>
          </w:tcPr>
          <w:p>
            <w:r>
              <w:rPr>
                <w:sz w:val="20"/>
                <w:szCs w:val="20"/>
              </w:rPr>
              <w:t xml:space="preserve">Moderate Volume, Volatile Demand</w:t>
            </w:r>
          </w:p>
        </w:tc>
        <w:tc>
          <w:tcPr>
            <w:tcW w:type="dxa" w:w="6500"/>
          </w:tcPr>
          <w:p>
            <w:r>
              <w:rPr>
                <w:sz w:val="20"/>
                <w:szCs w:val="20"/>
              </w:rPr>
              <w:t xml:space="preserve">Copiers, Machines</w:t>
            </w:r>
          </w:p>
        </w:tc>
        <w:tc>
          <w:tcPr>
            <w:tcW w:type="dxa" w:w="4800"/>
          </w:tcPr>
          <w:p>
            <w:r>
              <w:rPr>
                <w:sz w:val="20"/>
                <w:szCs w:val="20"/>
              </w:rPr>
              <w:t xml:space="preserve">Stock conservatively despite high order values — demand here swings unpredictably, so avoid overcommitting capital.</w:t>
            </w:r>
          </w:p>
        </w:tc>
      </w:tr>
      <w:tr>
        <w:tc>
          <w:tcPr>
            <w:tcW w:type="dxa" w:w="4200"/>
          </w:tcPr>
          <w:p>
            <w:r>
              <w:rPr>
                <w:sz w:val="20"/>
                <w:szCs w:val="20"/>
              </w:rPr>
              <w:t xml:space="preserve">Growing Demand</w:t>
            </w:r>
          </w:p>
        </w:tc>
        <w:tc>
          <w:tcPr>
            <w:tcW w:type="dxa" w:w="6500"/>
          </w:tcPr>
          <w:p>
            <w:r>
              <w:rPr>
                <w:sz w:val="20"/>
                <w:szCs w:val="20"/>
              </w:rPr>
              <w:t xml:space="preserve">Supplies</w:t>
            </w:r>
          </w:p>
        </w:tc>
        <w:tc>
          <w:tcPr>
            <w:tcW w:type="dxa" w:w="4800"/>
          </w:tcPr>
          <w:p>
            <w:r>
              <w:rPr>
                <w:sz w:val="20"/>
                <w:szCs w:val="20"/>
              </w:rPr>
              <w:t xml:space="preserve">Increase stock ahead of demand and monitor closely — this segment is expanding faster than the rest of the business.</w:t>
            </w:r>
          </w:p>
        </w:tc>
      </w:tr>
    </w:tbl>
    <w:p>
      <w:pPr>
        <w:pStyle w:val="Heading2"/>
        <w:spacing w:after="120" w:before="240"/>
      </w:pPr>
      <w:r>
        <w:t xml:space="preserve">Business Recommendations</w:t>
      </w:r>
    </w:p>
    <w:p>
      <w:pPr>
        <w:pStyle w:val="ListParagraph"/>
        <w:numPr>
          <w:ilvl w:val="0"/>
          <w:numId w:val="1"/>
        </w:numPr>
        <w:spacing w:after="100"/>
      </w:pPr>
      <w:r>
        <w:t xml:space="preserve">Front-load inventory and staffing for September through December every year — this is a predictable, recurring pattern (confirmed across all four years of data), not a one-time event, so it should be built into annual planning rather than reacted to each time.</w:t>
      </w:r>
    </w:p>
    <w:p>
      <w:pPr>
        <w:pStyle w:val="ListParagraph"/>
        <w:numPr>
          <w:ilvl w:val="0"/>
          <w:numId w:val="1"/>
        </w:numPr>
        <w:spacing w:after="100"/>
      </w:pPr>
      <w:r>
        <w:t xml:space="preserve">Double down on Technology and the East region — Technology is the single largest revenue driver and East is the most dependable grower, making them the safest segments for expansion investment.</w:t>
      </w:r>
    </w:p>
    <w:p>
      <w:pPr>
        <w:pStyle w:val="ListParagraph"/>
        <w:numPr>
          <w:ilvl w:val="0"/>
          <w:numId w:val="1"/>
        </w:numPr>
        <w:spacing w:after="100"/>
      </w:pPr>
      <w:r>
        <w:t xml:space="preserve">Apply the four-cluster stocking framework above to purchasing decisions — treating Copiers/Machines with the same inventory approach as stable items like Binders or Paper risks tying up capital in slow-moving, unpredictable stock.</w:t>
      </w:r>
    </w:p>
    <w:p>
      <w:pPr>
        <w:pStyle w:val="Heading2"/>
        <w:spacing w:after="120" w:before="240"/>
      </w:pPr>
      <w:r>
        <w:t xml:space="preserve">Risk &amp; Limitation</w:t>
      </w:r>
    </w:p>
    <w:p>
      <w:pPr>
        <w:spacing w:after="160"/>
      </w:pPr>
      <w:r>
        <w:t xml:space="preserve">This system was built and validated on only four years of history, and the forecasting model's accuracy was tested against just three recent months. A single unusually large or small month can meaningfully shift what looks like the "best" model, so these forecasts should inform planning — with a buffer — rather than replace judgment on major inventory or staffing commitments. As more months of data accumulate, the forecasts should be re-validated and the model retrained.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2026-07-08T22:35:47.110Z</dcterms:created>
  <dcterms:modified xsi:type="dcterms:W3CDTF">2026-07-08T22:35:47.124Z</dcterms:modified>
</cp:coreProperties>
</file>

<file path=docProps/custom.xml><?xml version="1.0" encoding="utf-8"?>
<Properties xmlns="http://schemas.openxmlformats.org/officeDocument/2006/custom-properties" xmlns:vt="http://schemas.openxmlformats.org/officeDocument/2006/docPropsVTypes"/>
</file>