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threat-model.md"/>
    <w:p>
      <w:pPr>
        <w:pStyle w:val="Heading1"/>
      </w:pPr>
      <w:r>
        <w:t xml:space="preserve">threat-model.md</w:t>
      </w:r>
    </w:p>
    <w:bookmarkEnd w:id="20"/>
    <w:bookmarkStart w:id="22" w:name="meridian-finserve-joint-threat-model"/>
    <w:p>
      <w:pPr>
        <w:pStyle w:val="Heading1"/>
      </w:pPr>
      <w:r>
        <w:t xml:space="preserve">Meridian FinServe Joint Threat Model</w:t>
      </w:r>
    </w:p>
    <w:bookmarkStart w:id="21" w:name="objective"/>
    <w:p>
      <w:pPr>
        <w:pStyle w:val="Heading2"/>
      </w:pPr>
      <w:r>
        <w:t xml:space="preserve">Objective</w:t>
      </w:r>
    </w:p>
    <w:p>
      <w:pPr>
        <w:pStyle w:val="FirstParagraph"/>
      </w:pPr>
      <w:r>
        <w:t xml:space="preserve">This threat model analyzes Meridian FinServe as a unified environment consisting of:</w:t>
      </w:r>
    </w:p>
    <w:p>
      <w:pPr>
        <w:pStyle w:val="Compact"/>
        <w:numPr>
          <w:ilvl w:val="0"/>
          <w:numId w:val="1001"/>
        </w:numPr>
      </w:pPr>
      <w:r>
        <w:t xml:space="preserve">Internet-facing customer applications</w:t>
      </w:r>
    </w:p>
    <w:p>
      <w:pPr>
        <w:pStyle w:val="Compact"/>
        <w:numPr>
          <w:ilvl w:val="0"/>
          <w:numId w:val="1001"/>
        </w:numPr>
      </w:pPr>
      <w:r>
        <w:t xml:space="preserve">Employee web applications</w:t>
      </w:r>
    </w:p>
    <w:p>
      <w:pPr>
        <w:pStyle w:val="Compact"/>
        <w:numPr>
          <w:ilvl w:val="0"/>
          <w:numId w:val="1001"/>
        </w:numPr>
      </w:pPr>
      <w:r>
        <w:t xml:space="preserve">Internal Active Directory infrastructure</w:t>
      </w:r>
    </w:p>
    <w:p>
      <w:pPr>
        <w:pStyle w:val="Compact"/>
        <w:numPr>
          <w:ilvl w:val="0"/>
          <w:numId w:val="1001"/>
        </w:numPr>
      </w:pPr>
      <w:r>
        <w:t xml:space="preserve">Internal file-sharing services</w:t>
      </w:r>
    </w:p>
    <w:p>
      <w:pPr>
        <w:pStyle w:val="Compact"/>
        <w:numPr>
          <w:ilvl w:val="0"/>
          <w:numId w:val="1001"/>
        </w:numPr>
      </w:pPr>
      <w:r>
        <w:t xml:space="preserve">Workstations and servers</w:t>
      </w:r>
    </w:p>
    <w:p>
      <w:pPr>
        <w:pStyle w:val="Compact"/>
        <w:numPr>
          <w:ilvl w:val="0"/>
          <w:numId w:val="1001"/>
        </w:numPr>
      </w:pPr>
      <w:r>
        <w:t xml:space="preserve">Security monitoring infrastructure</w:t>
      </w:r>
    </w:p>
    <w:p>
      <w:pPr>
        <w:pStyle w:val="FirstParagraph"/>
      </w:pPr>
      <w:r>
        <w:t xml:space="preserve">The assessment combines findings from:</w:t>
      </w:r>
    </w:p>
    <w:p>
      <w:pPr>
        <w:pStyle w:val="Compact"/>
        <w:numPr>
          <w:ilvl w:val="0"/>
          <w:numId w:val="1002"/>
        </w:numPr>
      </w:pPr>
      <w:r>
        <w:t xml:space="preserve">Workstream A (Network Forensics – IcedID Investigation)</w:t>
      </w:r>
    </w:p>
    <w:p>
      <w:pPr>
        <w:pStyle w:val="Compact"/>
        <w:numPr>
          <w:ilvl w:val="0"/>
          <w:numId w:val="1002"/>
        </w:numPr>
      </w:pPr>
      <w:r>
        <w:t xml:space="preserve">Workstream B (Web Application Security – DVWA &amp; OWASP Juice Shop)</w:t>
      </w:r>
    </w:p>
    <w:p>
      <w:r>
        <w:pict>
          <v:rect style="width:0;height:1.5pt" o:hralign="center" o:hrstd="t" o:hr="t"/>
        </w:pict>
      </w:r>
    </w:p>
    <w:bookmarkEnd w:id="21"/>
    <w:bookmarkEnd w:id="22"/>
    <w:bookmarkStart w:id="23" w:name="assets"/>
    <w:p>
      <w:pPr>
        <w:pStyle w:val="Heading1"/>
      </w:pPr>
      <w:r>
        <w:t xml:space="preserve">Assets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Asset</w:t>
            </w:r>
          </w:p>
        </w:tc>
        <w:tc>
          <w:tcPr/>
          <w:p>
            <w:pPr>
              <w:pStyle w:val="Compact"/>
            </w:pPr>
            <w:r>
              <w:t xml:space="preserve">Criticality</w:t>
            </w:r>
          </w:p>
        </w:tc>
      </w:tr>
      <w:tr>
        <w:tc>
          <w:tcPr/>
          <w:p>
            <w:pPr>
              <w:pStyle w:val="Compact"/>
            </w:pPr>
            <w:r>
              <w:t xml:space="preserve">Customer Data</w:t>
            </w:r>
          </w:p>
        </w:tc>
        <w:tc>
          <w:tcPr/>
          <w:p>
            <w:pPr>
              <w:pStyle w:val="Compact"/>
            </w:pPr>
            <w:r>
              <w:t xml:space="preserve">High</w:t>
            </w:r>
          </w:p>
        </w:tc>
      </w:tr>
      <w:tr>
        <w:tc>
          <w:tcPr/>
          <w:p>
            <w:pPr>
              <w:pStyle w:val="Compact"/>
            </w:pPr>
            <w:r>
              <w:t xml:space="preserve">Employee Credentials</w:t>
            </w:r>
          </w:p>
        </w:tc>
        <w:tc>
          <w:tcPr/>
          <w:p>
            <w:pPr>
              <w:pStyle w:val="Compact"/>
            </w:pPr>
            <w:r>
              <w:t xml:space="preserve">High</w:t>
            </w:r>
          </w:p>
        </w:tc>
      </w:tr>
      <w:tr>
        <w:tc>
          <w:tcPr/>
          <w:p>
            <w:pPr>
              <w:pStyle w:val="Compact"/>
            </w:pPr>
            <w:r>
              <w:t xml:space="preserve">Active Directory</w:t>
            </w:r>
          </w:p>
        </w:tc>
        <w:tc>
          <w:tcPr/>
          <w:p>
            <w:pPr>
              <w:pStyle w:val="Compact"/>
            </w:pPr>
            <w:r>
              <w:t xml:space="preserve">Critical</w:t>
            </w:r>
          </w:p>
        </w:tc>
      </w:tr>
      <w:tr>
        <w:tc>
          <w:tcPr/>
          <w:p>
            <w:pPr>
              <w:pStyle w:val="Compact"/>
            </w:pPr>
            <w:r>
              <w:t xml:space="preserve">Financial Records</w:t>
            </w:r>
          </w:p>
        </w:tc>
        <w:tc>
          <w:tcPr/>
          <w:p>
            <w:pPr>
              <w:pStyle w:val="Compact"/>
            </w:pPr>
            <w:r>
              <w:t xml:space="preserve">Critical</w:t>
            </w:r>
          </w:p>
        </w:tc>
      </w:tr>
      <w:tr>
        <w:tc>
          <w:tcPr/>
          <w:p>
            <w:pPr>
              <w:pStyle w:val="Compact"/>
            </w:pPr>
            <w:r>
              <w:t xml:space="preserve">Internal Databases</w:t>
            </w:r>
          </w:p>
        </w:tc>
        <w:tc>
          <w:tcPr/>
          <w:p>
            <w:pPr>
              <w:pStyle w:val="Compact"/>
            </w:pPr>
            <w:r>
              <w:t xml:space="preserve">High</w:t>
            </w:r>
          </w:p>
        </w:tc>
      </w:tr>
      <w:tr>
        <w:tc>
          <w:tcPr/>
          <w:p>
            <w:pPr>
              <w:pStyle w:val="Compact"/>
            </w:pPr>
            <w:r>
              <w:t xml:space="preserve">Authentication Services</w:t>
            </w:r>
          </w:p>
        </w:tc>
        <w:tc>
          <w:tcPr/>
          <w:p>
            <w:pPr>
              <w:pStyle w:val="Compact"/>
            </w:pPr>
            <w:r>
              <w:t xml:space="preserve">Critical</w:t>
            </w:r>
          </w:p>
        </w:tc>
      </w:tr>
    </w:tbl>
    <w:p>
      <w:r>
        <w:pict>
          <v:rect style="width:0;height:1.5pt" o:hralign="center" o:hrstd="t" o:hr="t"/>
        </w:pict>
      </w:r>
    </w:p>
    <w:bookmarkEnd w:id="23"/>
    <w:bookmarkStart w:id="27" w:name="trust-boundaries"/>
    <w:p>
      <w:pPr>
        <w:pStyle w:val="Heading1"/>
      </w:pPr>
      <w:r>
        <w:t xml:space="preserve">Trust Boundaries</w:t>
      </w:r>
    </w:p>
    <w:bookmarkStart w:id="24" w:name="tb-1-internet-web-applications"/>
    <w:p>
      <w:pPr>
        <w:pStyle w:val="Heading2"/>
      </w:pPr>
      <w:r>
        <w:t xml:space="preserve">TB-1 Internet → Web Applications</w:t>
      </w:r>
    </w:p>
    <w:p>
      <w:pPr>
        <w:pStyle w:val="FirstParagraph"/>
      </w:pPr>
      <w:r>
        <w:t xml:space="preserve">Users access:</w:t>
      </w:r>
    </w:p>
    <w:p>
      <w:pPr>
        <w:pStyle w:val="Compact"/>
        <w:numPr>
          <w:ilvl w:val="0"/>
          <w:numId w:val="1003"/>
        </w:numPr>
      </w:pPr>
      <w:r>
        <w:t xml:space="preserve">Customer Portal</w:t>
      </w:r>
    </w:p>
    <w:p>
      <w:pPr>
        <w:pStyle w:val="Compact"/>
        <w:numPr>
          <w:ilvl w:val="0"/>
          <w:numId w:val="1003"/>
        </w:numPr>
      </w:pPr>
      <w:r>
        <w:t xml:space="preserve">Employee Portal</w:t>
      </w:r>
    </w:p>
    <w:p>
      <w:pPr>
        <w:pStyle w:val="Compact"/>
        <w:numPr>
          <w:ilvl w:val="0"/>
          <w:numId w:val="1003"/>
        </w:numPr>
      </w:pPr>
      <w:r>
        <w:t xml:space="preserve">APIs</w:t>
      </w:r>
    </w:p>
    <w:p>
      <w:pPr>
        <w:pStyle w:val="FirstParagraph"/>
      </w:pPr>
      <w:r>
        <w:t xml:space="preserve">Threats:</w:t>
      </w:r>
    </w:p>
    <w:p>
      <w:pPr>
        <w:pStyle w:val="Compact"/>
        <w:numPr>
          <w:ilvl w:val="0"/>
          <w:numId w:val="1004"/>
        </w:numPr>
      </w:pPr>
      <w:r>
        <w:t xml:space="preserve">SQL Injection</w:t>
      </w:r>
    </w:p>
    <w:p>
      <w:pPr>
        <w:pStyle w:val="Compact"/>
        <w:numPr>
          <w:ilvl w:val="0"/>
          <w:numId w:val="1004"/>
        </w:numPr>
      </w:pPr>
      <w:r>
        <w:t xml:space="preserve">XSS</w:t>
      </w:r>
    </w:p>
    <w:p>
      <w:pPr>
        <w:pStyle w:val="Compact"/>
        <w:numPr>
          <w:ilvl w:val="0"/>
          <w:numId w:val="1004"/>
        </w:numPr>
      </w:pPr>
      <w:r>
        <w:t xml:space="preserve">Session Hijacking</w:t>
      </w:r>
    </w:p>
    <w:p>
      <w:pPr>
        <w:pStyle w:val="Compact"/>
        <w:numPr>
          <w:ilvl w:val="0"/>
          <w:numId w:val="1004"/>
        </w:numPr>
      </w:pPr>
      <w:r>
        <w:t xml:space="preserve">File Upload Abuse</w:t>
      </w:r>
    </w:p>
    <w:p>
      <w:r>
        <w:pict>
          <v:rect style="width:0;height:1.5pt" o:hralign="center" o:hrstd="t" o:hr="t"/>
        </w:pict>
      </w:r>
    </w:p>
    <w:bookmarkEnd w:id="24"/>
    <w:bookmarkStart w:id="25" w:name="tb-2-web-applications-database"/>
    <w:p>
      <w:pPr>
        <w:pStyle w:val="Heading2"/>
      </w:pPr>
      <w:r>
        <w:t xml:space="preserve">TB-2 Web Applications → Database</w:t>
      </w:r>
    </w:p>
    <w:p>
      <w:pPr>
        <w:pStyle w:val="FirstParagraph"/>
      </w:pPr>
      <w:r>
        <w:t xml:space="preserve">Applications communicate with backend databases.</w:t>
      </w:r>
    </w:p>
    <w:p>
      <w:pPr>
        <w:pStyle w:val="BodyText"/>
      </w:pPr>
      <w:r>
        <w:t xml:space="preserve">Threats:</w:t>
      </w:r>
    </w:p>
    <w:p>
      <w:pPr>
        <w:pStyle w:val="Compact"/>
        <w:numPr>
          <w:ilvl w:val="0"/>
          <w:numId w:val="1005"/>
        </w:numPr>
      </w:pPr>
      <w:r>
        <w:t xml:space="preserve">Unauthorized Queries</w:t>
      </w:r>
    </w:p>
    <w:p>
      <w:pPr>
        <w:pStyle w:val="Compact"/>
        <w:numPr>
          <w:ilvl w:val="0"/>
          <w:numId w:val="1005"/>
        </w:numPr>
      </w:pPr>
      <w:r>
        <w:t xml:space="preserve">Data Manipulation</w:t>
      </w:r>
    </w:p>
    <w:p>
      <w:pPr>
        <w:pStyle w:val="Compact"/>
        <w:numPr>
          <w:ilvl w:val="0"/>
          <w:numId w:val="1005"/>
        </w:numPr>
      </w:pPr>
      <w:r>
        <w:t xml:space="preserve">Credential Theft</w:t>
      </w:r>
    </w:p>
    <w:p>
      <w:r>
        <w:pict>
          <v:rect style="width:0;height:1.5pt" o:hralign="center" o:hrstd="t" o:hr="t"/>
        </w:pict>
      </w:r>
    </w:p>
    <w:bookmarkEnd w:id="25"/>
    <w:bookmarkStart w:id="26" w:name="tb-3-internal-network-active-directory"/>
    <w:p>
      <w:pPr>
        <w:pStyle w:val="Heading2"/>
      </w:pPr>
      <w:r>
        <w:t xml:space="preserve">TB-3 Internal Network → Active Directory</w:t>
      </w:r>
    </w:p>
    <w:p>
      <w:pPr>
        <w:pStyle w:val="FirstParagraph"/>
      </w:pPr>
      <w:r>
        <w:t xml:space="preserve">Workstations communicate with:</w:t>
      </w:r>
    </w:p>
    <w:p>
      <w:pPr>
        <w:pStyle w:val="Compact"/>
        <w:numPr>
          <w:ilvl w:val="0"/>
          <w:numId w:val="1006"/>
        </w:numPr>
      </w:pPr>
      <w:r>
        <w:t xml:space="preserve">LDAP</w:t>
      </w:r>
    </w:p>
    <w:p>
      <w:pPr>
        <w:pStyle w:val="Compact"/>
        <w:numPr>
          <w:ilvl w:val="0"/>
          <w:numId w:val="1006"/>
        </w:numPr>
      </w:pPr>
      <w:r>
        <w:t xml:space="preserve">Kerberos</w:t>
      </w:r>
    </w:p>
    <w:p>
      <w:pPr>
        <w:pStyle w:val="Compact"/>
        <w:numPr>
          <w:ilvl w:val="0"/>
          <w:numId w:val="1006"/>
        </w:numPr>
      </w:pPr>
      <w:r>
        <w:t xml:space="preserve">SMB</w:t>
      </w:r>
    </w:p>
    <w:p>
      <w:pPr>
        <w:pStyle w:val="Compact"/>
        <w:numPr>
          <w:ilvl w:val="0"/>
          <w:numId w:val="1006"/>
        </w:numPr>
      </w:pPr>
      <w:r>
        <w:t xml:space="preserve">DCE/RPC</w:t>
      </w:r>
    </w:p>
    <w:p>
      <w:pPr>
        <w:pStyle w:val="FirstParagraph"/>
      </w:pPr>
      <w:r>
        <w:t xml:space="preserve">Threats:</w:t>
      </w:r>
    </w:p>
    <w:p>
      <w:pPr>
        <w:pStyle w:val="Compact"/>
        <w:numPr>
          <w:ilvl w:val="0"/>
          <w:numId w:val="1007"/>
        </w:numPr>
      </w:pPr>
      <w:r>
        <w:t xml:space="preserve">Credential Abuse</w:t>
      </w:r>
    </w:p>
    <w:p>
      <w:pPr>
        <w:pStyle w:val="Compact"/>
        <w:numPr>
          <w:ilvl w:val="0"/>
          <w:numId w:val="1007"/>
        </w:numPr>
      </w:pPr>
      <w:r>
        <w:t xml:space="preserve">Domain Enumeration</w:t>
      </w:r>
    </w:p>
    <w:p>
      <w:pPr>
        <w:pStyle w:val="Compact"/>
        <w:numPr>
          <w:ilvl w:val="0"/>
          <w:numId w:val="1007"/>
        </w:numPr>
      </w:pPr>
      <w:r>
        <w:t xml:space="preserve">DCSync Preparation</w:t>
      </w:r>
    </w:p>
    <w:p>
      <w:r>
        <w:pict>
          <v:rect style="width:0;height:1.5pt" o:hralign="center" o:hrstd="t" o:hr="t"/>
        </w:pict>
      </w:r>
    </w:p>
    <w:bookmarkEnd w:id="26"/>
    <w:bookmarkEnd w:id="27"/>
    <w:bookmarkStart w:id="28" w:name="stride-analysis"/>
    <w:p>
      <w:pPr>
        <w:pStyle w:val="Heading1"/>
      </w:pPr>
      <w:r>
        <w:t xml:space="preserve">STRIDE Analysis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Threat</w:t>
            </w:r>
          </w:p>
        </w:tc>
      </w:tr>
      <w:tr>
        <w:tc>
          <w:tcPr/>
          <w:p>
            <w:pPr>
              <w:pStyle w:val="Compact"/>
            </w:pPr>
            <w:r>
              <w:t xml:space="preserve">Spoofing</w:t>
            </w:r>
          </w:p>
        </w:tc>
        <w:tc>
          <w:tcPr/>
          <w:p>
            <w:pPr>
              <w:pStyle w:val="Compact"/>
            </w:pPr>
            <w:r>
              <w:t xml:space="preserve">Credential theft through web compromise</w:t>
            </w:r>
          </w:p>
        </w:tc>
      </w:tr>
      <w:tr>
        <w:tc>
          <w:tcPr/>
          <w:p>
            <w:pPr>
              <w:pStyle w:val="Compact"/>
            </w:pPr>
            <w:r>
              <w:t xml:space="preserve">Tampering</w:t>
            </w:r>
          </w:p>
        </w:tc>
        <w:tc>
          <w:tcPr/>
          <w:p>
            <w:pPr>
              <w:pStyle w:val="Compact"/>
            </w:pPr>
            <w:r>
              <w:t xml:space="preserve">SQL Injection modifying backend data</w:t>
            </w:r>
          </w:p>
        </w:tc>
      </w:tr>
      <w:tr>
        <w:tc>
          <w:tcPr/>
          <w:p>
            <w:pPr>
              <w:pStyle w:val="Compact"/>
            </w:pPr>
            <w:r>
              <w:t xml:space="preserve">Repudiation</w:t>
            </w:r>
          </w:p>
        </w:tc>
        <w:tc>
          <w:tcPr/>
          <w:p>
            <w:pPr>
              <w:pStyle w:val="Compact"/>
            </w:pPr>
            <w:r>
              <w:t xml:space="preserve">Inadequate audit logging</w:t>
            </w:r>
          </w:p>
        </w:tc>
      </w:tr>
      <w:tr>
        <w:tc>
          <w:tcPr/>
          <w:p>
            <w:pPr>
              <w:pStyle w:val="Compact"/>
            </w:pPr>
            <w:r>
              <w:t xml:space="preserve">Information Disclosure</w:t>
            </w:r>
          </w:p>
        </w:tc>
        <w:tc>
          <w:tcPr/>
          <w:p>
            <w:pPr>
              <w:pStyle w:val="Compact"/>
            </w:pPr>
            <w:r>
              <w:t xml:space="preserve">Missing security headers and AD enumeration</w:t>
            </w:r>
          </w:p>
        </w:tc>
      </w:tr>
      <w:tr>
        <w:tc>
          <w:tcPr/>
          <w:p>
            <w:pPr>
              <w:pStyle w:val="Compact"/>
            </w:pPr>
            <w:r>
              <w:t xml:space="preserve">Denial of Service</w:t>
            </w:r>
          </w:p>
        </w:tc>
        <w:tc>
          <w:tcPr/>
          <w:p>
            <w:pPr>
              <w:pStyle w:val="Compact"/>
            </w:pPr>
            <w:r>
              <w:t xml:space="preserve">Application resource exhaustion</w:t>
            </w:r>
          </w:p>
        </w:tc>
      </w:tr>
      <w:tr>
        <w:tc>
          <w:tcPr/>
          <w:p>
            <w:pPr>
              <w:pStyle w:val="Compact"/>
            </w:pPr>
            <w:r>
              <w:t xml:space="preserve">Elevation of Privilege</w:t>
            </w:r>
          </w:p>
        </w:tc>
        <w:tc>
          <w:tcPr/>
          <w:p>
            <w:pPr>
              <w:pStyle w:val="Compact"/>
            </w:pPr>
            <w:r>
              <w:t xml:space="preserve">LDAP/Kerberos abuse leading to domain compromise</w:t>
            </w:r>
          </w:p>
        </w:tc>
      </w:tr>
    </w:tbl>
    <w:p>
      <w:r>
        <w:pict>
          <v:rect style="width:0;height:1.5pt" o:hralign="center" o:hrstd="t" o:hr="t"/>
        </w:pict>
      </w:r>
    </w:p>
    <w:bookmarkEnd w:id="28"/>
    <w:bookmarkStart w:id="34" w:name="cross-surface-threat-1"/>
    <w:p>
      <w:pPr>
        <w:pStyle w:val="Heading1"/>
      </w:pPr>
      <w:r>
        <w:t xml:space="preserve">Cross-Surface Threat #1</w:t>
      </w:r>
    </w:p>
    <w:bookmarkStart w:id="33" w:name="X6748b7a3a83fe41102fe959712719705e7ee03f"/>
    <w:p>
      <w:pPr>
        <w:pStyle w:val="Heading2"/>
      </w:pPr>
      <w:r>
        <w:t xml:space="preserve">SQL Injection → Active Directory Compromise</w:t>
      </w:r>
    </w:p>
    <w:bookmarkStart w:id="29" w:name="attack-flow"/>
    <w:p>
      <w:pPr>
        <w:pStyle w:val="Heading3"/>
      </w:pPr>
      <w:r>
        <w:t xml:space="preserve">Attack Flow</w:t>
      </w:r>
    </w:p>
    <w:p>
      <w:pPr>
        <w:pStyle w:val="Compact"/>
        <w:numPr>
          <w:ilvl w:val="0"/>
          <w:numId w:val="1008"/>
        </w:numPr>
      </w:pPr>
      <w:r>
        <w:t xml:space="preserve">SQL Injection exploited in employee portal.</w:t>
      </w:r>
    </w:p>
    <w:p>
      <w:pPr>
        <w:pStyle w:val="Compact"/>
        <w:numPr>
          <w:ilvl w:val="0"/>
          <w:numId w:val="1008"/>
        </w:numPr>
      </w:pPr>
      <w:r>
        <w:t xml:space="preserve">Database credentials exposed.</w:t>
      </w:r>
    </w:p>
    <w:p>
      <w:pPr>
        <w:pStyle w:val="Compact"/>
        <w:numPr>
          <w:ilvl w:val="0"/>
          <w:numId w:val="1008"/>
        </w:numPr>
      </w:pPr>
      <w:r>
        <w:t xml:space="preserve">Credentials reused internally.</w:t>
      </w:r>
    </w:p>
    <w:p>
      <w:pPr>
        <w:pStyle w:val="Compact"/>
        <w:numPr>
          <w:ilvl w:val="0"/>
          <w:numId w:val="1008"/>
        </w:numPr>
      </w:pPr>
      <w:r>
        <w:t xml:space="preserve">LDAP authentication performed.</w:t>
      </w:r>
    </w:p>
    <w:p>
      <w:pPr>
        <w:pStyle w:val="Compact"/>
        <w:numPr>
          <w:ilvl w:val="0"/>
          <w:numId w:val="1008"/>
        </w:numPr>
      </w:pPr>
      <w:r>
        <w:t xml:space="preserve">Kerberos tickets requested.</w:t>
      </w:r>
    </w:p>
    <w:p>
      <w:pPr>
        <w:pStyle w:val="Compact"/>
        <w:numPr>
          <w:ilvl w:val="0"/>
          <w:numId w:val="1008"/>
        </w:numPr>
      </w:pPr>
      <w:r>
        <w:t xml:space="preserve">SMB sessions established.</w:t>
      </w:r>
    </w:p>
    <w:p>
      <w:pPr>
        <w:pStyle w:val="Compact"/>
        <w:numPr>
          <w:ilvl w:val="0"/>
          <w:numId w:val="1008"/>
        </w:numPr>
      </w:pPr>
      <w:r>
        <w:t xml:space="preserve">DRSUAPI discovered.</w:t>
      </w:r>
    </w:p>
    <w:p>
      <w:pPr>
        <w:pStyle w:val="Compact"/>
        <w:numPr>
          <w:ilvl w:val="0"/>
          <w:numId w:val="1008"/>
        </w:numPr>
      </w:pPr>
      <w:r>
        <w:t xml:space="preserve">DCSync attack attempted.</w:t>
      </w:r>
    </w:p>
    <w:bookmarkEnd w:id="29"/>
    <w:bookmarkStart w:id="30" w:name="workstream-b-evidence"/>
    <w:p>
      <w:pPr>
        <w:pStyle w:val="Heading3"/>
      </w:pPr>
      <w:r>
        <w:t xml:space="preserve">Workstream B Evidence</w:t>
      </w:r>
    </w:p>
    <w:p>
      <w:pPr>
        <w:pStyle w:val="Compact"/>
        <w:numPr>
          <w:ilvl w:val="0"/>
          <w:numId w:val="1009"/>
        </w:numPr>
      </w:pPr>
      <w:r>
        <w:t xml:space="preserve">SQL Injection findings</w:t>
      </w:r>
    </w:p>
    <w:p>
      <w:pPr>
        <w:pStyle w:val="Compact"/>
        <w:numPr>
          <w:ilvl w:val="0"/>
          <w:numId w:val="1009"/>
        </w:numPr>
      </w:pPr>
      <w:r>
        <w:t xml:space="preserve">Weak authentication controls</w:t>
      </w:r>
    </w:p>
    <w:bookmarkEnd w:id="30"/>
    <w:bookmarkStart w:id="31" w:name="workstream-a-evidence"/>
    <w:p>
      <w:pPr>
        <w:pStyle w:val="Heading3"/>
      </w:pPr>
      <w:r>
        <w:t xml:space="preserve">Workstream A Evidence</w:t>
      </w:r>
    </w:p>
    <w:p>
      <w:pPr>
        <w:pStyle w:val="Compact"/>
        <w:numPr>
          <w:ilvl w:val="0"/>
          <w:numId w:val="1010"/>
        </w:numPr>
      </w:pPr>
      <w:r>
        <w:t xml:space="preserve">LDAP SASL Bind</w:t>
      </w:r>
    </w:p>
    <w:p>
      <w:pPr>
        <w:pStyle w:val="Compact"/>
        <w:numPr>
          <w:ilvl w:val="0"/>
          <w:numId w:val="1010"/>
        </w:numPr>
      </w:pPr>
      <w:r>
        <w:t xml:space="preserve">Kerberos PREAUTH_REQUIRED</w:t>
      </w:r>
    </w:p>
    <w:p>
      <w:pPr>
        <w:pStyle w:val="Compact"/>
        <w:numPr>
          <w:ilvl w:val="0"/>
          <w:numId w:val="1010"/>
        </w:numPr>
      </w:pPr>
      <w:r>
        <w:t xml:space="preserve">SMB Session Setup</w:t>
      </w:r>
    </w:p>
    <w:p>
      <w:pPr>
        <w:pStyle w:val="Compact"/>
        <w:numPr>
          <w:ilvl w:val="0"/>
          <w:numId w:val="1010"/>
        </w:numPr>
      </w:pPr>
      <w:r>
        <w:t xml:space="preserve">DRSUAPI Discovery</w:t>
      </w:r>
    </w:p>
    <w:bookmarkEnd w:id="31"/>
    <w:bookmarkStart w:id="32" w:name="business-impact"/>
    <w:p>
      <w:pPr>
        <w:pStyle w:val="Heading3"/>
      </w:pPr>
      <w:r>
        <w:t xml:space="preserve">Business Impact</w:t>
      </w:r>
    </w:p>
    <w:p>
      <w:pPr>
        <w:pStyle w:val="Compact"/>
        <w:numPr>
          <w:ilvl w:val="0"/>
          <w:numId w:val="1011"/>
        </w:numPr>
      </w:pPr>
      <w:r>
        <w:t xml:space="preserve">Full Active Directory compromise</w:t>
      </w:r>
    </w:p>
    <w:p>
      <w:pPr>
        <w:pStyle w:val="Compact"/>
        <w:numPr>
          <w:ilvl w:val="0"/>
          <w:numId w:val="1011"/>
        </w:numPr>
      </w:pPr>
      <w:r>
        <w:t xml:space="preserve">Credential theft</w:t>
      </w:r>
    </w:p>
    <w:p>
      <w:pPr>
        <w:pStyle w:val="Compact"/>
        <w:numPr>
          <w:ilvl w:val="0"/>
          <w:numId w:val="1011"/>
        </w:numPr>
      </w:pPr>
      <w:r>
        <w:t xml:space="preserve">Enterprise-wide access</w:t>
      </w:r>
    </w:p>
    <w:p>
      <w:r>
        <w:pict>
          <v:rect style="width:0;height:1.5pt" o:hralign="center" o:hrstd="t" o:hr="t"/>
        </w:pict>
      </w:r>
    </w:p>
    <w:bookmarkEnd w:id="32"/>
    <w:bookmarkEnd w:id="33"/>
    <w:bookmarkEnd w:id="34"/>
    <w:bookmarkStart w:id="40" w:name="cross-surface-threat-2"/>
    <w:p>
      <w:pPr>
        <w:pStyle w:val="Heading1"/>
      </w:pPr>
      <w:r>
        <w:t xml:space="preserve">Cross-Surface Threat #2</w:t>
      </w:r>
    </w:p>
    <w:bookmarkStart w:id="39" w:name="X45829af9a653eb26d8ab345411574b4395163e2"/>
    <w:p>
      <w:pPr>
        <w:pStyle w:val="Heading2"/>
      </w:pPr>
      <w:r>
        <w:t xml:space="preserve">Web Shell → Malware Infection → Internal Reconnaissance</w:t>
      </w:r>
    </w:p>
    <w:bookmarkStart w:id="35" w:name="attack-flow-1"/>
    <w:p>
      <w:pPr>
        <w:pStyle w:val="Heading3"/>
      </w:pPr>
      <w:r>
        <w:t xml:space="preserve">Attack Flow</w:t>
      </w:r>
    </w:p>
    <w:p>
      <w:pPr>
        <w:pStyle w:val="Compact"/>
        <w:numPr>
          <w:ilvl w:val="0"/>
          <w:numId w:val="1012"/>
        </w:numPr>
      </w:pPr>
      <w:r>
        <w:t xml:space="preserve">Vulnerable file upload abused.</w:t>
      </w:r>
    </w:p>
    <w:p>
      <w:pPr>
        <w:pStyle w:val="Compact"/>
        <w:numPr>
          <w:ilvl w:val="0"/>
          <w:numId w:val="1012"/>
        </w:numPr>
      </w:pPr>
      <w:r>
        <w:t xml:space="preserve">Web shell deployed.</w:t>
      </w:r>
    </w:p>
    <w:p>
      <w:pPr>
        <w:pStyle w:val="Compact"/>
        <w:numPr>
          <w:ilvl w:val="0"/>
          <w:numId w:val="1012"/>
        </w:numPr>
      </w:pPr>
      <w:r>
        <w:t xml:space="preserve">PowerShell downloader executed.</w:t>
      </w:r>
    </w:p>
    <w:p>
      <w:pPr>
        <w:pStyle w:val="Compact"/>
        <w:numPr>
          <w:ilvl w:val="0"/>
          <w:numId w:val="1012"/>
        </w:numPr>
      </w:pPr>
      <w:r>
        <w:t xml:space="preserve">Malware payload installed.</w:t>
      </w:r>
    </w:p>
    <w:p>
      <w:pPr>
        <w:pStyle w:val="Compact"/>
        <w:numPr>
          <w:ilvl w:val="0"/>
          <w:numId w:val="1012"/>
        </w:numPr>
      </w:pPr>
      <w:r>
        <w:t xml:space="preserve">Command-and-control communication established.</w:t>
      </w:r>
    </w:p>
    <w:p>
      <w:pPr>
        <w:pStyle w:val="Compact"/>
        <w:numPr>
          <w:ilvl w:val="0"/>
          <w:numId w:val="1012"/>
        </w:numPr>
      </w:pPr>
      <w:r>
        <w:t xml:space="preserve">Active Directory reconnaissance initiated.</w:t>
      </w:r>
    </w:p>
    <w:p>
      <w:pPr>
        <w:pStyle w:val="Compact"/>
        <w:numPr>
          <w:ilvl w:val="0"/>
          <w:numId w:val="1012"/>
        </w:numPr>
      </w:pPr>
      <w:r>
        <w:t xml:space="preserve">Credential theft preparation observed.</w:t>
      </w:r>
    </w:p>
    <w:bookmarkEnd w:id="35"/>
    <w:bookmarkStart w:id="36" w:name="workstream-b-evidence-1"/>
    <w:p>
      <w:pPr>
        <w:pStyle w:val="Heading3"/>
      </w:pPr>
      <w:r>
        <w:t xml:space="preserve">Workstream B Evidence</w:t>
      </w:r>
    </w:p>
    <w:p>
      <w:pPr>
        <w:pStyle w:val="Compact"/>
        <w:numPr>
          <w:ilvl w:val="0"/>
          <w:numId w:val="1013"/>
        </w:numPr>
      </w:pPr>
      <w:r>
        <w:t xml:space="preserve">File upload weaknesses</w:t>
      </w:r>
    </w:p>
    <w:p>
      <w:pPr>
        <w:pStyle w:val="Compact"/>
        <w:numPr>
          <w:ilvl w:val="0"/>
          <w:numId w:val="1013"/>
        </w:numPr>
      </w:pPr>
      <w:r>
        <w:t xml:space="preserve">Missing security controls</w:t>
      </w:r>
    </w:p>
    <w:bookmarkEnd w:id="36"/>
    <w:bookmarkStart w:id="37" w:name="workstream-a-evidence-1"/>
    <w:p>
      <w:pPr>
        <w:pStyle w:val="Heading3"/>
      </w:pPr>
      <w:r>
        <w:t xml:space="preserve">Workstream A Evidence</w:t>
      </w:r>
    </w:p>
    <w:p>
      <w:pPr>
        <w:pStyle w:val="Compact"/>
        <w:numPr>
          <w:ilvl w:val="0"/>
          <w:numId w:val="1014"/>
        </w:numPr>
      </w:pPr>
      <w:r>
        <w:t xml:space="preserve">LDAP Netlogon Discovery</w:t>
      </w:r>
    </w:p>
    <w:p>
      <w:pPr>
        <w:pStyle w:val="Compact"/>
        <w:numPr>
          <w:ilvl w:val="0"/>
          <w:numId w:val="1014"/>
        </w:numPr>
      </w:pPr>
      <w:r>
        <w:t xml:space="preserve">Kerberos Negotiation</w:t>
      </w:r>
    </w:p>
    <w:p>
      <w:pPr>
        <w:pStyle w:val="Compact"/>
        <w:numPr>
          <w:ilvl w:val="0"/>
          <w:numId w:val="1014"/>
        </w:numPr>
      </w:pPr>
      <w:r>
        <w:t xml:space="preserve">SMB Authentication</w:t>
      </w:r>
    </w:p>
    <w:p>
      <w:pPr>
        <w:pStyle w:val="Compact"/>
        <w:numPr>
          <w:ilvl w:val="0"/>
          <w:numId w:val="1014"/>
        </w:numPr>
      </w:pPr>
      <w:r>
        <w:t xml:space="preserve">DCE/RPC DRSUAPI Activity</w:t>
      </w:r>
    </w:p>
    <w:bookmarkEnd w:id="37"/>
    <w:bookmarkStart w:id="38" w:name="business-impact-1"/>
    <w:p>
      <w:pPr>
        <w:pStyle w:val="Heading3"/>
      </w:pPr>
      <w:r>
        <w:t xml:space="preserve">Business Impact</w:t>
      </w:r>
    </w:p>
    <w:p>
      <w:pPr>
        <w:pStyle w:val="Compact"/>
        <w:numPr>
          <w:ilvl w:val="0"/>
          <w:numId w:val="1015"/>
        </w:numPr>
      </w:pPr>
      <w:r>
        <w:t xml:space="preserve">Persistent attacker access</w:t>
      </w:r>
    </w:p>
    <w:p>
      <w:pPr>
        <w:pStyle w:val="Compact"/>
        <w:numPr>
          <w:ilvl w:val="0"/>
          <w:numId w:val="1015"/>
        </w:numPr>
      </w:pPr>
      <w:r>
        <w:t xml:space="preserve">Internal reconnaissance</w:t>
      </w:r>
    </w:p>
    <w:p>
      <w:pPr>
        <w:pStyle w:val="Compact"/>
        <w:numPr>
          <w:ilvl w:val="0"/>
          <w:numId w:val="1015"/>
        </w:numPr>
      </w:pPr>
      <w:r>
        <w:t xml:space="preserve">Potential domain compromise</w:t>
      </w:r>
    </w:p>
    <w:p>
      <w:r>
        <w:pict>
          <v:rect style="width:0;height:1.5pt" o:hralign="center" o:hrstd="t" o:hr="t"/>
        </w:pict>
      </w:r>
    </w:p>
    <w:bookmarkEnd w:id="38"/>
    <w:bookmarkEnd w:id="39"/>
    <w:bookmarkEnd w:id="40"/>
    <w:bookmarkStart w:id="41" w:name="risk-ranking"/>
    <w:p>
      <w:pPr>
        <w:pStyle w:val="Heading1"/>
      </w:pPr>
      <w:r>
        <w:t xml:space="preserve">Risk Ranking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Threat</w:t>
            </w:r>
          </w:p>
        </w:tc>
        <w:tc>
          <w:tcPr/>
          <w:p>
            <w:pPr>
              <w:pStyle w:val="Compact"/>
            </w:pPr>
            <w:r>
              <w:t xml:space="preserve">Likelihood</w:t>
            </w:r>
          </w:p>
        </w:tc>
        <w:tc>
          <w:tcPr/>
          <w:p>
            <w:pPr>
              <w:pStyle w:val="Compact"/>
            </w:pPr>
            <w:r>
              <w:t xml:space="preserve">Impact</w:t>
            </w:r>
          </w:p>
        </w:tc>
        <w:tc>
          <w:tcPr/>
          <w:p>
            <w:pPr>
              <w:pStyle w:val="Compact"/>
            </w:pPr>
            <w:r>
              <w:t xml:space="preserve">Risk</w:t>
            </w:r>
          </w:p>
        </w:tc>
      </w:tr>
      <w:tr>
        <w:tc>
          <w:tcPr/>
          <w:p>
            <w:pPr>
              <w:pStyle w:val="Compact"/>
            </w:pPr>
            <w:r>
              <w:t xml:space="preserve">SQL Injection → AD Compromise</w:t>
            </w:r>
          </w:p>
        </w:tc>
        <w:tc>
          <w:tcPr/>
          <w:p>
            <w:pPr>
              <w:pStyle w:val="Compact"/>
            </w:pPr>
            <w:r>
              <w:t xml:space="preserve">High</w:t>
            </w:r>
          </w:p>
        </w:tc>
        <w:tc>
          <w:tcPr/>
          <w:p>
            <w:pPr>
              <w:pStyle w:val="Compact"/>
            </w:pPr>
            <w:r>
              <w:t xml:space="preserve">Critical</w:t>
            </w:r>
          </w:p>
        </w:tc>
        <w:tc>
          <w:tcPr/>
          <w:p>
            <w:pPr>
              <w:pStyle w:val="Compact"/>
            </w:pPr>
            <w:r>
              <w:t xml:space="preserve">Critical</w:t>
            </w:r>
          </w:p>
        </w:tc>
      </w:tr>
      <w:tr>
        <w:tc>
          <w:tcPr/>
          <w:p>
            <w:pPr>
              <w:pStyle w:val="Compact"/>
            </w:pPr>
            <w:r>
              <w:t xml:space="preserve">Web Shell → Malware Infection</w:t>
            </w:r>
          </w:p>
        </w:tc>
        <w:tc>
          <w:tcPr/>
          <w:p>
            <w:pPr>
              <w:pStyle w:val="Compact"/>
            </w:pPr>
            <w:r>
              <w:t xml:space="preserve">High</w:t>
            </w:r>
          </w:p>
        </w:tc>
        <w:tc>
          <w:tcPr/>
          <w:p>
            <w:pPr>
              <w:pStyle w:val="Compact"/>
            </w:pPr>
            <w:r>
              <w:t xml:space="preserve">Critical</w:t>
            </w:r>
          </w:p>
        </w:tc>
        <w:tc>
          <w:tcPr/>
          <w:p>
            <w:pPr>
              <w:pStyle w:val="Compact"/>
            </w:pPr>
            <w:r>
              <w:t xml:space="preserve">Critical</w:t>
            </w:r>
          </w:p>
        </w:tc>
      </w:tr>
      <w:tr>
        <w:tc>
          <w:tcPr/>
          <w:p>
            <w:pPr>
              <w:pStyle w:val="Compact"/>
            </w:pPr>
            <w:r>
              <w:t xml:space="preserve">Session Hijacking</w:t>
            </w:r>
          </w:p>
        </w:tc>
        <w:tc>
          <w:tcPr/>
          <w:p>
            <w:pPr>
              <w:pStyle w:val="Compact"/>
            </w:pPr>
            <w:r>
              <w:t xml:space="preserve">Medium</w:t>
            </w:r>
          </w:p>
        </w:tc>
        <w:tc>
          <w:tcPr/>
          <w:p>
            <w:pPr>
              <w:pStyle w:val="Compact"/>
            </w:pPr>
            <w:r>
              <w:t xml:space="preserve">High</w:t>
            </w:r>
          </w:p>
        </w:tc>
        <w:tc>
          <w:tcPr/>
          <w:p>
            <w:pPr>
              <w:pStyle w:val="Compact"/>
            </w:pPr>
            <w:r>
              <w:t xml:space="preserve">High</w:t>
            </w:r>
          </w:p>
        </w:tc>
      </w:tr>
      <w:tr>
        <w:tc>
          <w:tcPr/>
          <w:p>
            <w:pPr>
              <w:pStyle w:val="Compact"/>
            </w:pPr>
            <w:r>
              <w:t xml:space="preserve">Information Disclosure</w:t>
            </w:r>
          </w:p>
        </w:tc>
        <w:tc>
          <w:tcPr/>
          <w:p>
            <w:pPr>
              <w:pStyle w:val="Compact"/>
            </w:pPr>
            <w:r>
              <w:t xml:space="preserve">High</w:t>
            </w:r>
          </w:p>
        </w:tc>
        <w:tc>
          <w:tcPr/>
          <w:p>
            <w:pPr>
              <w:pStyle w:val="Compact"/>
            </w:pPr>
            <w:r>
              <w:t xml:space="preserve">Medium</w:t>
            </w:r>
          </w:p>
        </w:tc>
        <w:tc>
          <w:tcPr/>
          <w:p>
            <w:pPr>
              <w:pStyle w:val="Compact"/>
            </w:pPr>
            <w:r>
              <w:t xml:space="preserve">Medium</w:t>
            </w:r>
          </w:p>
        </w:tc>
      </w:tr>
    </w:tbl>
    <w:p>
      <w:r>
        <w:pict>
          <v:rect style="width:0;height:1.5pt" o:hralign="center" o:hrstd="t" o:hr="t"/>
        </w:pict>
      </w:r>
    </w:p>
    <w:bookmarkEnd w:id="41"/>
    <w:bookmarkStart w:id="42" w:name="conclusion"/>
    <w:p>
      <w:pPr>
        <w:pStyle w:val="Heading1"/>
      </w:pPr>
      <w:r>
        <w:t xml:space="preserve">Conclusion</w:t>
      </w:r>
    </w:p>
    <w:p>
      <w:pPr>
        <w:pStyle w:val="FirstParagraph"/>
      </w:pPr>
      <w:r>
        <w:t xml:space="preserve">The greatest risk to Meridian FinServe is not an isolated web vulnerability or isolated malware infection. The primary risk is an attack chain that starts in the web application layer and progresses into Active Directory and internal enterprise infrastructure.</w:t>
      </w:r>
    </w:p>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2026-06-10T01:58:29Z</dcterms:created>
  <dcterms:modified xsi:type="dcterms:W3CDTF">2026-06-10T01:58:29Z</dcterms:modified>
</cp:coreProperties>
</file>

<file path=docProps/custom.xml><?xml version="1.0" encoding="utf-8"?>
<Properties xmlns="http://schemas.openxmlformats.org/officeDocument/2006/custom-properties" xmlns:vt="http://schemas.openxmlformats.org/officeDocument/2006/docPropsVTypes"/>
</file>