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276" w:lineRule="auto"/>
        <w:jc w:val="center"/>
        <w:rPr>
          <w:b w:val="1"/>
          <w:bCs w:val="1"/>
        </w:rPr>
      </w:pPr>
      <w:bookmarkStart w:colFirst="0" w:colLast="0" w:name="_6dsv38tufusi" w:id="0"/>
      <w:bookmarkEnd w:id="0"/>
      <w:r w:rsidDel="00000000" w:rsidR="00000000" w:rsidRPr="00000000">
        <w:rPr>
          <w:b w:val="1"/>
          <w:bCs w:val="1"/>
          <w:rtl w:val="0"/>
        </w:rPr>
        <w:t xml:space="preserve">Access Control Policy        Executive Summary</w:t>
      </w:r>
    </w:p>
    <w:p w:rsidR="00000000" w:rsidDel="00000000" w:rsidP="00000000" w:rsidRDefault="00000000" w:rsidRPr="00000000" w14:paraId="00000002">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pStyle w:val="Subtitle"/>
        <w:keepNext w:val="0"/>
        <w:keepLines w:val="0"/>
        <w:spacing w:after="80" w:lineRule="auto"/>
        <w:jc w:val="center"/>
        <w:rPr/>
      </w:pPr>
      <w:bookmarkStart w:colFirst="0" w:colLast="0" w:name="_kgethf24uc8i" w:id="1"/>
      <w:bookmarkEnd w:id="1"/>
      <w:r w:rsidDel="00000000" w:rsidR="00000000" w:rsidRPr="00000000">
        <w:rPr>
          <w:rtl w:val="0"/>
        </w:rPr>
        <w:t xml:space="preserve">PG Cybersecurity Program – Access Control Executive Summary</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b w:val="1"/>
          <w:bCs w:val="1"/>
          <w:sz w:val="26"/>
          <w:szCs w:val="26"/>
          <w:rtl w:val="0"/>
        </w:rPr>
        <w:t xml:space="preserve">Organization Name : </w:t>
      </w:r>
      <w:r w:rsidDel="00000000" w:rsidR="00000000" w:rsidRPr="00000000">
        <w:rPr>
          <w:rtl w:val="0"/>
        </w:rPr>
        <w:t xml:space="preserve">PG Cybersecurity Program</w:t>
      </w:r>
    </w:p>
    <w:p w:rsidR="00000000" w:rsidDel="00000000" w:rsidP="00000000" w:rsidRDefault="00000000" w:rsidRPr="00000000" w14:paraId="00000008">
      <w:pPr>
        <w:spacing w:before="280" w:lineRule="auto"/>
        <w:rPr/>
      </w:pPr>
      <w:r w:rsidDel="00000000" w:rsidR="00000000" w:rsidRPr="00000000">
        <w:rPr>
          <w:b w:val="1"/>
          <w:bCs w:val="1"/>
          <w:sz w:val="26"/>
          <w:szCs w:val="26"/>
          <w:rtl w:val="0"/>
        </w:rPr>
        <w:t xml:space="preserve">Document Owner :  </w:t>
      </w:r>
      <w:r w:rsidDel="00000000" w:rsidR="00000000" w:rsidRPr="00000000">
        <w:rPr>
          <w:rtl w:val="0"/>
        </w:rPr>
        <w:t xml:space="preserve">Data Defenders (Project Group-8)</w:t>
      </w:r>
    </w:p>
    <w:p w:rsidR="00000000" w:rsidDel="00000000" w:rsidP="00000000" w:rsidRDefault="00000000" w:rsidRPr="00000000" w14:paraId="00000009">
      <w:pPr>
        <w:spacing w:line="276" w:lineRule="auto"/>
        <w:rPr>
          <w:b w:val="1"/>
          <w:bCs w:val="1"/>
        </w:rPr>
      </w:pPr>
      <w:r w:rsidDel="00000000" w:rsidR="00000000" w:rsidRPr="00000000">
        <w:rPr>
          <w:rtl w:val="0"/>
        </w:rPr>
      </w:r>
    </w:p>
    <w:p w:rsidR="00000000" w:rsidDel="00000000" w:rsidP="00000000" w:rsidRDefault="00000000" w:rsidRPr="00000000" w14:paraId="0000000A">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b w:val="1"/>
          <w:bCs w:val="1"/>
        </w:rPr>
      </w:pPr>
      <w:r w:rsidDel="00000000" w:rsidR="00000000" w:rsidRPr="00000000">
        <w:rPr>
          <w:rtl w:val="0"/>
        </w:rPr>
      </w:r>
    </w:p>
    <w:p w:rsidR="00000000" w:rsidDel="00000000" w:rsidP="00000000" w:rsidRDefault="00000000" w:rsidRPr="00000000" w14:paraId="0000000C">
      <w:pPr>
        <w:spacing w:line="276" w:lineRule="auto"/>
        <w:rPr>
          <w:b w:val="1"/>
          <w:bCs w:val="1"/>
        </w:rPr>
      </w:pPr>
      <w:r w:rsidDel="00000000" w:rsidR="00000000" w:rsidRPr="00000000">
        <w:rPr>
          <w:rtl w:val="0"/>
        </w:rPr>
      </w:r>
    </w:p>
    <w:p w:rsidR="00000000" w:rsidDel="00000000" w:rsidP="00000000" w:rsidRDefault="00000000" w:rsidRPr="00000000" w14:paraId="0000000D">
      <w:pPr>
        <w:spacing w:line="276" w:lineRule="auto"/>
        <w:rPr>
          <w:b w:val="1"/>
          <w:bCs w:val="1"/>
        </w:rPr>
      </w:pPr>
      <w:r w:rsidDel="00000000" w:rsidR="00000000" w:rsidRPr="00000000">
        <w:rPr>
          <w:rtl w:val="0"/>
        </w:rPr>
      </w:r>
    </w:p>
    <w:p w:rsidR="00000000" w:rsidDel="00000000" w:rsidP="00000000" w:rsidRDefault="00000000" w:rsidRPr="00000000" w14:paraId="0000000E">
      <w:pPr>
        <w:spacing w:line="276" w:lineRule="auto"/>
        <w:rPr>
          <w:b w:val="1"/>
          <w:bCs w:val="1"/>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rtl w:val="0"/>
        </w:rPr>
      </w:r>
    </w:p>
    <w:p w:rsidR="00000000" w:rsidDel="00000000" w:rsidP="00000000" w:rsidRDefault="00000000" w:rsidRPr="00000000" w14:paraId="00000011">
      <w:pPr>
        <w:spacing w:line="276" w:lineRule="auto"/>
        <w:rPr>
          <w:b w:val="1"/>
          <w:bCs w:val="1"/>
        </w:rPr>
      </w:pPr>
      <w:r w:rsidDel="00000000" w:rsidR="00000000" w:rsidRPr="00000000">
        <w:rPr>
          <w:rtl w:val="0"/>
        </w:rPr>
      </w:r>
    </w:p>
    <w:p w:rsidR="00000000" w:rsidDel="00000000" w:rsidP="00000000" w:rsidRDefault="00000000" w:rsidRPr="00000000" w14:paraId="00000012">
      <w:pPr>
        <w:spacing w:line="276" w:lineRule="auto"/>
        <w:rPr>
          <w:b w:val="1"/>
          <w:bCs w:val="1"/>
        </w:rPr>
      </w:pPr>
      <w:r w:rsidDel="00000000" w:rsidR="00000000" w:rsidRPr="00000000">
        <w:rPr>
          <w:rtl w:val="0"/>
        </w:rPr>
      </w:r>
    </w:p>
    <w:p w:rsidR="00000000" w:rsidDel="00000000" w:rsidP="00000000" w:rsidRDefault="00000000" w:rsidRPr="00000000" w14:paraId="00000013">
      <w:pPr>
        <w:spacing w:line="276" w:lineRule="auto"/>
        <w:rPr>
          <w:b w:val="1"/>
          <w:bCs w:val="1"/>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rtl w:val="0"/>
        </w:rPr>
      </w:r>
    </w:p>
    <w:p w:rsidR="00000000" w:rsidDel="00000000" w:rsidP="00000000" w:rsidRDefault="00000000" w:rsidRPr="00000000" w14:paraId="00000019">
      <w:pPr>
        <w:spacing w:line="276" w:lineRule="auto"/>
        <w:rPr>
          <w:b w:val="1"/>
          <w:bCs w:val="1"/>
        </w:rPr>
      </w:pP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rtl w:val="0"/>
        </w:rPr>
      </w:r>
    </w:p>
    <w:p w:rsidR="00000000" w:rsidDel="00000000" w:rsidP="00000000" w:rsidRDefault="00000000" w:rsidRPr="00000000" w14:paraId="0000001F">
      <w:pPr>
        <w:spacing w:line="276" w:lineRule="auto"/>
        <w:rPr>
          <w:b w:val="1"/>
          <w:bCs w:val="1"/>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rtl w:val="0"/>
        </w:rPr>
      </w:r>
    </w:p>
    <w:p w:rsidR="00000000" w:rsidDel="00000000" w:rsidP="00000000" w:rsidRDefault="00000000" w:rsidRPr="00000000" w14:paraId="00000021">
      <w:pPr>
        <w:spacing w:line="276" w:lineRule="auto"/>
        <w:rPr>
          <w:b w:val="1"/>
          <w:bCs w:val="1"/>
        </w:rPr>
      </w:pPr>
      <w:r w:rsidDel="00000000" w:rsidR="00000000" w:rsidRPr="00000000">
        <w:rPr>
          <w:rtl w:val="0"/>
        </w:rPr>
      </w:r>
    </w:p>
    <w:p w:rsidR="00000000" w:rsidDel="00000000" w:rsidP="00000000" w:rsidRDefault="00000000" w:rsidRPr="00000000" w14:paraId="00000022">
      <w:pPr>
        <w:spacing w:line="276" w:lineRule="auto"/>
        <w:rPr>
          <w:b w:val="1"/>
          <w:bCs w:val="1"/>
        </w:rPr>
      </w:pPr>
      <w:r w:rsidDel="00000000" w:rsidR="00000000" w:rsidRPr="00000000">
        <w:rPr>
          <w:rtl w:val="0"/>
        </w:rPr>
      </w:r>
    </w:p>
    <w:p w:rsidR="00000000" w:rsidDel="00000000" w:rsidP="00000000" w:rsidRDefault="00000000" w:rsidRPr="00000000" w14:paraId="00000023">
      <w:pPr>
        <w:spacing w:line="276" w:lineRule="auto"/>
        <w:rPr>
          <w:b w:val="1"/>
          <w:bCs w:val="1"/>
          <w:sz w:val="26"/>
          <w:szCs w:val="26"/>
        </w:rPr>
      </w:pPr>
      <w:r w:rsidDel="00000000" w:rsidR="00000000" w:rsidRPr="00000000">
        <w:rPr>
          <w:b w:val="1"/>
          <w:bCs w:val="1"/>
          <w:sz w:val="26"/>
          <w:szCs w:val="26"/>
          <w:rtl w:val="0"/>
        </w:rPr>
        <w:t xml:space="preserve">Approved By :</w:t>
      </w:r>
    </w:p>
    <w:p w:rsidR="00000000" w:rsidDel="00000000" w:rsidP="00000000" w:rsidRDefault="00000000" w:rsidRPr="00000000" w14:paraId="00000024">
      <w:pPr>
        <w:spacing w:line="276" w:lineRule="auto"/>
        <w:rPr>
          <w:b w:val="1"/>
          <w:bCs w:val="1"/>
          <w:sz w:val="26"/>
          <w:szCs w:val="26"/>
        </w:rPr>
      </w:pPr>
      <w:r w:rsidDel="00000000" w:rsidR="00000000" w:rsidRPr="00000000">
        <w:rPr>
          <w:b w:val="1"/>
          <w:bCs w:val="1"/>
          <w:sz w:val="26"/>
          <w:szCs w:val="26"/>
          <w:rtl w:val="0"/>
        </w:rPr>
        <w:t xml:space="preserve">Role                :</w:t>
      </w:r>
    </w:p>
    <w:p w:rsidR="00000000" w:rsidDel="00000000" w:rsidP="00000000" w:rsidRDefault="00000000" w:rsidRPr="00000000" w14:paraId="00000025">
      <w:pPr>
        <w:spacing w:line="276" w:lineRule="auto"/>
        <w:rPr>
          <w:b w:val="1"/>
          <w:bCs w:val="1"/>
          <w:sz w:val="26"/>
          <w:szCs w:val="26"/>
        </w:rPr>
      </w:pPr>
      <w:r w:rsidDel="00000000" w:rsidR="00000000" w:rsidRPr="00000000">
        <w:rPr>
          <w:b w:val="1"/>
          <w:bCs w:val="1"/>
          <w:sz w:val="26"/>
          <w:szCs w:val="26"/>
          <w:rtl w:val="0"/>
        </w:rPr>
        <w:t xml:space="preserve">Signature       :</w:t>
      </w:r>
    </w:p>
    <w:p w:rsidR="00000000" w:rsidDel="00000000" w:rsidP="00000000" w:rsidRDefault="00000000" w:rsidRPr="00000000" w14:paraId="00000026">
      <w:pPr>
        <w:spacing w:line="276" w:lineRule="auto"/>
        <w:rPr>
          <w:b w:val="1"/>
          <w:bCs w:val="1"/>
          <w:sz w:val="26"/>
          <w:szCs w:val="26"/>
        </w:rPr>
      </w:pPr>
      <w:r w:rsidDel="00000000" w:rsidR="00000000" w:rsidRPr="00000000">
        <w:rPr>
          <w:b w:val="1"/>
          <w:bCs w:val="1"/>
          <w:sz w:val="26"/>
          <w:szCs w:val="26"/>
          <w:rtl w:val="0"/>
        </w:rPr>
        <w:t xml:space="preserve">Date                :</w:t>
      </w:r>
    </w:p>
    <w:p w:rsidR="00000000" w:rsidDel="00000000" w:rsidP="00000000" w:rsidRDefault="00000000" w:rsidRPr="00000000" w14:paraId="00000027">
      <w:pPr>
        <w:spacing w:line="276" w:lineRule="auto"/>
        <w:rPr>
          <w:b w:val="1"/>
          <w:bCs w:val="1"/>
          <w:sz w:val="34"/>
          <w:szCs w:val="34"/>
        </w:rPr>
      </w:pPr>
      <w:r w:rsidDel="00000000" w:rsidR="00000000" w:rsidRPr="00000000">
        <w:rPr>
          <w:b w:val="1"/>
          <w:bCs w:val="1"/>
          <w:sz w:val="34"/>
          <w:szCs w:val="34"/>
          <w:rtl w:val="0"/>
        </w:rPr>
        <w:t xml:space="preserve">Access Control Policy Program</w:t>
      </w:r>
    </w:p>
    <w:p w:rsidR="00000000" w:rsidDel="00000000" w:rsidP="00000000" w:rsidRDefault="00000000" w:rsidRPr="00000000" w14:paraId="00000028">
      <w:pPr>
        <w:pStyle w:val="Heading3"/>
        <w:keepNext w:val="0"/>
        <w:keepLines w:val="0"/>
        <w:spacing w:before="280" w:line="276" w:lineRule="auto"/>
        <w:rPr>
          <w:b w:val="1"/>
          <w:bCs w:val="1"/>
          <w:color w:val="000000"/>
          <w:sz w:val="26"/>
          <w:szCs w:val="26"/>
        </w:rPr>
      </w:pPr>
      <w:bookmarkStart w:colFirst="0" w:colLast="0" w:name="_7ep9fnyanr2g" w:id="2"/>
      <w:bookmarkEnd w:id="2"/>
      <w:r w:rsidDel="00000000" w:rsidR="00000000" w:rsidRPr="00000000">
        <w:rPr>
          <w:b w:val="1"/>
          <w:bCs w:val="1"/>
          <w:color w:val="000000"/>
          <w:sz w:val="26"/>
          <w:szCs w:val="26"/>
          <w:rtl w:val="0"/>
        </w:rPr>
        <w:t xml:space="preserve">1. Program Overview</w:t>
      </w:r>
    </w:p>
    <w:p w:rsidR="00000000" w:rsidDel="00000000" w:rsidP="00000000" w:rsidRDefault="00000000" w:rsidRPr="00000000" w14:paraId="00000029">
      <w:pPr>
        <w:spacing w:after="240" w:before="240" w:line="276" w:lineRule="auto"/>
        <w:rPr>
          <w:b w:val="1"/>
          <w:bCs w:val="1"/>
          <w:color w:val="000000"/>
          <w:sz w:val="26"/>
          <w:szCs w:val="26"/>
        </w:rPr>
      </w:pPr>
      <w:r w:rsidDel="00000000" w:rsidR="00000000" w:rsidRPr="00000000">
        <w:rPr>
          <w:rtl w:val="0"/>
        </w:rPr>
        <w:t xml:space="preserve">The Access Control Policy Program establishes a structured and governance-driven approach to managing user access to organizational systems, applications, and data. Its primary objective is to ensure that access is granted strictly on an authorized, role-based, and business-justified basis, supporting confidentiality, integrity, and accountability across the organization.</w:t>
      </w: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Core Policy Deliverables</w:t>
      </w:r>
    </w:p>
    <w:p w:rsidR="00000000" w:rsidDel="00000000" w:rsidP="00000000" w:rsidRDefault="00000000" w:rsidRPr="00000000" w14:paraId="0000002A">
      <w:pPr>
        <w:spacing w:after="240" w:before="240" w:line="276" w:lineRule="auto"/>
        <w:rPr>
          <w:b w:val="1"/>
          <w:bCs w:val="1"/>
          <w:color w:val="000000"/>
          <w:sz w:val="26"/>
          <w:szCs w:val="26"/>
        </w:rPr>
      </w:pPr>
      <w:r w:rsidDel="00000000" w:rsidR="00000000" w:rsidRPr="00000000">
        <w:rPr>
          <w:rtl w:val="0"/>
        </w:rPr>
        <w:t xml:space="preserve">The program is supported by five core deliverables: the Policy Framework Document, Access Control Policy Document, Implementation Guidelines, Compliance Checklist, and Training Requirements. Together, these artifacts define policy governance, operational requirements, implementation practices, compliance validation, and user awareness mechanisms.</w:t>
      </w: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Policy Governance and Control Structure</w:t>
      </w:r>
    </w:p>
    <w:p w:rsidR="00000000" w:rsidDel="00000000" w:rsidP="00000000" w:rsidRDefault="00000000" w:rsidRPr="00000000" w14:paraId="0000002B">
      <w:pPr>
        <w:spacing w:after="240" w:before="240" w:line="276" w:lineRule="auto"/>
        <w:rPr>
          <w:b w:val="1"/>
          <w:bCs w:val="1"/>
          <w:color w:val="000000"/>
          <w:sz w:val="26"/>
          <w:szCs w:val="26"/>
        </w:rPr>
      </w:pPr>
      <w:r w:rsidDel="00000000" w:rsidR="00000000" w:rsidRPr="00000000">
        <w:rPr>
          <w:rtl w:val="0"/>
        </w:rPr>
        <w:t xml:space="preserve">The Policy Framework defines ownership, approval authority, review cycles, and exception handling, ensuring consistent governance and oversight. The Access Control Policy Document establishes mandatory access control requirements based on principles such as least privilege, role-based access, and periodic access review.</w:t>
      </w: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Implementation and Compliance Enablement</w:t>
      </w:r>
    </w:p>
    <w:p w:rsidR="00000000" w:rsidDel="00000000" w:rsidP="00000000" w:rsidRDefault="00000000" w:rsidRPr="00000000" w14:paraId="0000002C">
      <w:pPr>
        <w:spacing w:after="240" w:before="240" w:line="276" w:lineRule="auto"/>
        <w:rPr>
          <w:b w:val="1"/>
          <w:bCs w:val="1"/>
          <w:color w:val="000000"/>
          <w:sz w:val="26"/>
          <w:szCs w:val="26"/>
        </w:rPr>
      </w:pPr>
      <w:r w:rsidDel="00000000" w:rsidR="00000000" w:rsidRPr="00000000">
        <w:rPr>
          <w:rtl w:val="0"/>
        </w:rPr>
        <w:t xml:space="preserve">Implementation Guidelines translate policy requirements into practical actions for access provisioning, modification, review, and revocation. The Compliance Checklist enables departments to assess adherence to policy requirements, supporting audit readiness and continuous monitoring.</w:t>
      </w: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Training and Awareness Enablement</w:t>
      </w:r>
    </w:p>
    <w:p w:rsidR="00000000" w:rsidDel="00000000" w:rsidP="00000000" w:rsidRDefault="00000000" w:rsidRPr="00000000" w14:paraId="0000002D">
      <w:pPr>
        <w:spacing w:after="240" w:before="240" w:line="276" w:lineRule="auto"/>
        <w:rPr>
          <w:b w:val="1"/>
          <w:bCs w:val="1"/>
          <w:color w:val="000000"/>
          <w:sz w:val="26"/>
          <w:szCs w:val="26"/>
        </w:rPr>
      </w:pPr>
      <w:r w:rsidDel="00000000" w:rsidR="00000000" w:rsidRPr="00000000">
        <w:rPr>
          <w:rtl w:val="0"/>
        </w:rPr>
        <w:t xml:space="preserve">The Training Requirements document ensures that users, administrators, and privileged roles receive appropriate access control awareness and training, with defined delivery methods and acknowledgment mechanisms.</w:t>
      </w: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Program Outcomes and Strategic Value</w:t>
      </w:r>
    </w:p>
    <w:p w:rsidR="00000000" w:rsidDel="00000000" w:rsidP="00000000" w:rsidRDefault="00000000" w:rsidRPr="00000000" w14:paraId="0000002E">
      <w:pPr>
        <w:spacing w:after="240" w:before="240" w:line="276" w:lineRule="auto"/>
        <w:rPr>
          <w:b w:val="1"/>
          <w:bCs w:val="1"/>
          <w:sz w:val="26"/>
          <w:szCs w:val="26"/>
        </w:rPr>
      </w:pPr>
      <w:r w:rsidDel="00000000" w:rsidR="00000000" w:rsidRPr="00000000">
        <w:rPr>
          <w:rtl w:val="0"/>
        </w:rPr>
        <w:t xml:space="preserve">Overall, the Access Control Policy Program delivers a standardized, enforceable, and auditable access control model. It strengthens security posture, reduces unauthorized access risks, and promotes consistent access governance across the organization. Formal adoption, periodic reviews, training enforcement, and continuous compliance monitoring are recommended to ensure sustained effectiveness.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