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FFFFFF"/>
          <w:sz w:val="72"/>
          <w:szCs w:val="72"/>
        </w:rPr>
        <w:t xml:space="preserve">PAISA</w:t>
      </w:r>
    </w:p>
    <w:p>
      <w:pPr>
        <w:spacing w:after="120" w:before="120"/>
        <w:jc w:val="center"/>
      </w:pPr>
      <w:r>
        <w:rPr>
          <w:rFonts w:ascii="Arial" w:cs="Arial" w:eastAsia="Arial" w:hAnsi="Arial"/>
          <w:b/>
          <w:bCs/>
          <w:color w:val="FFFFFF"/>
          <w:sz w:val="36"/>
          <w:szCs w:val="36"/>
        </w:rPr>
        <w:t xml:space="preserve">Solution Design Document</w:t>
      </w:r>
    </w:p>
    <w:p>
      <w:pPr>
        <w:spacing w:after="100" w:before="100"/>
        <w:jc w:val="center"/>
      </w:pPr>
      <w:r>
        <w:rPr>
          <w:rFonts w:ascii="Arial" w:cs="Arial" w:eastAsia="Arial" w:hAnsi="Arial"/>
          <w:b w:val="false"/>
          <w:bCs w:val="false"/>
          <w:color w:val="AABBDD"/>
          <w:sz w:val="22"/>
          <w:szCs w:val="22"/>
        </w:rPr>
        <w:t xml:space="preserve">SD-001 | Version 1.0 | May 2025</w:t>
      </w:r>
    </w:p>
    <w:p>
      <w:pPr>
        <w:spacing w:after="60" w:before="60"/>
      </w:pPr>
      <w:r>
        <w:t xml:space="preserve"/>
      </w:r>
    </w:p>
    <w:p>
      <w:pPr>
        <w:spacing w:after="60" w:before="60"/>
      </w:pPr>
      <w:r>
        <w:t xml:space="preserve"/>
      </w:r>
    </w:p>
    <w:p>
      <w:pPr>
        <w:spacing w:after="120" w:before="120"/>
        <w:jc w:val="center"/>
      </w:pPr>
      <w:r>
        <w:rPr>
          <w:rFonts w:ascii="Arial" w:cs="Arial" w:eastAsia="Arial" w:hAnsi="Arial"/>
          <w:b/>
          <w:bCs/>
          <w:color w:val="CCDDFF"/>
          <w:sz w:val="26"/>
          <w:szCs w:val="26"/>
        </w:rPr>
        <w:t xml:space="preserve">End-to-end solution architecture and delivery plan.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b/>
                <w:bCs/>
                <w:color w:val="0D2B5C"/>
                <w:sz w:val="20"/>
                <w:szCs w:val="20"/>
              </w:rPr>
              <w:t xml:space="preserve">Document Code</w:t>
            </w:r>
          </w:p>
        </w:tc>
        <w:tc>
          <w:tcPr>
            <w:tcW w:type="dxa" w:w="6360"/>
            <w:tcBorders>
              <w:top w:val="single" w:color="D9DCE5" w:sz="4"/>
              <w:left w:val="single" w:color="D9DCE5" w:sz="4"/>
              <w:bottom w:val="single" w:color="D9DCE5" w:sz="4"/>
              <w:right w:val="single" w:color="D9DCE5" w:sz="4"/>
            </w:tcBorders>
            <w:tcMar>
              <w:top w:type="dxa" w:w="80"/>
              <w:left w:type="dxa" w:w="120"/>
              <w:bottom w:type="dxa" w:w="80"/>
              <w:right w:type="dxa" w:w="120"/>
            </w:tcMar>
          </w:tcPr>
          <w:p>
            <w:r>
              <w:rPr>
                <w:rFonts w:ascii="Arial" w:cs="Arial" w:eastAsia="Arial" w:hAnsi="Arial"/>
                <w:color w:val="1A1A1A"/>
                <w:sz w:val="20"/>
                <w:szCs w:val="20"/>
              </w:rPr>
              <w:t xml:space="preserve">SD-001</w:t>
            </w:r>
          </w:p>
        </w:tc>
      </w:tr>
      <w:tr>
        <w:tc>
          <w:tcPr>
            <w:tcW w:type="dxa" w:w="3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b/>
                <w:bCs/>
                <w:color w:val="0D2B5C"/>
                <w:sz w:val="20"/>
                <w:szCs w:val="20"/>
              </w:rPr>
              <w:t xml:space="preserve">Version</w:t>
            </w:r>
          </w:p>
        </w:tc>
        <w:tc>
          <w:tcPr>
            <w:tcW w:type="dxa" w:w="6360"/>
            <w:tcBorders>
              <w:top w:val="single" w:color="D9DCE5" w:sz="4"/>
              <w:left w:val="single" w:color="D9DCE5" w:sz="4"/>
              <w:bottom w:val="single" w:color="D9DCE5" w:sz="4"/>
              <w:right w:val="single" w:color="D9DCE5" w:sz="4"/>
            </w:tcBorders>
            <w:tcMar>
              <w:top w:type="dxa" w:w="80"/>
              <w:left w:type="dxa" w:w="120"/>
              <w:bottom w:type="dxa" w:w="80"/>
              <w:right w:type="dxa" w:w="120"/>
            </w:tcMar>
          </w:tcPr>
          <w:p>
            <w:r>
              <w:rPr>
                <w:rFonts w:ascii="Arial" w:cs="Arial" w:eastAsia="Arial" w:hAnsi="Arial"/>
                <w:color w:val="1A1A1A"/>
                <w:sz w:val="20"/>
                <w:szCs w:val="20"/>
              </w:rPr>
              <w:t xml:space="preserve">1.0 — Initial Release</w:t>
            </w:r>
          </w:p>
        </w:tc>
      </w:tr>
      <w:tr>
        <w:tc>
          <w:tcPr>
            <w:tcW w:type="dxa" w:w="3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b/>
                <w:bCs/>
                <w:color w:val="0D2B5C"/>
                <w:sz w:val="20"/>
                <w:szCs w:val="20"/>
              </w:rPr>
              <w:t xml:space="preserve">Related Docs</w:t>
            </w:r>
          </w:p>
        </w:tc>
        <w:tc>
          <w:tcPr>
            <w:tcW w:type="dxa" w:w="6360"/>
            <w:tcBorders>
              <w:top w:val="single" w:color="D9DCE5" w:sz="4"/>
              <w:left w:val="single" w:color="D9DCE5" w:sz="4"/>
              <w:bottom w:val="single" w:color="D9DCE5" w:sz="4"/>
              <w:right w:val="single" w:color="D9DCE5" w:sz="4"/>
            </w:tcBorders>
            <w:tcMar>
              <w:top w:type="dxa" w:w="80"/>
              <w:left w:type="dxa" w:w="120"/>
              <w:bottom w:type="dxa" w:w="80"/>
              <w:right w:type="dxa" w:w="120"/>
            </w:tcMar>
          </w:tcPr>
          <w:p>
            <w:r>
              <w:rPr>
                <w:rFonts w:ascii="Arial" w:cs="Arial" w:eastAsia="Arial" w:hAnsi="Arial"/>
                <w:color w:val="1A1A1A"/>
                <w:sz w:val="20"/>
                <w:szCs w:val="20"/>
              </w:rPr>
              <w:t xml:space="preserve">PDR-001, SSR-001</w:t>
            </w:r>
          </w:p>
        </w:tc>
      </w:tr>
      <w:tr>
        <w:tc>
          <w:tcPr>
            <w:tcW w:type="dxa" w:w="3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b/>
                <w:bCs/>
                <w:color w:val="0D2B5C"/>
                <w:sz w:val="20"/>
                <w:szCs w:val="20"/>
              </w:rPr>
              <w:t xml:space="preserve">Status</w:t>
            </w:r>
          </w:p>
        </w:tc>
        <w:tc>
          <w:tcPr>
            <w:tcW w:type="dxa" w:w="6360"/>
            <w:tcBorders>
              <w:top w:val="single" w:color="D9DCE5" w:sz="4"/>
              <w:left w:val="single" w:color="D9DCE5" w:sz="4"/>
              <w:bottom w:val="single" w:color="D9DCE5" w:sz="4"/>
              <w:right w:val="single" w:color="D9DCE5" w:sz="4"/>
            </w:tcBorders>
            <w:tcMar>
              <w:top w:type="dxa" w:w="80"/>
              <w:left w:type="dxa" w:w="120"/>
              <w:bottom w:type="dxa" w:w="80"/>
              <w:right w:type="dxa" w:w="120"/>
            </w:tcMar>
          </w:tcPr>
          <w:p>
            <w:r>
              <w:rPr>
                <w:rFonts w:ascii="Arial" w:cs="Arial" w:eastAsia="Arial" w:hAnsi="Arial"/>
                <w:color w:val="1A1A1A"/>
                <w:sz w:val="20"/>
                <w:szCs w:val="20"/>
              </w:rPr>
              <w:t xml:space="preserve">Draft</w:t>
            </w:r>
          </w:p>
        </w:tc>
      </w:tr>
      <w:tr>
        <w:tc>
          <w:tcPr>
            <w:tcW w:type="dxa" w:w="3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b/>
                <w:bCs/>
                <w:color w:val="0D2B5C"/>
                <w:sz w:val="20"/>
                <w:szCs w:val="20"/>
              </w:rPr>
              <w:t xml:space="preserve">Author</w:t>
            </w:r>
          </w:p>
        </w:tc>
        <w:tc>
          <w:tcPr>
            <w:tcW w:type="dxa" w:w="6360"/>
            <w:tcBorders>
              <w:top w:val="single" w:color="D9DCE5" w:sz="4"/>
              <w:left w:val="single" w:color="D9DCE5" w:sz="4"/>
              <w:bottom w:val="single" w:color="D9DCE5" w:sz="4"/>
              <w:right w:val="single" w:color="D9DCE5" w:sz="4"/>
            </w:tcBorders>
            <w:tcMar>
              <w:top w:type="dxa" w:w="80"/>
              <w:left w:type="dxa" w:w="120"/>
              <w:bottom w:type="dxa" w:w="80"/>
              <w:right w:type="dxa" w:w="120"/>
            </w:tcMar>
          </w:tcPr>
          <w:p>
            <w:r>
              <w:rPr>
                <w:rFonts w:ascii="Arial" w:cs="Arial" w:eastAsia="Arial" w:hAnsi="Arial"/>
                <w:color w:val="1A1A1A"/>
                <w:sz w:val="20"/>
                <w:szCs w:val="20"/>
              </w:rPr>
              <w:t xml:space="preserve">Founding Team, Paisa</w:t>
            </w:r>
          </w:p>
        </w:tc>
      </w:tr>
      <w:tr>
        <w:tc>
          <w:tcPr>
            <w:tcW w:type="dxa" w:w="3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b/>
                <w:bCs/>
                <w:color w:val="0D2B5C"/>
                <w:sz w:val="20"/>
                <w:szCs w:val="20"/>
              </w:rPr>
              <w:t xml:space="preserve">Date</w:t>
            </w:r>
          </w:p>
        </w:tc>
        <w:tc>
          <w:tcPr>
            <w:tcW w:type="dxa" w:w="6360"/>
            <w:tcBorders>
              <w:top w:val="single" w:color="D9DCE5" w:sz="4"/>
              <w:left w:val="single" w:color="D9DCE5" w:sz="4"/>
              <w:bottom w:val="single" w:color="D9DCE5" w:sz="4"/>
              <w:right w:val="single" w:color="D9DCE5" w:sz="4"/>
            </w:tcBorders>
            <w:tcMar>
              <w:top w:type="dxa" w:w="80"/>
              <w:left w:type="dxa" w:w="120"/>
              <w:bottom w:type="dxa" w:w="80"/>
              <w:right w:type="dxa" w:w="120"/>
            </w:tcMar>
          </w:tcPr>
          <w:p>
            <w:r>
              <w:rPr>
                <w:rFonts w:ascii="Arial" w:cs="Arial" w:eastAsia="Arial" w:hAnsi="Arial"/>
                <w:color w:val="1A1A1A"/>
                <w:sz w:val="20"/>
                <w:szCs w:val="20"/>
              </w:rPr>
              <w:t xml:space="preserve">May 2025</w:t>
            </w:r>
          </w:p>
        </w:tc>
      </w:tr>
    </w:tbl>
    <w:p>
      <w:r>
        <w:br w:type="page"/>
      </w:r>
    </w:p>
    <w:p>
      <w:pPr>
        <w:pStyle w:val="Heading1"/>
        <w:spacing w:after="160" w:before="320"/>
      </w:pPr>
      <w:r>
        <w:rPr>
          <w:rFonts w:ascii="Arial" w:cs="Arial" w:eastAsia="Arial" w:hAnsi="Arial"/>
          <w:b/>
          <w:bCs/>
          <w:color w:val="0D2B5C"/>
          <w:sz w:val="32"/>
          <w:szCs w:val="32"/>
        </w:rPr>
        <w:t xml:space="preserve">1. Solution Overview</w:t>
      </w:r>
    </w:p>
    <w:p>
      <w:pPr>
        <w:spacing w:after="100" w:before="60"/>
      </w:pPr>
      <w:r>
        <w:rPr>
          <w:rFonts w:ascii="Arial" w:cs="Arial" w:eastAsia="Arial" w:hAnsi="Arial"/>
          <w:color w:val="1A1A1A"/>
          <w:sz w:val="22"/>
          <w:szCs w:val="22"/>
        </w:rPr>
        <w:t xml:space="preserve">This document describes the complete solution design for Paisa — from mobile client through backend infrastructure to data flow. It defines component responsibilities, integration points, and the phased delivery roadmap.</w:t>
      </w:r>
    </w:p>
    <w:p>
      <w:pPr>
        <w:spacing w:after="100" w:before="60"/>
      </w:pPr>
      <w:r>
        <w:rPr>
          <w:rFonts w:ascii="Arial" w:cs="Arial" w:eastAsia="Arial" w:hAnsi="Arial"/>
          <w:color w:val="1A1A1A"/>
          <w:sz w:val="22"/>
          <w:szCs w:val="22"/>
        </w:rPr>
        <w:t xml:space="preserve">The solution is designed to be built by a 2–3 person team in 10–12 weeks. Every architectural decision prioritises shipping speed, user privacy, and operational simplicity over sophistication.</w:t>
      </w:r>
    </w:p>
    <w:p>
      <w:pPr>
        <w:spacing w:after="60" w:before="60"/>
      </w:pPr>
      <w:r>
        <w:t xml:space="preserve"/>
      </w:r>
    </w:p>
    <w:p>
      <w:pPr>
        <w:pStyle w:val="Heading1"/>
        <w:spacing w:after="160" w:before="320"/>
      </w:pPr>
      <w:r>
        <w:rPr>
          <w:rFonts w:ascii="Arial" w:cs="Arial" w:eastAsia="Arial" w:hAnsi="Arial"/>
          <w:b/>
          <w:bCs/>
          <w:color w:val="0D2B5C"/>
          <w:sz w:val="32"/>
          <w:szCs w:val="32"/>
        </w:rPr>
        <w:t xml:space="preserve">2. High-Level Architecture</w:t>
      </w:r>
    </w:p>
    <w:p>
      <w:pPr>
        <w:pStyle w:val="Heading2"/>
        <w:pBdr>
          <w:bottom w:val="single" w:color="1B4F9C" w:sz="6" w:space="4"/>
        </w:pBdr>
        <w:spacing w:after="120" w:before="240"/>
      </w:pPr>
      <w:r>
        <w:rPr>
          <w:rFonts w:ascii="Arial" w:cs="Arial" w:eastAsia="Arial" w:hAnsi="Arial"/>
          <w:b/>
          <w:bCs/>
          <w:color w:val="1B4F9C"/>
          <w:sz w:val="26"/>
          <w:szCs w:val="26"/>
        </w:rPr>
        <w:t xml:space="preserve">2.1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 Client</w:t>
            </w:r>
          </w:p>
        </w:tc>
        <w:tc>
          <w:tcPr>
            <w:tcW w:type="dxa" w:w="2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Native (Expo)</w:t>
            </w:r>
          </w:p>
        </w:tc>
        <w:tc>
          <w:tcPr>
            <w:tcW w:type="dxa" w:w="43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UI rendering, SMS interception, offline storage, local insight computation for cached data</w:t>
            </w:r>
          </w:p>
        </w:tc>
      </w:tr>
      <w:tr>
        <w:tc>
          <w:tcPr>
            <w:tcW w:type="dxa" w:w="2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SMS Parser</w:t>
            </w:r>
          </w:p>
        </w:tc>
        <w:tc>
          <w:tcPr>
            <w:tcW w:type="dxa" w:w="2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On-device JS module</w:t>
            </w:r>
          </w:p>
        </w:tc>
        <w:tc>
          <w:tcPr>
            <w:tcW w:type="dxa" w:w="43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Regex-based extraction of amount, merchant, type from bank SMS. Runs entirely on device.</w:t>
            </w:r>
          </w:p>
        </w:tc>
      </w:tr>
      <w:tr>
        <w:tc>
          <w:tcPr>
            <w:tcW w:type="dxa" w:w="2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Store</w:t>
            </w:r>
          </w:p>
        </w:tc>
        <w:tc>
          <w:tcPr>
            <w:tcW w:type="dxa" w:w="2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SQLite (expo-sqlite)</w:t>
            </w:r>
          </w:p>
        </w:tc>
        <w:tc>
          <w:tcPr>
            <w:tcW w:type="dxa" w:w="43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Offline-first transaction storage. Syncs to backend when online.</w:t>
            </w:r>
          </w:p>
        </w:tc>
      </w:tr>
      <w:tr>
        <w:tc>
          <w:tcPr>
            <w:tcW w:type="dxa" w:w="2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Backend API</w:t>
            </w:r>
          </w:p>
        </w:tc>
        <w:tc>
          <w:tcPr>
            <w:tcW w:type="dxa" w:w="2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Node.js + Express on Railway</w:t>
            </w:r>
          </w:p>
        </w:tc>
        <w:tc>
          <w:tcPr>
            <w:tcW w:type="dxa" w:w="43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Authentication, transaction storage, insight computation, gamification logic, group management</w:t>
            </w:r>
          </w:p>
        </w:tc>
      </w:tr>
      <w:tr>
        <w:tc>
          <w:tcPr>
            <w:tcW w:type="dxa" w:w="2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2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via Supabase</w:t>
            </w:r>
          </w:p>
        </w:tc>
        <w:tc>
          <w:tcPr>
            <w:tcW w:type="dxa" w:w="43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Persistent storage for all user data, transactions, summaries, group data</w:t>
            </w:r>
          </w:p>
        </w:tc>
      </w:tr>
      <w:tr>
        <w:tc>
          <w:tcPr>
            <w:tcW w:type="dxa" w:w="2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Auth Service</w:t>
            </w:r>
          </w:p>
        </w:tc>
        <w:tc>
          <w:tcPr>
            <w:tcW w:type="dxa" w:w="2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Supabase Auth</w:t>
            </w:r>
          </w:p>
        </w:tc>
        <w:tc>
          <w:tcPr>
            <w:tcW w:type="dxa" w:w="43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Phone OTP + Google SSO. Issues JWTs for API calls.</w:t>
            </w:r>
          </w:p>
        </w:tc>
      </w:tr>
      <w:tr>
        <w:tc>
          <w:tcPr>
            <w:tcW w:type="dxa" w:w="2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Push Service</w:t>
            </w:r>
          </w:p>
        </w:tc>
        <w:tc>
          <w:tcPr>
            <w:tcW w:type="dxa" w:w="2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Firebase Cloud Messaging</w:t>
            </w:r>
          </w:p>
        </w:tc>
        <w:tc>
          <w:tcPr>
            <w:tcW w:type="dxa" w:w="43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Streak reminder notifications and weekly insight push alerts</w:t>
            </w:r>
          </w:p>
        </w:tc>
      </w:tr>
      <w:tr>
        <w:tc>
          <w:tcPr>
            <w:tcW w:type="dxa" w:w="2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Analytics</w:t>
            </w:r>
          </w:p>
        </w:tc>
        <w:tc>
          <w:tcPr>
            <w:tcW w:type="dxa" w:w="2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PostHog (self-hosted)</w:t>
            </w:r>
          </w:p>
        </w:tc>
        <w:tc>
          <w:tcPr>
            <w:tcW w:type="dxa" w:w="43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User behavior analytics — no financial data tracked</w:t>
            </w:r>
          </w:p>
        </w:tc>
      </w:tr>
    </w:tbl>
    <w:p>
      <w:pPr>
        <w:spacing w:after="60" w:before="60"/>
      </w:pPr>
      <w:r>
        <w:t xml:space="preserve"/>
      </w:r>
    </w:p>
    <w:p>
      <w:pPr>
        <w:pStyle w:val="Heading2"/>
        <w:pBdr>
          <w:bottom w:val="single" w:color="1B4F9C" w:sz="6" w:space="4"/>
        </w:pBdr>
        <w:spacing w:after="120" w:before="240"/>
      </w:pPr>
      <w:r>
        <w:rPr>
          <w:rFonts w:ascii="Arial" w:cs="Arial" w:eastAsia="Arial" w:hAnsi="Arial"/>
          <w:b/>
          <w:bCs/>
          <w:color w:val="1B4F9C"/>
          <w:sz w:val="26"/>
          <w:szCs w:val="26"/>
        </w:rPr>
        <w:t xml:space="preserve">2.2 Data Flow — SMS Auto-Log</w:t>
      </w:r>
    </w:p>
    <w:p>
      <w:pPr>
        <w:spacing w:after="100" w:before="60"/>
      </w:pPr>
      <w:r>
        <w:rPr>
          <w:rFonts w:ascii="Arial" w:cs="Arial" w:eastAsia="Arial" w:hAnsi="Arial"/>
          <w:color w:val="1A1A1A"/>
          <w:sz w:val="22"/>
          <w:szCs w:val="22"/>
        </w:rPr>
        <w:t xml:space="preserve">Step 1: SMS arrives on device from bank/UPI provider.</w:t>
      </w:r>
    </w:p>
    <w:p>
      <w:pPr>
        <w:spacing w:after="100" w:before="60"/>
      </w:pPr>
      <w:r>
        <w:rPr>
          <w:rFonts w:ascii="Arial" w:cs="Arial" w:eastAsia="Arial" w:hAnsi="Arial"/>
          <w:color w:val="1A1A1A"/>
          <w:sz w:val="22"/>
          <w:szCs w:val="22"/>
        </w:rPr>
        <w:t xml:space="preserve">Step 2: Background listener (RECEIVE_SMS) fires on-device SMS parser.</w:t>
      </w:r>
    </w:p>
    <w:p>
      <w:pPr>
        <w:spacing w:after="100" w:before="60"/>
      </w:pPr>
      <w:r>
        <w:rPr>
          <w:rFonts w:ascii="Arial" w:cs="Arial" w:eastAsia="Arial" w:hAnsi="Arial"/>
          <w:color w:val="1A1A1A"/>
          <w:sz w:val="22"/>
          <w:szCs w:val="22"/>
        </w:rPr>
        <w:t xml:space="preserve">Step 3: Parser extracts amount, merchant name, debit/credit flag using regex.</w:t>
      </w:r>
    </w:p>
    <w:p>
      <w:pPr>
        <w:spacing w:after="100" w:before="60"/>
      </w:pPr>
      <w:r>
        <w:rPr>
          <w:rFonts w:ascii="Arial" w:cs="Arial" w:eastAsia="Arial" w:hAnsi="Arial"/>
          <w:color w:val="1A1A1A"/>
          <w:sz w:val="22"/>
          <w:szCs w:val="22"/>
        </w:rPr>
        <w:t xml:space="preserve">Step 4: Keyword matcher assigns category (Food / Travel / Shopping / Random).</w:t>
      </w:r>
    </w:p>
    <w:p>
      <w:pPr>
        <w:spacing w:after="100" w:before="60"/>
      </w:pPr>
      <w:r>
        <w:rPr>
          <w:rFonts w:ascii="Arial" w:cs="Arial" w:eastAsia="Arial" w:hAnsi="Arial"/>
          <w:color w:val="1A1A1A"/>
          <w:sz w:val="22"/>
          <w:szCs w:val="22"/>
        </w:rPr>
        <w:t xml:space="preserve">Step 5: Transaction written to local SQLite store immediately.</w:t>
      </w:r>
    </w:p>
    <w:p>
      <w:pPr>
        <w:spacing w:after="100" w:before="60"/>
      </w:pPr>
      <w:r>
        <w:rPr>
          <w:rFonts w:ascii="Arial" w:cs="Arial" w:eastAsia="Arial" w:hAnsi="Arial"/>
          <w:color w:val="1A1A1A"/>
          <w:sz w:val="22"/>
          <w:szCs w:val="22"/>
        </w:rPr>
        <w:t xml:space="preserve">Step 6: User sees notification: 'Rs 240 logged as Food — tap to change category.'</w:t>
      </w:r>
    </w:p>
    <w:p>
      <w:pPr>
        <w:spacing w:after="100" w:before="60"/>
      </w:pPr>
      <w:r>
        <w:rPr>
          <w:rFonts w:ascii="Arial" w:cs="Arial" w:eastAsia="Arial" w:hAnsi="Arial"/>
          <w:color w:val="1A1A1A"/>
          <w:sz w:val="22"/>
          <w:szCs w:val="22"/>
        </w:rPr>
        <w:t xml:space="preserve">Step 7: When internet available, local records sync to PostgreSQL via API.</w:t>
      </w:r>
    </w:p>
    <w:p>
      <w:pPr>
        <w:spacing w:after="100" w:before="60"/>
      </w:pPr>
      <w:r>
        <w:rPr>
          <w:rFonts w:ascii="Arial" w:cs="Arial" w:eastAsia="Arial" w:hAnsi="Arial"/>
          <w:color w:val="1A1A1A"/>
          <w:sz w:val="22"/>
          <w:szCs w:val="22"/>
        </w:rPr>
        <w:t xml:space="preserve">Step 8: Backend recomputes weekly summary and insight sentence.</w:t>
      </w:r>
    </w:p>
    <w:p>
      <w:pPr>
        <w:spacing w:after="100" w:before="60"/>
      </w:pPr>
      <w:r>
        <w:rPr>
          <w:rFonts w:ascii="Arial" w:cs="Arial" w:eastAsia="Arial" w:hAnsi="Arial"/>
          <w:color w:val="1A1A1A"/>
          <w:sz w:val="22"/>
          <w:szCs w:val="22"/>
        </w:rPr>
        <w:t xml:space="preserve">Step 9: Updated insight pushed to client; home screen refreshes.</w:t>
      </w:r>
    </w:p>
    <w:p>
      <w:pPr>
        <w:spacing w:after="60" w:before="60"/>
      </w:pPr>
      <w:r>
        <w:t xml:space="preserve"/>
      </w:r>
    </w:p>
    <w:p>
      <w:pPr>
        <w:pStyle w:val="Heading2"/>
        <w:pBdr>
          <w:bottom w:val="single" w:color="1B4F9C" w:sz="6" w:space="4"/>
        </w:pBdr>
        <w:spacing w:after="120" w:before="240"/>
      </w:pPr>
      <w:r>
        <w:rPr>
          <w:rFonts w:ascii="Arial" w:cs="Arial" w:eastAsia="Arial" w:hAnsi="Arial"/>
          <w:b/>
          <w:bCs/>
          <w:color w:val="1B4F9C"/>
          <w:sz w:val="26"/>
          <w:szCs w:val="26"/>
        </w:rPr>
        <w:t xml:space="preserve">2.3 Data Flow — Manual Log</w:t>
      </w:r>
    </w:p>
    <w:p>
      <w:pPr>
        <w:spacing w:after="100" w:before="60"/>
      </w:pPr>
      <w:r>
        <w:rPr>
          <w:rFonts w:ascii="Arial" w:cs="Arial" w:eastAsia="Arial" w:hAnsi="Arial"/>
          <w:color w:val="1A1A1A"/>
          <w:sz w:val="22"/>
          <w:szCs w:val="22"/>
        </w:rPr>
        <w:t xml:space="preserve">Step 1: User taps Log button (1 tap from home screen).</w:t>
      </w:r>
    </w:p>
    <w:p>
      <w:pPr>
        <w:spacing w:after="100" w:before="60"/>
      </w:pPr>
      <w:r>
        <w:rPr>
          <w:rFonts w:ascii="Arial" w:cs="Arial" w:eastAsia="Arial" w:hAnsi="Arial"/>
          <w:color w:val="1A1A1A"/>
          <w:sz w:val="22"/>
          <w:szCs w:val="22"/>
        </w:rPr>
        <w:t xml:space="preserve">Step 2: Numeric keypad auto-focuses. User types amount.</w:t>
      </w:r>
    </w:p>
    <w:p>
      <w:pPr>
        <w:spacing w:after="100" w:before="60"/>
      </w:pPr>
      <w:r>
        <w:rPr>
          <w:rFonts w:ascii="Arial" w:cs="Arial" w:eastAsia="Arial" w:hAnsi="Arial"/>
          <w:color w:val="1A1A1A"/>
          <w:sz w:val="22"/>
          <w:szCs w:val="22"/>
        </w:rPr>
        <w:t xml:space="preserve">Step 3: User taps category tile (Food / Travel / Shopping / Random).</w:t>
      </w:r>
    </w:p>
    <w:p>
      <w:pPr>
        <w:spacing w:after="100" w:before="60"/>
      </w:pPr>
      <w:r>
        <w:rPr>
          <w:rFonts w:ascii="Arial" w:cs="Arial" w:eastAsia="Arial" w:hAnsi="Arial"/>
          <w:color w:val="1A1A1A"/>
          <w:sz w:val="22"/>
          <w:szCs w:val="22"/>
        </w:rPr>
        <w:t xml:space="preserve">Step 4: Transaction saved to local SQLite (total: 2 taps, under 5 seconds).</w:t>
      </w:r>
    </w:p>
    <w:p>
      <w:pPr>
        <w:spacing w:after="100" w:before="60"/>
      </w:pPr>
      <w:r>
        <w:rPr>
          <w:rFonts w:ascii="Arial" w:cs="Arial" w:eastAsia="Arial" w:hAnsi="Arial"/>
          <w:color w:val="1A1A1A"/>
          <w:sz w:val="22"/>
          <w:szCs w:val="22"/>
        </w:rPr>
        <w:t xml:space="preserve">Step 5: Sync to backend on next available connection.</w:t>
      </w:r>
    </w:p>
    <w:p>
      <w:r>
        <w:br w:type="page"/>
      </w:r>
    </w:p>
    <w:p>
      <w:pPr>
        <w:pStyle w:val="Heading1"/>
        <w:spacing w:after="160" w:before="320"/>
      </w:pPr>
      <w:r>
        <w:rPr>
          <w:rFonts w:ascii="Arial" w:cs="Arial" w:eastAsia="Arial" w:hAnsi="Arial"/>
          <w:b/>
          <w:bCs/>
          <w:color w:val="0D2B5C"/>
          <w:sz w:val="32"/>
          <w:szCs w:val="32"/>
        </w:rPr>
        <w:t xml:space="preserve">3. Mobile Client Architecture</w:t>
      </w:r>
    </w:p>
    <w:p>
      <w:pPr>
        <w:pStyle w:val="Heading2"/>
        <w:pBdr>
          <w:bottom w:val="single" w:color="1B4F9C" w:sz="6" w:space="4"/>
        </w:pBdr>
        <w:spacing w:after="120" w:before="240"/>
      </w:pPr>
      <w:r>
        <w:rPr>
          <w:rFonts w:ascii="Arial" w:cs="Arial" w:eastAsia="Arial" w:hAnsi="Arial"/>
          <w:b/>
          <w:bCs/>
          <w:color w:val="1B4F9C"/>
          <w:sz w:val="26"/>
          <w:szCs w:val="26"/>
        </w:rPr>
        <w:t xml:space="preserve">3.1 Screen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0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36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r>
      <w:tr>
        <w:tc>
          <w:tcPr>
            <w:tcW w:type="dxa" w:w="2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Home</w:t>
            </w:r>
          </w:p>
        </w:tc>
        <w:tc>
          <w:tcPr>
            <w:tcW w:type="dxa" w:w="2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/home</w:t>
            </w:r>
          </w:p>
        </w:tc>
        <w:tc>
          <w:tcPr>
            <w:tcW w:type="dxa" w:w="53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WeeklyLeakCard, CategoryBarChart, StreakWidget, InsightBanner</w:t>
            </w:r>
          </w:p>
        </w:tc>
      </w:tr>
      <w:tr>
        <w:tc>
          <w:tcPr>
            <w:tcW w:type="dxa" w:w="2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Log Expense</w:t>
            </w:r>
          </w:p>
        </w:tc>
        <w:tc>
          <w:tcPr>
            <w:tcW w:type="dxa" w:w="2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/log</w:t>
            </w:r>
          </w:p>
        </w:tc>
        <w:tc>
          <w:tcPr>
            <w:tcW w:type="dxa" w:w="53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AmountKeypad, CategoryPicker, ConfirmButton</w:t>
            </w:r>
          </w:p>
        </w:tc>
      </w:tr>
      <w:tr>
        <w:tc>
          <w:tcPr>
            <w:tcW w:type="dxa" w:w="2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History</w:t>
            </w:r>
          </w:p>
        </w:tc>
        <w:tc>
          <w:tcPr>
            <w:tcW w:type="dxa" w:w="2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/history</w:t>
            </w:r>
          </w:p>
        </w:tc>
        <w:tc>
          <w:tcPr>
            <w:tcW w:type="dxa" w:w="53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WeeklyAccordion, TransactionList, CategoryFilter</w:t>
            </w:r>
          </w:p>
        </w:tc>
      </w:tr>
      <w:tr>
        <w:tc>
          <w:tcPr>
            <w:tcW w:type="dxa" w:w="2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Score</w:t>
            </w:r>
          </w:p>
        </w:tc>
        <w:tc>
          <w:tcPr>
            <w:tcW w:type="dxa" w:w="2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/score</w:t>
            </w:r>
          </w:p>
        </w:tc>
        <w:tc>
          <w:tcPr>
            <w:tcW w:type="dxa" w:w="53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ScoreMeter, CategoryGoalList, ChallengeCard</w:t>
            </w:r>
          </w:p>
        </w:tc>
      </w:tr>
      <w:tr>
        <w:tc>
          <w:tcPr>
            <w:tcW w:type="dxa" w:w="2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Profile &amp; Settings</w:t>
            </w:r>
          </w:p>
        </w:tc>
        <w:tc>
          <w:tcPr>
            <w:tcW w:type="dxa" w:w="2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/profile</w:t>
            </w:r>
          </w:p>
        </w:tc>
        <w:tc>
          <w:tcPr>
            <w:tcW w:type="dxa" w:w="53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GroupManager, NotificationSettings, DataExport</w:t>
            </w:r>
          </w:p>
        </w:tc>
      </w:tr>
      <w:tr>
        <w:tc>
          <w:tcPr>
            <w:tcW w:type="dxa" w:w="2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Onboarding</w:t>
            </w:r>
          </w:p>
        </w:tc>
        <w:tc>
          <w:tcPr>
            <w:tcW w:type="dxa" w:w="2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/onboarding</w:t>
            </w:r>
          </w:p>
        </w:tc>
        <w:tc>
          <w:tcPr>
            <w:tcW w:type="dxa" w:w="53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PermissionRequest (SMS, Notifications), SoftGoalSetter</w:t>
            </w:r>
          </w:p>
        </w:tc>
      </w:tr>
    </w:tbl>
    <w:p>
      <w:pPr>
        <w:spacing w:after="60" w:before="60"/>
      </w:pPr>
      <w:r>
        <w:t xml:space="preserve"/>
      </w:r>
    </w:p>
    <w:p>
      <w:pPr>
        <w:pStyle w:val="Heading2"/>
        <w:pBdr>
          <w:bottom w:val="single" w:color="1B4F9C" w:sz="6" w:space="4"/>
        </w:pBdr>
        <w:spacing w:after="120" w:before="240"/>
      </w:pPr>
      <w:r>
        <w:rPr>
          <w:rFonts w:ascii="Arial" w:cs="Arial" w:eastAsia="Arial" w:hAnsi="Arial"/>
          <w:b/>
          <w:bCs/>
          <w:color w:val="1B4F9C"/>
          <w:sz w:val="26"/>
          <w:szCs w:val="26"/>
        </w:rPr>
        <w:t xml:space="preserve">3.2 State Management</w:t>
      </w:r>
    </w:p>
    <w:p>
      <w:pPr>
        <w:pStyle w:val="ListParagraph"/>
        <w:numPr>
          <w:ilvl w:val="0"/>
          <w:numId w:val="2"/>
        </w:numPr>
        <w:spacing w:after="40" w:before="40"/>
      </w:pPr>
      <w:r>
        <w:rPr>
          <w:rFonts w:ascii="Arial" w:cs="Arial" w:eastAsia="Arial" w:hAnsi="Arial"/>
          <w:color w:val="1A1A1A"/>
          <w:sz w:val="22"/>
          <w:szCs w:val="22"/>
        </w:rPr>
        <w:t xml:space="preserve">Zustand for global client state (user session, current week data, streak)</w:t>
      </w:r>
    </w:p>
    <w:p>
      <w:pPr>
        <w:pStyle w:val="ListParagraph"/>
        <w:numPr>
          <w:ilvl w:val="0"/>
          <w:numId w:val="2"/>
        </w:numPr>
        <w:spacing w:after="40" w:before="40"/>
      </w:pPr>
      <w:r>
        <w:rPr>
          <w:rFonts w:ascii="Arial" w:cs="Arial" w:eastAsia="Arial" w:hAnsi="Arial"/>
          <w:color w:val="1A1A1A"/>
          <w:sz w:val="22"/>
          <w:szCs w:val="22"/>
        </w:rPr>
        <w:t xml:space="preserve">React Query for server-state with offline cache and background refetch</w:t>
      </w:r>
    </w:p>
    <w:p>
      <w:pPr>
        <w:pStyle w:val="ListParagraph"/>
        <w:numPr>
          <w:ilvl w:val="0"/>
          <w:numId w:val="2"/>
        </w:numPr>
        <w:spacing w:after="40" w:before="40"/>
      </w:pPr>
      <w:r>
        <w:rPr>
          <w:rFonts w:ascii="Arial" w:cs="Arial" w:eastAsia="Arial" w:hAnsi="Arial"/>
          <w:color w:val="1A1A1A"/>
          <w:sz w:val="22"/>
          <w:szCs w:val="22"/>
        </w:rPr>
        <w:t xml:space="preserve">expo-sqlite as local persistent store (offline-first source of truth)</w:t>
      </w:r>
    </w:p>
    <w:p>
      <w:pPr>
        <w:pStyle w:val="ListParagraph"/>
        <w:numPr>
          <w:ilvl w:val="0"/>
          <w:numId w:val="2"/>
        </w:numPr>
        <w:spacing w:after="40" w:before="40"/>
      </w:pPr>
      <w:r>
        <w:rPr>
          <w:rFonts w:ascii="Arial" w:cs="Arial" w:eastAsia="Arial" w:hAnsi="Arial"/>
          <w:color w:val="1A1A1A"/>
          <w:sz w:val="22"/>
          <w:szCs w:val="22"/>
        </w:rPr>
        <w:t xml:space="preserve">No Redux — overkill for MVP scope and team size</w:t>
      </w:r>
    </w:p>
    <w:p>
      <w:pPr>
        <w:spacing w:after="60" w:before="60"/>
      </w:pPr>
      <w:r>
        <w:t xml:space="preserve"/>
      </w:r>
    </w:p>
    <w:p>
      <w:pPr>
        <w:pStyle w:val="Heading2"/>
        <w:pBdr>
          <w:bottom w:val="single" w:color="1B4F9C" w:sz="6" w:space="4"/>
        </w:pBdr>
        <w:spacing w:after="120" w:before="240"/>
      </w:pPr>
      <w:r>
        <w:rPr>
          <w:rFonts w:ascii="Arial" w:cs="Arial" w:eastAsia="Arial" w:hAnsi="Arial"/>
          <w:b/>
          <w:bCs/>
          <w:color w:val="1B4F9C"/>
          <w:sz w:val="26"/>
          <w:szCs w:val="26"/>
        </w:rPr>
        <w:t xml:space="preserve">3.3 SMS Parsing Module</w:t>
      </w:r>
    </w:p>
    <w:p>
      <w:pPr>
        <w:spacing w:after="100" w:before="60"/>
      </w:pPr>
      <w:r>
        <w:rPr>
          <w:rFonts w:ascii="Arial" w:cs="Arial" w:eastAsia="Arial" w:hAnsi="Arial"/>
          <w:color w:val="1A1A1A"/>
          <w:sz w:val="22"/>
          <w:szCs w:val="22"/>
        </w:rPr>
        <w:t xml:space="preserve">The SMS parser is a standalone on-device module. It maintains a pattern library of regex expressions for the top 15 Indian banks and UPI providers. The pattern library is versioned and can be updated via remote config (no app update required for new bank formats).</w:t>
      </w:r>
    </w:p>
    <w:p>
      <w:pPr>
        <w:spacing w:after="100" w:before="60"/>
      </w:pPr>
      <w:r>
        <w:rPr>
          <w:rFonts w:ascii="Arial" w:cs="Arial" w:eastAsia="Arial" w:hAnsi="Arial"/>
          <w:color w:val="1A1A1A"/>
          <w:sz w:val="22"/>
          <w:szCs w:val="22"/>
        </w:rPr>
        <w:t xml:space="preserve">Category keyword matching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56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Trigger Keywords (examples)</w:t>
            </w:r>
          </w:p>
        </w:tc>
      </w:tr>
      <w:tr>
        <w:tc>
          <w:tcPr>
            <w:tcW w:type="dxa" w:w="1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Food</w:t>
            </w:r>
          </w:p>
        </w:tc>
        <w:tc>
          <w:tcPr>
            <w:tcW w:type="dxa" w:w="75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Swiggy, Zomato, Dominos, Blinkit, BigBasket, Zepto, mess, canteen, restaurant, cafe, dhaba, bakery</w:t>
            </w:r>
          </w:p>
        </w:tc>
      </w:tr>
      <w:tr>
        <w:tc>
          <w:tcPr>
            <w:tcW w:type="dxa" w:w="1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Travel</w:t>
            </w:r>
          </w:p>
        </w:tc>
        <w:tc>
          <w:tcPr>
            <w:tcW w:type="dxa" w:w="75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Ola, Uber, Rapido, Namma Yatri, IRCTC, Redbus, Metro, auto, rapido, petrol, fuel</w:t>
            </w:r>
          </w:p>
        </w:tc>
      </w:tr>
      <w:tr>
        <w:tc>
          <w:tcPr>
            <w:tcW w:type="dxa" w:w="1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Shopping</w:t>
            </w:r>
          </w:p>
        </w:tc>
        <w:tc>
          <w:tcPr>
            <w:tcW w:type="dxa" w:w="75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Amazon, Flipkart, Myntra, Nykaa, Ajio, DMart, Reliance, Big Bazaar, mall</w:t>
            </w:r>
          </w:p>
        </w:tc>
      </w:tr>
      <w:tr>
        <w:tc>
          <w:tcPr>
            <w:tcW w:type="dxa" w:w="1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Random</w:t>
            </w:r>
          </w:p>
        </w:tc>
        <w:tc>
          <w:tcPr>
            <w:tcW w:type="dxa" w:w="75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All transactions not matched by above patterns. Also: ATM, cash withdrawal.</w:t>
            </w:r>
          </w:p>
        </w:tc>
      </w:tr>
    </w:tbl>
    <w:p>
      <w:r>
        <w:br w:type="page"/>
      </w:r>
    </w:p>
    <w:p>
      <w:pPr>
        <w:pStyle w:val="Heading1"/>
        <w:spacing w:after="160" w:before="320"/>
      </w:pPr>
      <w:r>
        <w:rPr>
          <w:rFonts w:ascii="Arial" w:cs="Arial" w:eastAsia="Arial" w:hAnsi="Arial"/>
          <w:b/>
          <w:bCs/>
          <w:color w:val="0D2B5C"/>
          <w:sz w:val="32"/>
          <w:szCs w:val="32"/>
        </w:rPr>
        <w:t xml:space="preserve">4. Backend Architecture</w:t>
      </w:r>
    </w:p>
    <w:p>
      <w:pPr>
        <w:pStyle w:val="Heading2"/>
        <w:pBdr>
          <w:bottom w:val="single" w:color="1B4F9C" w:sz="6" w:space="4"/>
        </w:pBdr>
        <w:spacing w:after="120" w:before="240"/>
      </w:pPr>
      <w:r>
        <w:rPr>
          <w:rFonts w:ascii="Arial" w:cs="Arial" w:eastAsia="Arial" w:hAnsi="Arial"/>
          <w:b/>
          <w:bCs/>
          <w:color w:val="1B4F9C"/>
          <w:sz w:val="26"/>
          <w:szCs w:val="26"/>
        </w:rPr>
        <w:t xml:space="preserve">4.1 API Layer</w:t>
      </w:r>
    </w:p>
    <w:p>
      <w:pPr>
        <w:spacing w:after="100" w:before="60"/>
      </w:pPr>
      <w:r>
        <w:rPr>
          <w:rFonts w:ascii="Arial" w:cs="Arial" w:eastAsia="Arial" w:hAnsi="Arial"/>
          <w:color w:val="1A1A1A"/>
          <w:sz w:val="22"/>
          <w:szCs w:val="22"/>
        </w:rPr>
        <w:t xml:space="preserve">The Node.js backend follows a standard MVC pattern. No microservices in MVP — a single monolithic API deployed on Railway.app with auto-deploy from the main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36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w:t>
            </w:r>
          </w:p>
        </w:tc>
        <w:tc>
          <w:tcPr>
            <w:tcW w:type="dxa" w:w="73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OTP request/verify, JWT issue, Google SSO callback</w:t>
            </w:r>
          </w:p>
        </w:tc>
      </w:tr>
      <w:tr>
        <w:tc>
          <w:tcPr>
            <w:tcW w:type="dxa" w:w="2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transactions/</w:t>
            </w:r>
          </w:p>
        </w:tc>
        <w:tc>
          <w:tcPr>
            <w:tcW w:type="dxa" w:w="73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CRUD for transaction records. Validates and writes to Postgres via Prisma ORM.</w:t>
            </w:r>
          </w:p>
        </w:tc>
      </w:tr>
      <w:tr>
        <w:tc>
          <w:tcPr>
            <w:tcW w:type="dxa" w:w="2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insights/</w:t>
            </w:r>
          </w:p>
        </w:tc>
        <w:tc>
          <w:tcPr>
            <w:tcW w:type="dxa" w:w="73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Reads weekly transaction aggregates. Runs insight template engine. Returns formatted insight objects.</w:t>
            </w:r>
          </w:p>
        </w:tc>
      </w:tr>
      <w:tr>
        <w:tc>
          <w:tcPr>
            <w:tcW w:type="dxa" w:w="2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gamification/</w:t>
            </w:r>
          </w:p>
        </w:tc>
        <w:tc>
          <w:tcPr>
            <w:tcW w:type="dxa" w:w="73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Streak compute, score compute, challenge management, leaderboard queries</w:t>
            </w:r>
          </w:p>
        </w:tc>
      </w:tr>
      <w:tr>
        <w:tc>
          <w:tcPr>
            <w:tcW w:type="dxa" w:w="2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groups/</w:t>
            </w:r>
          </w:p>
        </w:tc>
        <w:tc>
          <w:tcPr>
            <w:tcW w:type="dxa" w:w="73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Group creation, membership, leaderboard data (anonymised)</w:t>
            </w:r>
          </w:p>
        </w:tc>
      </w:tr>
      <w:tr>
        <w:tc>
          <w:tcPr>
            <w:tcW w:type="dxa" w:w="2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sync/</w:t>
            </w:r>
          </w:p>
        </w:tc>
        <w:tc>
          <w:tcPr>
            <w:tcW w:type="dxa" w:w="73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Accepts batched offline transaction payloads from client for bulk insert with deduplication</w:t>
            </w:r>
          </w:p>
        </w:tc>
      </w:tr>
    </w:tbl>
    <w:p>
      <w:pPr>
        <w:spacing w:after="60" w:before="60"/>
      </w:pPr>
      <w:r>
        <w:t xml:space="preserve"/>
      </w:r>
    </w:p>
    <w:p>
      <w:pPr>
        <w:pStyle w:val="Heading2"/>
        <w:pBdr>
          <w:bottom w:val="single" w:color="1B4F9C" w:sz="6" w:space="4"/>
        </w:pBdr>
        <w:spacing w:after="120" w:before="240"/>
      </w:pPr>
      <w:r>
        <w:rPr>
          <w:rFonts w:ascii="Arial" w:cs="Arial" w:eastAsia="Arial" w:hAnsi="Arial"/>
          <w:b/>
          <w:bCs/>
          <w:color w:val="1B4F9C"/>
          <w:sz w:val="26"/>
          <w:szCs w:val="26"/>
        </w:rPr>
        <w:t xml:space="preserve">4.2 Insight Template Engine</w:t>
      </w:r>
    </w:p>
    <w:p>
      <w:pPr>
        <w:spacing w:after="100" w:before="60"/>
      </w:pPr>
      <w:r>
        <w:rPr>
          <w:rFonts w:ascii="Arial" w:cs="Arial" w:eastAsia="Arial" w:hAnsi="Arial"/>
          <w:color w:val="1A1A1A"/>
          <w:sz w:val="22"/>
          <w:szCs w:val="22"/>
        </w:rPr>
        <w:t xml:space="preserve">The insight engine uses a simple template substitution system. Templates are stored as strings with placeholders. The engine selects the most contextually relevant template based on the user's data pattern.</w:t>
      </w:r>
    </w:p>
    <w:p>
      <w:pPr>
        <w:spacing w:after="100" w:before="60"/>
      </w:pPr>
      <w:r>
        <w:rPr>
          <w:rFonts w:ascii="Arial" w:cs="Arial" w:eastAsia="Arial" w:hAnsi="Arial"/>
          <w:color w:val="1A1A1A"/>
          <w:sz w:val="22"/>
          <w:szCs w:val="22"/>
        </w:rPr>
        <w:t xml:space="preserve">Example templates:</w:t>
      </w:r>
    </w:p>
    <w:p>
      <w:pPr>
        <w:pStyle w:val="ListParagraph"/>
        <w:numPr>
          <w:ilvl w:val="0"/>
          <w:numId w:val="2"/>
        </w:numPr>
        <w:spacing w:after="40" w:before="40"/>
      </w:pPr>
      <w:r>
        <w:rPr>
          <w:rFonts w:ascii="Arial" w:cs="Arial" w:eastAsia="Arial" w:hAnsi="Arial"/>
          <w:color w:val="1A1A1A"/>
          <w:sz w:val="22"/>
          <w:szCs w:val="22"/>
        </w:rPr>
        <w:t xml:space="preserve">'[Category] swallowed Rs [amount] this week — that is [pct]% of everything you spent.'</w:t>
      </w:r>
    </w:p>
    <w:p>
      <w:pPr>
        <w:pStyle w:val="ListParagraph"/>
        <w:numPr>
          <w:ilvl w:val="0"/>
          <w:numId w:val="2"/>
        </w:numPr>
        <w:spacing w:after="40" w:before="40"/>
      </w:pPr>
      <w:r>
        <w:rPr>
          <w:rFonts w:ascii="Arial" w:cs="Arial" w:eastAsia="Arial" w:hAnsi="Arial"/>
          <w:color w:val="1A1A1A"/>
          <w:sz w:val="22"/>
          <w:szCs w:val="22"/>
        </w:rPr>
        <w:t xml:space="preserve">'You spent Rs [amount] on [category] this week. At this rate, that is Rs [monthly_projection] by month end.'</w:t>
      </w:r>
    </w:p>
    <w:p>
      <w:pPr>
        <w:pStyle w:val="ListParagraph"/>
        <w:numPr>
          <w:ilvl w:val="0"/>
          <w:numId w:val="2"/>
        </w:numPr>
        <w:spacing w:after="40" w:before="40"/>
      </w:pPr>
      <w:r>
        <w:rPr>
          <w:rFonts w:ascii="Arial" w:cs="Arial" w:eastAsia="Arial" w:hAnsi="Arial"/>
          <w:color w:val="1A1A1A"/>
          <w:sz w:val="22"/>
          <w:szCs w:val="22"/>
        </w:rPr>
        <w:t xml:space="preserve">'Your [category] spend is [multiplier]x higher than last week. One category did most of the damage.'</w:t>
      </w:r>
    </w:p>
    <w:p>
      <w:pPr>
        <w:pStyle w:val="ListParagraph"/>
        <w:numPr>
          <w:ilvl w:val="0"/>
          <w:numId w:val="2"/>
        </w:numPr>
        <w:spacing w:after="40" w:before="40"/>
      </w:pPr>
      <w:r>
        <w:rPr>
          <w:rFonts w:ascii="Arial" w:cs="Arial" w:eastAsia="Arial" w:hAnsi="Arial"/>
          <w:color w:val="1A1A1A"/>
          <w:sz w:val="22"/>
          <w:szCs w:val="22"/>
        </w:rPr>
        <w:t xml:space="preserve">'Rs [amount] on [category] this week. More than your [benchmark] for the month.'</w:t>
      </w:r>
    </w:p>
    <w:p>
      <w:pPr>
        <w:spacing w:after="100" w:before="60"/>
      </w:pPr>
      <w:r>
        <w:rPr>
          <w:rFonts w:ascii="Arial" w:cs="Arial" w:eastAsia="Arial" w:hAnsi="Arial"/>
          <w:color w:val="1A1A1A"/>
          <w:sz w:val="22"/>
          <w:szCs w:val="22"/>
        </w:rPr>
        <w:t xml:space="preserve">Benchmarks used: room rent (estimated at Rs 4,000–8,000), daily food goal, weekly travel goal. User can optionally set their own benchmarks in onboarding.</w:t>
      </w:r>
    </w:p>
    <w:p>
      <w:pPr>
        <w:spacing w:after="60" w:before="60"/>
      </w:pPr>
      <w:r>
        <w:t xml:space="preserve"/>
      </w:r>
    </w:p>
    <w:p>
      <w:pPr>
        <w:pStyle w:val="Heading2"/>
        <w:pBdr>
          <w:bottom w:val="single" w:color="1B4F9C" w:sz="6" w:space="4"/>
        </w:pBdr>
        <w:spacing w:after="120" w:before="240"/>
      </w:pPr>
      <w:r>
        <w:rPr>
          <w:rFonts w:ascii="Arial" w:cs="Arial" w:eastAsia="Arial" w:hAnsi="Arial"/>
          <w:b/>
          <w:bCs/>
          <w:color w:val="1B4F9C"/>
          <w:sz w:val="26"/>
          <w:szCs w:val="26"/>
        </w:rPr>
        <w:t xml:space="preserve">4.3 Score Computation Logic</w:t>
      </w:r>
    </w:p>
    <w:p>
      <w:pPr>
        <w:spacing w:after="100" w:before="60"/>
      </w:pPr>
      <w:r>
        <w:rPr>
          <w:rFonts w:ascii="Arial" w:cs="Arial" w:eastAsia="Arial" w:hAnsi="Arial"/>
          <w:color w:val="1A1A1A"/>
          <w:sz w:val="22"/>
          <w:szCs w:val="22"/>
        </w:rPr>
        <w:t xml:space="preserve">The weekly spend score (0–100) is computed as follows:</w:t>
      </w:r>
    </w:p>
    <w:p>
      <w:pPr>
        <w:pStyle w:val="ListParagraph"/>
        <w:numPr>
          <w:ilvl w:val="0"/>
          <w:numId w:val="2"/>
        </w:numPr>
        <w:spacing w:after="40" w:before="40"/>
      </w:pPr>
      <w:r>
        <w:rPr>
          <w:rFonts w:ascii="Arial" w:cs="Arial" w:eastAsia="Arial" w:hAnsi="Arial"/>
          <w:color w:val="1A1A1A"/>
          <w:sz w:val="22"/>
          <w:szCs w:val="22"/>
        </w:rPr>
        <w:t xml:space="preserve">Each category has a soft daily goal (default: Food Rs 200, Travel Rs 100, Shopping Rs 150, Random Rs 100)</w:t>
      </w:r>
    </w:p>
    <w:p>
      <w:pPr>
        <w:pStyle w:val="ListParagraph"/>
        <w:numPr>
          <w:ilvl w:val="0"/>
          <w:numId w:val="2"/>
        </w:numPr>
        <w:spacing w:after="40" w:before="40"/>
      </w:pPr>
      <w:r>
        <w:rPr>
          <w:rFonts w:ascii="Arial" w:cs="Arial" w:eastAsia="Arial" w:hAnsi="Arial"/>
          <w:color w:val="1A1A1A"/>
          <w:sz w:val="22"/>
          <w:szCs w:val="22"/>
        </w:rPr>
        <w:t xml:space="preserve">User can override defaults in settings</w:t>
      </w:r>
    </w:p>
    <w:p>
      <w:pPr>
        <w:pStyle w:val="ListParagraph"/>
        <w:numPr>
          <w:ilvl w:val="0"/>
          <w:numId w:val="2"/>
        </w:numPr>
        <w:spacing w:after="40" w:before="40"/>
      </w:pPr>
      <w:r>
        <w:rPr>
          <w:rFonts w:ascii="Arial" w:cs="Arial" w:eastAsia="Arial" w:hAnsi="Arial"/>
          <w:color w:val="1A1A1A"/>
          <w:sz w:val="22"/>
          <w:szCs w:val="22"/>
        </w:rPr>
        <w:t xml:space="preserve">Actual spend vs goal is computed per category per day</w:t>
      </w:r>
    </w:p>
    <w:p>
      <w:pPr>
        <w:pStyle w:val="ListParagraph"/>
        <w:numPr>
          <w:ilvl w:val="0"/>
          <w:numId w:val="2"/>
        </w:numPr>
        <w:spacing w:after="40" w:before="40"/>
      </w:pPr>
      <w:r>
        <w:rPr>
          <w:rFonts w:ascii="Arial" w:cs="Arial" w:eastAsia="Arial" w:hAnsi="Arial"/>
          <w:color w:val="1A1A1A"/>
          <w:sz w:val="22"/>
          <w:szCs w:val="22"/>
        </w:rPr>
        <w:t xml:space="preserve">Score = 100 - (sum of daily overruns / total_budget * 100), clamped between 0 and 100</w:t>
      </w:r>
    </w:p>
    <w:p>
      <w:pPr>
        <w:pStyle w:val="ListParagraph"/>
        <w:numPr>
          <w:ilvl w:val="0"/>
          <w:numId w:val="2"/>
        </w:numPr>
        <w:spacing w:after="40" w:before="40"/>
      </w:pPr>
      <w:r>
        <w:rPr>
          <w:rFonts w:ascii="Arial" w:cs="Arial" w:eastAsia="Arial" w:hAnsi="Arial"/>
          <w:color w:val="1A1A1A"/>
          <w:sz w:val="22"/>
          <w:szCs w:val="22"/>
        </w:rPr>
        <w:t xml:space="preserve">A user who never exceeds any goal scores 100. A user 2x over budget across all categories scores approximately 50.</w:t>
      </w:r>
    </w:p>
    <w:p>
      <w:pPr>
        <w:spacing w:after="60" w:before="60"/>
      </w:pPr>
      <w:r>
        <w:t xml:space="preserve"/>
      </w:r>
    </w:p>
    <w:p>
      <w:pPr>
        <w:pStyle w:val="Heading1"/>
        <w:spacing w:after="160" w:before="320"/>
      </w:pPr>
      <w:r>
        <w:rPr>
          <w:rFonts w:ascii="Arial" w:cs="Arial" w:eastAsia="Arial" w:hAnsi="Arial"/>
          <w:b/>
          <w:bCs/>
          <w:color w:val="0D2B5C"/>
          <w:sz w:val="32"/>
          <w:szCs w:val="32"/>
        </w:rPr>
        <w:t xml:space="preserve">5.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40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336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Development</w:t>
            </w:r>
          </w:p>
        </w:tc>
        <w:tc>
          <w:tcPr>
            <w:tcW w:type="dxa" w:w="4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Node + Supabase local emulator</w:t>
            </w:r>
          </w:p>
        </w:tc>
        <w:tc>
          <w:tcPr>
            <w:tcW w:type="dxa" w:w="33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Individual developer environment</w:t>
            </w:r>
          </w:p>
        </w:tc>
      </w:tr>
      <w:tr>
        <w:tc>
          <w:tcPr>
            <w:tcW w:type="dxa" w:w="2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Staging</w:t>
            </w:r>
          </w:p>
        </w:tc>
        <w:tc>
          <w:tcPr>
            <w:tcW w:type="dxa" w:w="4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Railway staging deployment + Supabase staging project</w:t>
            </w:r>
          </w:p>
        </w:tc>
        <w:tc>
          <w:tcPr>
            <w:tcW w:type="dxa" w:w="33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QA and integration testing</w:t>
            </w:r>
          </w:p>
        </w:tc>
      </w:tr>
      <w:tr>
        <w:tc>
          <w:tcPr>
            <w:tcW w:type="dxa" w:w="2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Production</w:t>
            </w:r>
          </w:p>
        </w:tc>
        <w:tc>
          <w:tcPr>
            <w:tcW w:type="dxa" w:w="4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Railway production + Supabase production</w:t>
            </w:r>
          </w:p>
        </w:tc>
        <w:tc>
          <w:tcPr>
            <w:tcW w:type="dxa" w:w="33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user traffic</w:t>
            </w:r>
          </w:p>
        </w:tc>
      </w:tr>
    </w:tbl>
    <w:p>
      <w:pPr>
        <w:spacing w:after="60" w:before="60"/>
      </w:pPr>
      <w:r>
        <w:t xml:space="preserve"/>
      </w:r>
    </w:p>
    <w:p>
      <w:pPr>
        <w:pStyle w:val="Heading2"/>
        <w:pBdr>
          <w:bottom w:val="single" w:color="1B4F9C" w:sz="6" w:space="4"/>
        </w:pBdr>
        <w:spacing w:after="120" w:before="240"/>
      </w:pPr>
      <w:r>
        <w:rPr>
          <w:rFonts w:ascii="Arial" w:cs="Arial" w:eastAsia="Arial" w:hAnsi="Arial"/>
          <w:b/>
          <w:bCs/>
          <w:color w:val="1B4F9C"/>
          <w:sz w:val="26"/>
          <w:szCs w:val="26"/>
        </w:rPr>
        <w:t xml:space="preserve">5.1 CI/CD Pipeline</w:t>
      </w:r>
    </w:p>
    <w:p>
      <w:pPr>
        <w:pStyle w:val="ListParagraph"/>
        <w:numPr>
          <w:ilvl w:val="0"/>
          <w:numId w:val="2"/>
        </w:numPr>
        <w:spacing w:after="40" w:before="40"/>
      </w:pPr>
      <w:r>
        <w:rPr>
          <w:rFonts w:ascii="Arial" w:cs="Arial" w:eastAsia="Arial" w:hAnsi="Arial"/>
          <w:color w:val="1A1A1A"/>
          <w:sz w:val="22"/>
          <w:szCs w:val="22"/>
        </w:rPr>
        <w:t xml:space="preserve">GitHub Actions triggers on push to main branch</w:t>
      </w:r>
    </w:p>
    <w:p>
      <w:pPr>
        <w:pStyle w:val="ListParagraph"/>
        <w:numPr>
          <w:ilvl w:val="0"/>
          <w:numId w:val="2"/>
        </w:numPr>
        <w:spacing w:after="40" w:before="40"/>
      </w:pPr>
      <w:r>
        <w:rPr>
          <w:rFonts w:ascii="Arial" w:cs="Arial" w:eastAsia="Arial" w:hAnsi="Arial"/>
          <w:color w:val="1A1A1A"/>
          <w:sz w:val="22"/>
          <w:szCs w:val="22"/>
        </w:rPr>
        <w:t xml:space="preserve">Runs: lint, unit tests, integration tests</w:t>
      </w:r>
    </w:p>
    <w:p>
      <w:pPr>
        <w:pStyle w:val="ListParagraph"/>
        <w:numPr>
          <w:ilvl w:val="0"/>
          <w:numId w:val="2"/>
        </w:numPr>
        <w:spacing w:after="40" w:before="40"/>
      </w:pPr>
      <w:r>
        <w:rPr>
          <w:rFonts w:ascii="Arial" w:cs="Arial" w:eastAsia="Arial" w:hAnsi="Arial"/>
          <w:color w:val="1A1A1A"/>
          <w:sz w:val="22"/>
          <w:szCs w:val="22"/>
        </w:rPr>
        <w:t xml:space="preserve">On pass: auto-deploys to Railway staging</w:t>
      </w:r>
    </w:p>
    <w:p>
      <w:pPr>
        <w:pStyle w:val="ListParagraph"/>
        <w:numPr>
          <w:ilvl w:val="0"/>
          <w:numId w:val="2"/>
        </w:numPr>
        <w:spacing w:after="40" w:before="40"/>
      </w:pPr>
      <w:r>
        <w:rPr>
          <w:rFonts w:ascii="Arial" w:cs="Arial" w:eastAsia="Arial" w:hAnsi="Arial"/>
          <w:color w:val="1A1A1A"/>
          <w:sz w:val="22"/>
          <w:szCs w:val="22"/>
        </w:rPr>
        <w:t xml:space="preserve">Manual promotion button to production</w:t>
      </w:r>
    </w:p>
    <w:p>
      <w:pPr>
        <w:pStyle w:val="ListParagraph"/>
        <w:numPr>
          <w:ilvl w:val="0"/>
          <w:numId w:val="2"/>
        </w:numPr>
        <w:spacing w:after="40" w:before="40"/>
      </w:pPr>
      <w:r>
        <w:rPr>
          <w:rFonts w:ascii="Arial" w:cs="Arial" w:eastAsia="Arial" w:hAnsi="Arial"/>
          <w:color w:val="1A1A1A"/>
          <w:sz w:val="22"/>
          <w:szCs w:val="22"/>
        </w:rPr>
        <w:t xml:space="preserve">Mobile app: Expo EAS Build for APK/AAB generation; TestFlight / internal track for distribution</w:t>
      </w:r>
    </w:p>
    <w:p>
      <w:r>
        <w:br w:type="page"/>
      </w:r>
    </w:p>
    <w:p>
      <w:pPr>
        <w:pStyle w:val="Heading1"/>
        <w:spacing w:after="160" w:before="320"/>
      </w:pPr>
      <w:r>
        <w:rPr>
          <w:rFonts w:ascii="Arial" w:cs="Arial" w:eastAsia="Arial" w:hAnsi="Arial"/>
          <w:b/>
          <w:bCs/>
          <w:color w:val="0D2B5C"/>
          <w:sz w:val="32"/>
          <w:szCs w:val="32"/>
        </w:rPr>
        <w:t xml:space="preserve">6. Phased Delivery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96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0 — Discovery</w:t>
            </w:r>
          </w:p>
        </w:tc>
        <w:tc>
          <w:tcPr>
            <w:tcW w:type="dxa" w:w="16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1–2</w:t>
            </w:r>
          </w:p>
        </w:tc>
        <w:tc>
          <w:tcPr>
            <w:tcW w:type="dxa" w:w="59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interviews with 10 students. Validate category blindness as core pain point. Define SMS regex patterns for top 5 banks.</w:t>
            </w:r>
          </w:p>
        </w:tc>
      </w:tr>
      <w:tr>
        <w:tc>
          <w:tcPr>
            <w:tcW w:type="dxa" w:w="1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Phase 1 — WhatsApp MVP</w:t>
            </w:r>
          </w:p>
        </w:tc>
        <w:tc>
          <w:tcPr>
            <w:tcW w:type="dxa" w:w="16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Week 3–4</w:t>
            </w:r>
          </w:p>
        </w:tc>
        <w:tc>
          <w:tcPr>
            <w:tcW w:type="dxa" w:w="59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Manual WhatsApp-based prototype. Daily check-in message. Manual insight computation. Validate engagement loop without any code.</w:t>
            </w:r>
          </w:p>
        </w:tc>
      </w:tr>
      <w:tr>
        <w:tc>
          <w:tcPr>
            <w:tcW w:type="dxa" w:w="1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 — Core App (Alpha)</w:t>
            </w:r>
          </w:p>
        </w:tc>
        <w:tc>
          <w:tcPr>
            <w:tcW w:type="dxa" w:w="16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5–8</w:t>
            </w:r>
          </w:p>
        </w:tc>
        <w:tc>
          <w:tcPr>
            <w:tcW w:type="dxa" w:w="59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Native app: home screen, log screen, SMS parser (top 5 banks), manual log, category breakdown, no-spend streak. Internal testing with 20 users.</w:t>
            </w:r>
          </w:p>
        </w:tc>
      </w:tr>
      <w:tr>
        <w:tc>
          <w:tcPr>
            <w:tcW w:type="dxa" w:w="1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Phase 3 — Gamification (Beta)</w:t>
            </w:r>
          </w:p>
        </w:tc>
        <w:tc>
          <w:tcPr>
            <w:tcW w:type="dxa" w:w="16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Week 9–10</w:t>
            </w:r>
          </w:p>
        </w:tc>
        <w:tc>
          <w:tcPr>
            <w:tcW w:type="dxa" w:w="59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Weekly score, insight sentence engine, weekly challenge (1 challenge type), push notifications. Beta with 100 users.</w:t>
            </w:r>
          </w:p>
        </w:tc>
      </w:tr>
      <w:tr>
        <w:tc>
          <w:tcPr>
            <w:tcW w:type="dxa" w:w="1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4 — Social Layer</w:t>
            </w:r>
          </w:p>
        </w:tc>
        <w:tc>
          <w:tcPr>
            <w:tcW w:type="dxa" w:w="16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11–12</w:t>
            </w:r>
          </w:p>
        </w:tc>
        <w:tc>
          <w:tcPr>
            <w:tcW w:type="dxa" w:w="59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Group/hostel leaderboard, monthly recap card (shareable), spike alert. Public launch.</w:t>
            </w:r>
          </w:p>
        </w:tc>
      </w:tr>
      <w:tr>
        <w:tc>
          <w:tcPr>
            <w:tcW w:type="dxa" w:w="1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Phase 5 — Growth</w:t>
            </w:r>
          </w:p>
        </w:tc>
        <w:tc>
          <w:tcPr>
            <w:tcW w:type="dxa" w:w="16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Month 4+</w:t>
            </w:r>
          </w:p>
        </w:tc>
        <w:tc>
          <w:tcPr>
            <w:tcW w:type="dxa" w:w="59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iOS build, Hindi language support, expanded SMS bank patterns, premium tier, campus ambassador programme.</w:t>
            </w:r>
          </w:p>
        </w:tc>
      </w:tr>
    </w:tbl>
    <w:p>
      <w:pPr>
        <w:spacing w:after="60" w:before="60"/>
      </w:pPr>
      <w:r>
        <w:t xml:space="preserve"/>
      </w:r>
    </w:p>
    <w:p>
      <w:pPr>
        <w:pStyle w:val="Heading1"/>
        <w:spacing w:after="160" w:before="320"/>
      </w:pPr>
      <w:r>
        <w:rPr>
          <w:rFonts w:ascii="Arial" w:cs="Arial" w:eastAsia="Arial" w:hAnsi="Arial"/>
          <w:b/>
          <w:bCs/>
          <w:color w:val="0D2B5C"/>
          <w:sz w:val="32"/>
          <w:szCs w:val="32"/>
        </w:rPr>
        <w:t xml:space="preserve">7.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4460"/>
      </w:tblGrid>
      <w:tr>
        <w:tc>
          <w:tcPr>
            <w:tcW w:type="dxa" w:w="25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46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Android SMS permission revoked in future OS update</w:t>
            </w:r>
          </w:p>
        </w:tc>
        <w:tc>
          <w:tcPr>
            <w:tcW w:type="dxa" w:w="1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4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fallback manual-only mode. Monitor Android policy changes. Explore screen-reader approach as backup.</w:t>
            </w:r>
          </w:p>
        </w:tc>
      </w:tr>
      <w:tr>
        <w:tc>
          <w:tcPr>
            <w:tcW w:type="dxa" w:w="25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Low Day-7 retention</w:t>
            </w:r>
          </w:p>
        </w:tc>
        <w:tc>
          <w:tcPr>
            <w:tcW w:type="dxa" w:w="1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4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Streak mechanic is the primary retention driver. Add re-engagement push notification on day 3 of no activity.</w:t>
            </w:r>
          </w:p>
        </w:tc>
      </w:tr>
      <w:tr>
        <w:tc>
          <w:tcPr>
            <w:tcW w:type="dxa" w:w="25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SMS parsing accuracy below 70%</w:t>
            </w:r>
          </w:p>
        </w:tc>
        <w:tc>
          <w:tcPr>
            <w:tcW w:type="dxa" w:w="1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4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Expand regex library pre-launch. User correction flow (category override) as safety net. Show 'unmatched' count transparently.</w:t>
            </w:r>
          </w:p>
        </w:tc>
      </w:tr>
      <w:tr>
        <w:tc>
          <w:tcPr>
            <w:tcW w:type="dxa" w:w="25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Supabase free tier limits hit</w:t>
            </w:r>
          </w:p>
        </w:tc>
        <w:tc>
          <w:tcPr>
            <w:tcW w:type="dxa" w:w="1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4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Monitor usage. Migrate to paid tier at 500 DAU. Architecture supports this with no changes.</w:t>
            </w:r>
          </w:p>
        </w:tc>
      </w:tr>
      <w:tr>
        <w:tc>
          <w:tcPr>
            <w:tcW w:type="dxa" w:w="25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Regulatory challenge on SMS access</w:t>
            </w:r>
          </w:p>
        </w:tc>
        <w:tc>
          <w:tcPr>
            <w:tcW w:type="dxa" w:w="1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4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Comply fully with Android permission guidelines. Never read non-financial SMS. Provide granular permission controls to user.</w:t>
            </w:r>
          </w:p>
        </w:tc>
      </w:tr>
    </w:tbl>
    <w:p>
      <w:pPr>
        <w:spacing w:after="60" w:before="60"/>
      </w:pPr>
      <w:r>
        <w:t xml:space="preserve"/>
      </w:r>
    </w:p>
    <w:p>
      <w:pPr>
        <w:pStyle w:val="Heading1"/>
        <w:spacing w:after="160" w:before="320"/>
      </w:pPr>
      <w:r>
        <w:rPr>
          <w:rFonts w:ascii="Arial" w:cs="Arial" w:eastAsia="Arial" w:hAnsi="Arial"/>
          <w:b/>
          <w:bCs/>
          <w:color w:val="0D2B5C"/>
          <w:sz w:val="32"/>
          <w:szCs w:val="32"/>
        </w:rPr>
        <w:t xml:space="preserve">8. Team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3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&amp; Design Lead</w:t>
            </w:r>
          </w:p>
        </w:tc>
        <w:tc>
          <w:tcPr>
            <w:tcW w:type="dxa" w:w="63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PDR ownership, user interviews, UX design, insight copywriting, go-to-market</w:t>
            </w:r>
          </w:p>
        </w:tc>
      </w:tr>
      <w:tr>
        <w:tc>
          <w:tcPr>
            <w:tcW w:type="dxa" w:w="3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Mobile Engineer</w:t>
            </w:r>
          </w:p>
        </w:tc>
        <w:tc>
          <w:tcPr>
            <w:tcW w:type="dxa" w:w="63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React Native app, SMS parser module, local SQLite store, offline sync</w:t>
            </w:r>
          </w:p>
        </w:tc>
      </w:tr>
      <w:tr>
        <w:tc>
          <w:tcPr>
            <w:tcW w:type="dxa" w:w="3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Engineer</w:t>
            </w:r>
          </w:p>
        </w:tc>
        <w:tc>
          <w:tcPr>
            <w:tcW w:type="dxa" w:w="63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Node.js API, database schema, insight engine, gamification logic, deployment</w:t>
            </w:r>
          </w:p>
        </w:tc>
      </w:tr>
    </w:tbl>
    <w:p>
      <w:pPr>
        <w:spacing w:after="60" w:before="60"/>
      </w:pPr>
      <w:r>
        <w:t xml:space="preserve"/>
      </w:r>
    </w:p>
    <w:p>
      <w:pPr>
        <w:spacing w:after="60" w:before="60"/>
      </w:pPr>
      <w:r>
        <w:t xml:space="preserve"/>
      </w:r>
    </w:p>
    <w:p>
      <w:pPr>
        <w:spacing w:after="100" w:before="60"/>
      </w:pPr>
      <w:r>
        <w:rPr>
          <w:rFonts w:ascii="Arial" w:cs="Arial" w:eastAsia="Arial" w:hAnsi="Arial"/>
          <w:color w:val="999999"/>
          <w:sz w:val="22"/>
          <w:szCs w:val="22"/>
        </w:rPr>
        <w:t xml:space="preserve">Document ends.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CE5" w:sz="6" w:space="4"/>
      </w:pBdr>
      <w:spacing w:before="80"/>
      <w:jc w:val="center"/>
    </w:pPr>
    <w:r>
      <w:rPr>
        <w:rFonts w:ascii="Arial" w:cs="Arial" w:eastAsia="Arial" w:hAnsi="Arial"/>
        <w:color w:val="AAAAAA"/>
        <w:sz w:val="16"/>
        <w:szCs w:val="16"/>
      </w:rPr>
      <w:t xml:space="preserve">Confidential — Internal Use Only | Paisa,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9C" w:sz="6" w:space="4"/>
      </w:pBdr>
      <w:spacing w:after="120"/>
      <w:jc w:val="right"/>
    </w:pPr>
    <w:r>
      <w:rPr>
        <w:rFonts w:ascii="Arial" w:cs="Arial" w:eastAsia="Arial" w:hAnsi="Arial"/>
        <w:b/>
        <w:bCs/>
        <w:color w:val="1B4F9C"/>
        <w:sz w:val="18"/>
        <w:szCs w:val="18"/>
      </w:rPr>
      <w:t xml:space="preserve">Paisa — </w:t>
    </w:r>
    <w:r>
      <w:rPr>
        <w:rFonts w:ascii="Arial" w:cs="Arial" w:eastAsia="Arial" w:hAnsi="Arial"/>
        <w:color w:val="888888"/>
        <w:sz w:val="18"/>
        <w:szCs w:val="18"/>
      </w:rPr>
      <w:t xml:space="preserve">Solution Design  |  SD-001  |  Page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2B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4F9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7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2026-05-05T21:48:42.412Z</dcterms:created>
  <dcterms:modified xsi:type="dcterms:W3CDTF">2026-05-05T21:48:42.412Z</dcterms:modified>
</cp:coreProperties>
</file>

<file path=docProps/custom.xml><?xml version="1.0" encoding="utf-8"?>
<Properties xmlns="http://schemas.openxmlformats.org/officeDocument/2006/custom-properties" xmlns:vt="http://schemas.openxmlformats.org/officeDocument/2006/docPropsVTypes"/>
</file>