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CREDIT MONITORING ARRANGEMENT (CMA) REPORT</w:t>
      </w:r>
    </w:p>
    <w:p>
      <w:r>
        <w:t>Company: byjus  |  Date: 10 March 2026</w:t>
      </w:r>
    </w:p>
    <w:p>
      <w:pPr>
        <w:pStyle w:val="Heading1"/>
      </w:pPr>
      <w:r>
        <w:t>1. OPERATING STATEMENT (Rs. Crore)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Particulars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Previous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Projected</w:t>
            </w:r>
          </w:p>
        </w:tc>
      </w:tr>
      <w:tr>
        <w:tc>
          <w:tcPr>
            <w:tcW w:type="dxa" w:w="2160"/>
          </w:tcPr>
          <w:p>
            <w:r>
              <w:t>GST Turnover</w:t>
            </w:r>
          </w:p>
        </w:tc>
        <w:tc>
          <w:tcPr>
            <w:tcW w:type="dxa" w:w="2160"/>
          </w:tcPr>
          <w:p>
            <w:r>
              <w:t>127.5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172.5</w:t>
            </w:r>
          </w:p>
        </w:tc>
      </w:tr>
      <w:tr>
        <w:tc>
          <w:tcPr>
            <w:tcW w:type="dxa" w:w="2160"/>
          </w:tcPr>
          <w:p>
            <w:r>
              <w:t>Bank Credits</w:t>
            </w:r>
          </w:p>
        </w:tc>
        <w:tc>
          <w:tcPr>
            <w:tcW w:type="dxa" w:w="2160"/>
          </w:tcPr>
          <w:p>
            <w:r>
              <w:t>272.0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352.0</w:t>
            </w:r>
          </w:p>
        </w:tc>
      </w:tr>
      <w:tr>
        <w:tc>
          <w:tcPr>
            <w:tcW w:type="dxa" w:w="2160"/>
          </w:tcPr>
          <w:p>
            <w:r>
              <w:t>ITR Income</w:t>
            </w:r>
          </w:p>
        </w:tc>
        <w:tc>
          <w:tcPr>
            <w:tcW w:type="dxa" w:w="2160"/>
          </w:tcPr>
          <w:p>
            <w:r>
              <w:t>34.0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12.75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16.5</w:t>
            </w:r>
          </w:p>
        </w:tc>
      </w:tr>
      <w:tr>
        <w:tc>
          <w:tcPr>
            <w:tcW w:type="dxa" w:w="2160"/>
          </w:tcPr>
          <w:p>
            <w:r>
              <w:t>Interest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57.75</w:t>
            </w:r>
          </w:p>
        </w:tc>
      </w:tr>
      <w:tr>
        <w:tc>
          <w:tcPr>
            <w:tcW w:type="dxa" w:w="2160"/>
          </w:tcPr>
          <w:p>
            <w:r>
              <w:t>Net Profit</w:t>
            </w:r>
          </w:p>
        </w:tc>
        <w:tc>
          <w:tcPr>
            <w:tcW w:type="dxa" w:w="2160"/>
          </w:tcPr>
          <w:p>
            <w:r>
              <w:t>-23.8</w:t>
            </w:r>
          </w:p>
        </w:tc>
        <w:tc>
          <w:tcPr>
            <w:tcW w:type="dxa" w:w="2160"/>
          </w:tcPr>
          <w:p>
            <w:r>
              <w:t>-28.0</w:t>
            </w:r>
          </w:p>
        </w:tc>
        <w:tc>
          <w:tcPr>
            <w:tcW w:type="dxa" w:w="2160"/>
          </w:tcPr>
          <w:p>
            <w:r>
              <w:t>-30.8</w:t>
            </w:r>
          </w:p>
        </w:tc>
      </w:tr>
    </w:tbl>
    <w:p>
      <w:pPr>
        <w:pStyle w:val="Heading1"/>
      </w:pPr>
      <w:r>
        <w:t>2. KEY RATIOS (RBI Framework)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Ratio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RBI Benchmark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0.17x</w:t>
            </w:r>
          </w:p>
        </w:tc>
        <w:tc>
          <w:tcPr>
            <w:tcW w:type="dxa" w:w="2160"/>
          </w:tcPr>
          <w:p>
            <w:r>
              <w:t>&gt;1.25x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Debt-Equity</w:t>
            </w:r>
          </w:p>
        </w:tc>
        <w:tc>
          <w:tcPr>
            <w:tcW w:type="dxa" w:w="2160"/>
          </w:tcPr>
          <w:p>
            <w:r>
              <w:t>9.78x</w:t>
            </w:r>
          </w:p>
        </w:tc>
        <w:tc>
          <w:tcPr>
            <w:tcW w:type="dxa" w:w="2160"/>
          </w:tcPr>
          <w:p>
            <w:r>
              <w:t>&lt;3x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EBITDA Margin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  <w:tc>
          <w:tcPr>
            <w:tcW w:type="dxa" w:w="2160"/>
          </w:tcPr>
          <w:p>
            <w:r>
              <w:t>&gt;10%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GST vs Bank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  <w:tc>
          <w:tcPr>
            <w:tcW w:type="dxa" w:w="2160"/>
          </w:tcPr>
          <w:p>
            <w:r>
              <w:t>&lt;10%</w:t>
            </w:r>
          </w:p>
        </w:tc>
        <w:tc>
          <w:tcPr>
            <w:tcW w:type="dxa" w:w="2160"/>
          </w:tcPr>
          <w:p>
            <w:r>
              <w:t>FAIL - Circular Trading Risk</w:t>
            </w:r>
          </w:p>
        </w:tc>
      </w:tr>
    </w:tbl>
    <w:p>
      <w:pPr>
        <w:pStyle w:val="Heading1"/>
      </w:pPr>
      <w:r>
        <w:t>3. DECISION</w:t>
      </w:r>
    </w:p>
    <w:p>
      <w:r>
        <w:rPr>
          <w:b/>
        </w:rPr>
        <w:t>Final Decision: REJECT</w:t>
      </w:r>
    </w:p>
    <w:p>
      <w:r>
        <w:rPr>
          <w:sz w:val="16"/>
        </w:rPr>
        <w:t>Powered by Intelli-Credit AI | Databricks pipeline | RBI compliant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