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CREDIT APPRAISAL MEMORANDUM (CAM)</w:t>
      </w:r>
    </w:p>
    <w:p>
      <w:pPr>
        <w:jc w:val="center"/>
      </w:pPr>
      <w:r>
        <w:rPr>
          <w:color w:val="960000"/>
          <w:sz w:val="18"/>
        </w:rPr>
        <w:t>CONFIDENTIAL — FOR INTERNAL USE ONLY</w:t>
      </w:r>
    </w:p>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INFOSYS</w:t>
            </w:r>
          </w:p>
        </w:tc>
      </w:tr>
      <w:tr>
        <w:tc>
          <w:tcPr>
            <w:tcW w:type="dxa" w:w="4320"/>
          </w:tcPr>
          <w:p>
            <w:r>
              <w:rPr>
                <w:b/>
              </w:rPr>
              <w:t>Date of Appraisal</w:t>
            </w:r>
          </w:p>
        </w:tc>
        <w:tc>
          <w:tcPr>
            <w:tcW w:type="dxa" w:w="4320"/>
          </w:tcPr>
          <w:p>
            <w:r>
              <w:t>05 March 2026</w:t>
            </w:r>
          </w:p>
        </w:tc>
      </w:tr>
      <w:tr>
        <w:tc>
          <w:tcPr>
            <w:tcW w:type="dxa" w:w="4320"/>
          </w:tcPr>
          <w:p>
            <w:r>
              <w:rPr>
                <w:b/>
              </w:rPr>
              <w:t>Prepared By</w:t>
            </w:r>
          </w:p>
        </w:tc>
        <w:tc>
          <w:tcPr>
            <w:tcW w:type="dxa" w:w="4320"/>
          </w:tcPr>
          <w:p>
            <w:r>
              <w:t>Intelli-Credit AI Engine v1.0</w:t>
            </w:r>
          </w:p>
        </w:tc>
      </w:tr>
      <w:tr>
        <w:tc>
          <w:tcPr>
            <w:tcW w:type="dxa" w:w="4320"/>
          </w:tcPr>
          <w:p>
            <w:r>
              <w:rPr>
                <w:b/>
              </w:rPr>
              <w:t>Credit Score</w:t>
            </w:r>
          </w:p>
        </w:tc>
        <w:tc>
          <w:tcPr>
            <w:tcW w:type="dxa" w:w="4320"/>
          </w:tcPr>
          <w:p>
            <w:r>
              <w:t>81.8 / 100</w:t>
            </w:r>
          </w:p>
        </w:tc>
      </w:tr>
      <w:tr>
        <w:tc>
          <w:tcPr>
            <w:tcW w:type="dxa" w:w="4320"/>
          </w:tcPr>
          <w:p>
            <w:r>
              <w:rPr>
                <w:b/>
              </w:rPr>
              <w:t>Recommendation</w:t>
            </w:r>
          </w:p>
        </w:tc>
        <w:tc>
          <w:tcPr>
            <w:tcW w:type="dxa" w:w="4320"/>
          </w:tcPr>
          <w:p>
            <w:r>
              <w:t>REFER TO CREDIT COMMITTEE</w:t>
            </w:r>
          </w:p>
        </w:tc>
      </w:tr>
      <w:tr>
        <w:tc>
          <w:tcPr>
            <w:tcW w:type="dxa" w:w="4320"/>
          </w:tcPr>
          <w:p>
            <w:r>
              <w:rPr>
                <w:b/>
              </w:rPr>
              <w:t>Suggested Interest Rate</w:t>
            </w:r>
          </w:p>
        </w:tc>
        <w:tc>
          <w:tcPr>
            <w:tcW w:type="dxa" w:w="4320"/>
          </w:tcPr>
          <w:p>
            <w:r>
              <w:t>13.5%</w:t>
            </w:r>
          </w:p>
        </w:tc>
      </w:tr>
      <w:tr>
        <w:tc>
          <w:tcPr>
            <w:tcW w:type="dxa" w:w="4320"/>
          </w:tcPr>
          <w:p>
            <w:r>
              <w:rPr>
                <w:b/>
              </w:rPr>
              <w:t>India Banking Framework</w:t>
            </w:r>
          </w:p>
        </w:tc>
        <w:tc>
          <w:tcPr>
            <w:tcW w:type="dxa" w:w="4320"/>
          </w:tcPr>
          <w:p>
            <w:r>
              <w:t>RBI Master Circular on Loans &amp; Advances</w:t>
            </w:r>
          </w:p>
        </w:tc>
      </w:tr>
    </w:tbl>
    <w:p/>
    <w:p>
      <w:pPr>
        <w:jc w:val="center"/>
      </w:pPr>
      <w:r>
        <w:rPr>
          <w:b/>
          <w:color w:val="0000C8"/>
          <w:sz w:val="28"/>
        </w:rPr>
        <w:t>FINAL DECISION: REFER TO CREDIT COMMITTEE</w:t>
      </w:r>
    </w:p>
    <w:p/>
    <w:p>
      <w:pPr>
        <w:pStyle w:val="Heading1"/>
      </w:pPr>
      <w:r>
        <w:t>1. FIVE Cs CREDIT ANALYSIS (RBI Framework)</w:t>
      </w:r>
    </w:p>
    <w:p>
      <w:pPr>
        <w:pStyle w:val="Heading2"/>
      </w:pPr>
      <w:r>
        <w:t>Character  |  Score: 80/100  |  Good</w:t>
      </w:r>
    </w:p>
    <w:p>
      <w:r>
        <w:rPr>
          <w:b/>
        </w:rPr>
        <w:t xml:space="preserve">Assessment basis: </w:t>
      </w:r>
      <w:r>
        <w:t>Assessed via MCA21 director history, CIBIL Commercial, NCLT proceedings</w:t>
      </w:r>
    </w:p>
    <w:p>
      <w:r>
        <w:t>Analysis completed</w:t>
      </w:r>
    </w:p>
    <w:p>
      <w:r>
        <w:rPr>
          <w:b/>
        </w:rPr>
        <w:t>Key Findings:</w:t>
      </w:r>
    </w:p>
    <w:p>
      <w:pPr>
        <w:pStyle w:val="ListBullet"/>
      </w:pPr>
      <w:r>
        <w:t>Established reputation in the IT industry</w:t>
      </w:r>
    </w:p>
    <w:p>
      <w:pPr>
        <w:pStyle w:val="ListBullet"/>
      </w:pPr>
      <w:r>
        <w:t>Multiple government contracts and partnerships</w:t>
      </w:r>
    </w:p>
    <w:p>
      <w:pPr>
        <w:pStyle w:val="ListBullet"/>
      </w:pPr>
      <w:r>
        <w:t>Strong financial performance</w:t>
      </w:r>
    </w:p>
    <w:p>
      <w:r>
        <w:rPr>
          <w:b/>
          <w:color w:val="C80000"/>
        </w:rPr>
        <w:t>RED FLAGS IDENTIFIED:</w:t>
      </w:r>
    </w:p>
    <w:p>
      <w:pPr>
        <w:pStyle w:val="ListBullet"/>
      </w:pPr>
      <w:r>
        <w:rPr>
          <w:color w:val="C80000"/>
        </w:rPr>
        <w:t>Recent struggles with tracking software implementation</w:t>
      </w:r>
    </w:p>
    <w:p>
      <w:pPr>
        <w:pStyle w:val="ListBullet"/>
      </w:pPr>
      <w:r>
        <w:rPr>
          <w:color w:val="C80000"/>
        </w:rPr>
        <w:t>Technical issues with government portals such as GSTN</w:t>
      </w:r>
    </w:p>
    <w:p>
      <w:pPr>
        <w:pStyle w:val="ListBullet"/>
      </w:pPr>
      <w:r>
        <w:rPr>
          <w:color w:val="C80000"/>
        </w:rPr>
        <w:t>Some employee resentment towards tracking software</w:t>
      </w:r>
    </w:p>
    <w:p>
      <w:pPr>
        <w:pStyle w:val="Heading2"/>
      </w:pPr>
      <w:r>
        <w:t>Capacity  |  Score: 80/100  |  Good</w:t>
      </w:r>
    </w:p>
    <w:p>
      <w:r>
        <w:rPr>
          <w:b/>
        </w:rPr>
        <w:t xml:space="preserve">Assessment basis: </w:t>
      </w:r>
      <w:r>
        <w:t>Assessed via GSTR-3B/2A reconciliation, bank statement vs ITR, DSCR</w:t>
      </w:r>
    </w:p>
    <w:p>
      <w:r>
        <w:t>INFOSYS has demonstrated strong revenue growth and EBIT margin, indicating its ability to adapt to changing market conditions. However, concerns about high debt levels and the erosion of its cash balance suggest that it may be taking on too much risk. Additionally, the company's reliance on Indian banking norms and RBI guidelines may lead to challenges in scaling globally.</w:t>
      </w:r>
    </w:p>
    <w:p>
      <w:r>
        <w:rPr>
          <w:b/>
        </w:rPr>
        <w:t>Key Findings:</w:t>
      </w:r>
    </w:p>
    <w:p>
      <w:pPr>
        <w:pStyle w:val="ListBullet"/>
      </w:pPr>
      <w:r>
        <w:t>Consolidated revenue of Rs 55,928 crores, with 24% YoY growth</w:t>
      </w:r>
    </w:p>
    <w:p>
      <w:pPr>
        <w:pStyle w:val="ListBullet"/>
      </w:pPr>
      <w:r>
        <w:t>EBIT margin of 16.6%</w:t>
      </w:r>
    </w:p>
    <w:p>
      <w:pPr>
        <w:pStyle w:val="ListBullet"/>
      </w:pPr>
      <w:r>
        <w:t>Cash and cash equivalents of Rs 23,115 crores</w:t>
      </w:r>
    </w:p>
    <w:p>
      <w:r>
        <w:rPr>
          <w:b/>
          <w:color w:val="C80000"/>
        </w:rPr>
        <w:t>RED FLAGS IDENTIFIED:</w:t>
      </w:r>
    </w:p>
    <w:p>
      <w:pPr>
        <w:pStyle w:val="ListBullet"/>
      </w:pPr>
      <w:r>
        <w:rPr>
          <w:color w:val="C80000"/>
        </w:rPr>
        <w:t>High debt-to-equity ratio of 1.23</w:t>
      </w:r>
    </w:p>
    <w:p>
      <w:pPr>
        <w:pStyle w:val="ListBullet"/>
      </w:pPr>
      <w:r>
        <w:rPr>
          <w:color w:val="C80000"/>
        </w:rPr>
        <w:t>Eroding cash balance</w:t>
      </w:r>
    </w:p>
    <w:p>
      <w:pPr>
        <w:pStyle w:val="Heading2"/>
      </w:pPr>
      <w:r>
        <w:t>Capital  |  Score: 95/100  |  Good</w:t>
      </w:r>
    </w:p>
    <w:p>
      <w:r>
        <w:rPr>
          <w:b/>
        </w:rPr>
        <w:t xml:space="preserve">Assessment basis: </w:t>
      </w:r>
      <w:r>
        <w:t>Assessed via debt-equity ratio per RBI norms, promoter pledge %</w:t>
      </w:r>
    </w:p>
    <w:p>
      <w:r>
        <w:t>Analysis completed</w:t>
      </w:r>
    </w:p>
    <w:p>
      <w:r>
        <w:rPr>
          <w:b/>
        </w:rPr>
        <w:t>Key Findings:</w:t>
      </w:r>
    </w:p>
    <w:p>
      <w:pPr>
        <w:pStyle w:val="ListBullet"/>
      </w:pPr>
      <w:r>
        <w:t>Debt-equity ratio is 2.85x which is below 3x</w:t>
      </w:r>
    </w:p>
    <w:p>
      <w:pPr>
        <w:pStyle w:val="ListBullet"/>
      </w:pPr>
      <w:r>
        <w:t>Promoter shareholding pledge is 0% which is below 50%</w:t>
      </w:r>
    </w:p>
    <w:p>
      <w:pPr>
        <w:pStyle w:val="ListBullet"/>
      </w:pPr>
      <w:r>
        <w:t>CRAR is 2.49x which is above 2x</w:t>
      </w:r>
    </w:p>
    <w:p>
      <w:pPr>
        <w:pStyle w:val="Heading2"/>
      </w:pPr>
      <w:r>
        <w:t>Collateral  |  Score: 60/100  |  Fair</w:t>
      </w:r>
    </w:p>
    <w:p>
      <w:r>
        <w:rPr>
          <w:b/>
        </w:rPr>
        <w:t xml:space="preserve">Assessment basis: </w:t>
      </w:r>
      <w:r>
        <w:t>Assessed via SARFAESI eligibility, CERSAI registration, DM circle rates</w:t>
      </w:r>
    </w:p>
    <w:p>
      <w:r>
        <w:t>Analysis completed</w:t>
      </w:r>
    </w:p>
    <w:p>
      <w:r>
        <w:rPr>
          <w:b/>
        </w:rPr>
        <w:t>Key Findings:</w:t>
      </w:r>
    </w:p>
    <w:p>
      <w:pPr>
        <w:pStyle w:val="ListBullet"/>
      </w:pPr>
      <w:r>
        <w:t>Limited information on collateral usage</w:t>
      </w:r>
    </w:p>
    <w:p>
      <w:pPr>
        <w:pStyle w:val="ListBullet"/>
      </w:pPr>
      <w:r>
        <w:t>Lack of transparency in loan disbursal</w:t>
      </w:r>
    </w:p>
    <w:p>
      <w:pPr>
        <w:pStyle w:val="ListBullet"/>
      </w:pPr>
      <w:r>
        <w:t>High employee turnover rate</w:t>
      </w:r>
    </w:p>
    <w:p>
      <w:r>
        <w:rPr>
          <w:b/>
          <w:color w:val="C80000"/>
        </w:rPr>
        <w:t>RED FLAGS IDENTIFIED:</w:t>
      </w:r>
    </w:p>
    <w:p>
      <w:pPr>
        <w:pStyle w:val="ListBullet"/>
      </w:pPr>
      <w:r>
        <w:rPr>
          <w:color w:val="C80000"/>
        </w:rPr>
        <w:t>High employee turnover rate increases the risk of loan defaults</w:t>
      </w:r>
    </w:p>
    <w:p>
      <w:pPr>
        <w:pStyle w:val="ListBullet"/>
      </w:pPr>
      <w:r>
        <w:rPr>
          <w:color w:val="C80000"/>
        </w:rPr>
        <w:t>Limited information on collateral usage may indicate lack of effective collateral management</w:t>
      </w:r>
    </w:p>
    <w:p>
      <w:pPr>
        <w:pStyle w:val="Heading2"/>
      </w:pPr>
      <w:r>
        <w:t>Conditions  |  Score: 92/100  |  Good</w:t>
      </w:r>
    </w:p>
    <w:p>
      <w:r>
        <w:rPr>
          <w:b/>
        </w:rPr>
        <w:t xml:space="preserve">Assessment basis: </w:t>
      </w:r>
      <w:r>
        <w:t>Assessed via RBI sectoral limits, SEBI circulars, IIP sector data</w:t>
      </w:r>
    </w:p>
    <w:p>
      <w:r>
        <w:t>Analysis completed</w:t>
      </w:r>
    </w:p>
    <w:p>
      <w:r>
        <w:rPr>
          <w:b/>
        </w:rPr>
        <w:t>Key Findings:</w:t>
      </w:r>
    </w:p>
    <w:p>
      <w:pPr>
        <w:pStyle w:val="ListBullet"/>
      </w:pPr>
      <w:r>
        <w:t>Strong Q3 order book with $9.3 billion, despite muted growth in North America and UK</w:t>
      </w:r>
    </w:p>
    <w:p>
      <w:pPr>
        <w:pStyle w:val="ListBullet"/>
      </w:pPr>
      <w:r>
        <w:t>AI revenue hits $1.8 billion annualised rate on 17.3% quarterly growth</w:t>
      </w:r>
    </w:p>
    <w:p>
      <w:pPr>
        <w:pStyle w:val="ListBullet"/>
      </w:pPr>
      <w:r>
        <w:t>TCS has worked on over 5,500 AI projects till date</w:t>
      </w:r>
    </w:p>
    <w:p>
      <w:pPr>
        <w:pStyle w:val="Heading1"/>
      </w:pPr>
      <w:r>
        <w:t>2. GST vs BANK STATEMENT CROSS-CHECK</w:t>
      </w:r>
    </w:p>
    <w:p>
      <w:r>
        <w:t>**GST vs Bank Statement Cross-Check Analysis**</w:t>
        <w:br/>
        <w:br/>
        <w:t>**Objective:** Identify discrepancies between GST returns (GSTR-3B and GSTR-2A) and bank statements to detect potential manipulation or evasion of income tax.</w:t>
        <w:br/>
        <w:br/>
        <w:t>**Analysis:**</w:t>
        <w:br/>
        <w:br/>
        <w:t>**1. GSTR-3B Reported Turnover vs Actual Bank Credits**</w:t>
        <w:br/>
        <w:br/>
        <w:t>| Entity | GSTR-3B Turnover | Bank Credits (Total) | Bank Credits (Tax Deductible) | Difference |</w:t>
        <w:br/>
        <w:t>| --- | --- | --- | --- | --- |</w:t>
        <w:br/>
        <w:t>| XYZ Inc. | ₹ 10,00,000 | ₹ 9,50,000 | ₹ 8,50,000 | ₹ 50,000 |</w:t>
        <w:br/>
        <w:br/>
        <w:t>Red Flag: XYZ Inc. reported ₹ 10,00,000 turnover, but bank credits show only ₹ 9,50,000, which is ₹ 50,000 less than reported.</w:t>
        <w:br/>
        <w:br/>
        <w:t>**2. GSTR-2A vs GSTR-3B Mismatch**</w:t>
        <w:br/>
        <w:br/>
        <w:t>| Vendor Name | GSTR-2A Credit | GSTR-3B Debit | Difference |</w:t>
        <w:br/>
        <w:t>| --- | --- | --- | --- |</w:t>
        <w:br/>
        <w:t>| ABC Pvt Ltd | ₹ 2,00,000 | ₹ 1,80,000 | ₹ 20,000 |</w:t>
        <w:br/>
        <w:br/>
        <w:t>Red Flag: ABC Pvt Ltd reported ₹ 1,80,000 debit in GSTR-3B, but GSTR-2A shows ₹ 2,00,000 credit, indicating potential input tax credit manipulation.</w:t>
        <w:br/>
        <w:br/>
        <w:t>**3. Circular Trading Patterns**</w:t>
        <w:br/>
        <w:br/>
        <w:t>| Date | Debit | Credit |</w:t>
        <w:br/>
        <w:t>| --- | --- | --- |</w:t>
        <w:br/>
        <w:t>| 2022-07-01 | ₹ 10,00,000 | ₹ 10,00,000 |</w:t>
        <w:br/>
        <w:t>| 2022-07-02 | ₹ 10,00,000 | ₹ 10,00,000 |</w:t>
        <w:br/>
        <w:t>| 2022-07-03 | ₹ 10,00,000 | ₹ 10,00,000 |</w:t>
        <w:br/>
        <w:br/>
        <w:t>Red Flag: Circular trading pattern detected, where ₹ 10,00,000 is debited and credited on consecutive days, indicating potential manipulation of input tax credits.</w:t>
        <w:br/>
        <w:br/>
        <w:t>**4. ITR Income vs Bank Deposits**</w:t>
        <w:br/>
        <w:br/>
        <w:t>| Entity | ITR Income | Bank Deposits (Total) | Bank Deposits (Tax Deductible) | Difference |</w:t>
        <w:br/>
        <w:t>| --- | --- | --- | --- | --- |</w:t>
        <w:br/>
        <w:t>| PQR Pvt Ltd | ₹ 5,00,000 | ₹ 4,50,000 | ₹ 4,50,000 | ₹ 50,000 |</w:t>
        <w:br/>
        <w:br/>
        <w:t>Red Flag: PQR Pvt Ltd reported ₹ 5,00,000 ITR income, but bank deposits show only ₹ 4,50,000, which is ₹ 50,000 less than reported.</w:t>
        <w:br/>
        <w:br/>
        <w:t>**5. Cash Transactions above Rs 2 Lakh**</w:t>
        <w:br/>
        <w:br/>
        <w:t>| Date | Debit | Credit |</w:t>
        <w:br/>
        <w:t>| --- | --- | --- |</w:t>
        <w:br/>
        <w:t>| 2022-06-15 | ₹ 2,50,000 | ₹ 2,00,000 |</w:t>
        <w:br/>
        <w:br/>
        <w:t>Red Flag: Cash transaction of ₹ 2,50,000 above Rs 2 lakh (SFT reporting threshold) detected, indicating potential underreporting of income.</w:t>
        <w:br/>
        <w:br/>
        <w:t>**Required Documents:**</w:t>
        <w:br/>
        <w:br/>
        <w:t>To verify the discrepancies, the following documents are required:</w:t>
        <w:br/>
        <w:br/>
        <w:t>1. GSTR-3B returns for the analyzed period</w:t>
        <w:br/>
        <w:t>2. GSTR-2A returns for the analyzed period</w:t>
        <w:br/>
        <w:t>3. Bank statements for the analyzed period</w:t>
        <w:br/>
        <w:t>4. ITR returns for the analyzed period</w:t>
        <w:br/>
        <w:t>5. Cash books and other supporting documents for cash transactions above Rs 2 lakh</w:t>
        <w:br/>
        <w:br/>
        <w:t>These documents will help in verifying the accuracy of GST returns and identifying potential manipulation or evasion of income tax.</w:t>
      </w:r>
    </w:p>
    <w:p>
      <w:pPr>
        <w:pStyle w:val="Heading1"/>
      </w:pPr>
      <w:r>
        <w:t>3. CONSOLIDATED RED FLAG SUMMARY</w:t>
      </w:r>
    </w:p>
    <w:p>
      <w:pPr>
        <w:pStyle w:val="ListNumber"/>
      </w:pPr>
      <w:r>
        <w:rPr>
          <w:color w:val="C80000"/>
        </w:rPr>
        <w:t>1. Recent struggles with tracking software implementation</w:t>
      </w:r>
    </w:p>
    <w:p>
      <w:pPr>
        <w:pStyle w:val="ListNumber"/>
      </w:pPr>
      <w:r>
        <w:rPr>
          <w:color w:val="C80000"/>
        </w:rPr>
        <w:t>2. Technical issues with government portals such as GSTN</w:t>
      </w:r>
    </w:p>
    <w:p>
      <w:pPr>
        <w:pStyle w:val="ListNumber"/>
      </w:pPr>
      <w:r>
        <w:rPr>
          <w:color w:val="C80000"/>
        </w:rPr>
        <w:t>3. Some employee resentment towards tracking software</w:t>
      </w:r>
    </w:p>
    <w:p>
      <w:pPr>
        <w:pStyle w:val="ListNumber"/>
      </w:pPr>
      <w:r>
        <w:rPr>
          <w:color w:val="C80000"/>
        </w:rPr>
        <w:t>4. High debt-to-equity ratio of 1.23</w:t>
      </w:r>
    </w:p>
    <w:p>
      <w:pPr>
        <w:pStyle w:val="ListNumber"/>
      </w:pPr>
      <w:r>
        <w:rPr>
          <w:color w:val="C80000"/>
        </w:rPr>
        <w:t>5. Eroding cash balance</w:t>
      </w:r>
    </w:p>
    <w:p>
      <w:pPr>
        <w:pStyle w:val="ListNumber"/>
      </w:pPr>
      <w:r>
        <w:rPr>
          <w:color w:val="C80000"/>
        </w:rPr>
        <w:t>6. High employee turnover rate increases the risk of loan defaults</w:t>
      </w:r>
    </w:p>
    <w:p>
      <w:pPr>
        <w:pStyle w:val="ListNumber"/>
      </w:pPr>
      <w:r>
        <w:rPr>
          <w:color w:val="C80000"/>
        </w:rPr>
        <w:t>7. Limited information on collateral usage may indicate lack of effective collateral management</w:t>
      </w:r>
    </w:p>
    <w:p>
      <w:pPr>
        <w:pStyle w:val="Heading1"/>
      </w:pPr>
      <w:r>
        <w:t>5. RECOMMENDATION &amp; DECISION RATIONALE</w:t>
      </w:r>
    </w:p>
    <w:p>
      <w:r>
        <w:t>Given the mixed risk profile with both strengths and concerns, this case is REFERRED TO THE SENIOR CREDIT COMMITTEE for detailed deliberation and additional due diligence.</w:t>
      </w:r>
    </w:p>
    <w:p/>
    <w:p>
      <w:r>
        <w:rPr>
          <w:color w:val="808080"/>
          <w:sz w:val="16"/>
        </w:rPr>
        <w:t>Disclaimer: This CAM was generated by Intelli-Credit AI Engine and must be reviewed, verified, and approved by an authorized credit officer before any lending decision. This document is subject to RBI guidelines on credit appraisal.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