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CREDIT APPRAISAL MEMORANDUM (CAM)</w:t>
      </w:r>
    </w:p>
    <w:p>
      <w:r>
        <w:t>Company: Reliance Industries  |  Date: 10 March 2026</w:t>
      </w:r>
    </w:p>
    <w:p>
      <w:r>
        <w:t>Powered by Intelli-Credit AI | Databricks-compatible pipeline | RBI Framework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t>Reliance Industries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t>54.0/100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REFER TO CREDIT COMMITTEE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4320"/>
          </w:tcPr>
          <w:p>
            <w:r>
              <w:t>13.5%</w:t>
            </w:r>
          </w:p>
        </w:tc>
      </w:tr>
    </w:tbl>
    <w:p/>
    <w:p>
      <w:pPr>
        <w:jc w:val="center"/>
      </w:pPr>
      <w:r>
        <w:rPr>
          <w:b/>
          <w:color w:val="0000C8"/>
          <w:sz w:val="28"/>
        </w:rPr>
        <w:t>DECISION: REFER TO CREDIT COMMITTEE</w:t>
      </w:r>
    </w:p>
    <w:p>
      <w:pPr>
        <w:pStyle w:val="Heading1"/>
      </w:pPr>
      <w:r>
        <w:t>FIVE Cs ANALYSIS (RBI Framework)</w:t>
      </w:r>
    </w:p>
    <w:p>
      <w:pPr>
        <w:pStyle w:val="Heading2"/>
      </w:pPr>
      <w:r>
        <w:t>Character — 50/100 (Fair)</w:t>
      </w:r>
    </w:p>
    <w:p>
      <w:r>
        <w:t>Analysis completed.</w:t>
      </w:r>
    </w:p>
    <w:p>
      <w:pPr>
        <w:pStyle w:val="Heading2"/>
      </w:pPr>
      <w:r>
        <w:t>Capacity — 50/100 (Fair)</w:t>
      </w:r>
    </w:p>
    <w:p>
      <w:r>
        <w:t>Analysis completed.</w:t>
      </w:r>
    </w:p>
    <w:p>
      <w:pPr>
        <w:pStyle w:val="Heading2"/>
      </w:pPr>
      <w:r>
        <w:t>Capital — 70/100 (Fair)</w:t>
      </w:r>
    </w:p>
    <w:p>
      <w:r>
        <w:t>Reliance Industries has been listed on Leave Russia, a platform tracking companies still active in the Russian market, which has raised concerns over its role in facilitating Russian energy exports. The company has also entered into a contract with Rosneft to procure 500,000 barrels of oil per day for 10 years, which corresponds to around US$13 billion per year.</w:t>
      </w:r>
    </w:p>
    <w:p>
      <w:pPr>
        <w:pStyle w:val="Heading2"/>
      </w:pPr>
      <w:r>
        <w:t>Collateral — 50/100 (Fair)</w:t>
      </w:r>
    </w:p>
    <w:p>
      <w:r>
        <w:t>Analysis completed.</w:t>
      </w:r>
    </w:p>
    <w:p>
      <w:pPr>
        <w:pStyle w:val="Heading2"/>
      </w:pPr>
      <w:r>
        <w:t>Conditions — 50/100 (Fair)</w:t>
      </w:r>
    </w:p>
    <w:p>
      <w:r>
        <w:t>Analysis completed.</w:t>
      </w:r>
    </w:p>
    <w:p>
      <w:pPr>
        <w:pStyle w:val="Heading1"/>
      </w:pPr>
      <w:r>
        <w:t>OFFICER OBSERVATIONS</w:t>
      </w:r>
    </w:p>
    <w:p>
      <w:r>
        <w:t>Strong management team. Factory operating at full capacity. No litigation. Promoter confidence high. Consistent dividend payer.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