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CREDIT MONITORING ARRANGEMENT (CMA) REPORT</w:t>
      </w:r>
    </w:p>
    <w:p>
      <w:r>
        <w:t>Company: Reliance Industries  |  Date: 10 March 2026</w:t>
      </w:r>
    </w:p>
    <w:p>
      <w:pPr>
        <w:pStyle w:val="Heading1"/>
      </w:pPr>
      <w:r>
        <w:t>1. OPERATING STATEMENT (Rs. Crore)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Particulars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Previous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</w:t>
            </w:r>
          </w:p>
        </w:tc>
      </w:tr>
      <w:tr>
        <w:tc>
          <w:tcPr>
            <w:tcW w:type="dxa" w:w="2160"/>
          </w:tcPr>
          <w:p>
            <w:r>
              <w:t>GST Turnover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920.0</w:t>
            </w:r>
          </w:p>
        </w:tc>
      </w:tr>
      <w:tr>
        <w:tc>
          <w:tcPr>
            <w:tcW w:type="dxa" w:w="2160"/>
          </w:tcPr>
          <w:p>
            <w:r>
              <w:t>Bank Credits</w:t>
            </w:r>
          </w:p>
        </w:tc>
        <w:tc>
          <w:tcPr>
            <w:tcW w:type="dxa" w:w="2160"/>
          </w:tcPr>
          <w:p>
            <w:r>
              <w:t>722.5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935.0</w:t>
            </w:r>
          </w:p>
        </w:tc>
      </w:tr>
      <w:tr>
        <w:tc>
          <w:tcPr>
            <w:tcW w:type="dxa" w:w="2160"/>
          </w:tcPr>
          <w:p>
            <w:r>
              <w:t>ITR Income</w:t>
            </w:r>
          </w:p>
        </w:tc>
        <w:tc>
          <w:tcPr>
            <w:tcW w:type="dxa" w:w="2160"/>
          </w:tcPr>
          <w:p>
            <w:r>
              <w:t>637.5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825.0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102.0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132.0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40.5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47.25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44.62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  <w:tc>
          <w:tcPr>
            <w:tcW w:type="dxa" w:w="2160"/>
          </w:tcPr>
          <w:p>
            <w:r>
              <w:t>57.75</w:t>
            </w:r>
          </w:p>
        </w:tc>
      </w:tr>
    </w:tbl>
    <w:p>
      <w:pPr>
        <w:pStyle w:val="Heading1"/>
      </w:pPr>
      <w:r>
        <w:t>2. KEY RATIOS (RBI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RBI 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1.6x</w:t>
            </w:r>
          </w:p>
        </w:tc>
        <w:tc>
          <w:tcPr>
            <w:tcW w:type="dxa" w:w="2160"/>
          </w:tcPr>
          <w:p>
            <w:r>
              <w:t>&gt;1.25x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Debt-Equity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&lt;3x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&gt;10%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GST vs Bank</w:t>
            </w:r>
          </w:p>
        </w:tc>
        <w:tc>
          <w:tcPr>
            <w:tcW w:type="dxa" w:w="2160"/>
          </w:tcPr>
          <w:p>
            <w:r>
              <w:t>5.9%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3. DECISION</w:t>
      </w:r>
    </w:p>
    <w:p>
      <w:r>
        <w:rPr>
          <w:b/>
        </w:rPr>
        <w:t>Final Decision: REFER TO CREDIT COMMITTEE</w:t>
      </w:r>
    </w:p>
    <w:p>
      <w:r>
        <w:rPr>
          <w:sz w:val="16"/>
        </w:rPr>
        <w:t>Powered by Intelli-Credit AI | Databricks pipeline | RBI 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