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CREDIT MONITORING ARRANGEMENT (CMA) REPORT</w:t>
      </w:r>
    </w:p>
    <w:p>
      <w:r>
        <w:t>Company: Tata Motors  |  Date: 06 March 2026</w:t>
      </w:r>
    </w:p>
    <w:p>
      <w:pPr>
        <w:pStyle w:val="Heading1"/>
      </w:pPr>
      <w:r>
        <w:t>1. OPERATING STATEMENT (Rs. Crore)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Particulars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Previous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Projected</w:t>
            </w:r>
          </w:p>
        </w:tc>
      </w:tr>
      <w:tr>
        <w:tc>
          <w:tcPr>
            <w:tcW w:type="dxa" w:w="2160"/>
          </w:tcPr>
          <w:p>
            <w:r>
              <w:t>GST Turnover</w:t>
            </w:r>
          </w:p>
        </w:tc>
        <w:tc>
          <w:tcPr>
            <w:tcW w:type="dxa" w:w="2160"/>
          </w:tcPr>
          <w:p>
            <w:r>
              <w:t>382.5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517.5</w:t>
            </w:r>
          </w:p>
        </w:tc>
      </w:tr>
      <w:tr>
        <w:tc>
          <w:tcPr>
            <w:tcW w:type="dxa" w:w="2160"/>
          </w:tcPr>
          <w:p>
            <w:r>
              <w:t>Bank Credits</w:t>
            </w:r>
          </w:p>
        </w:tc>
        <w:tc>
          <w:tcPr>
            <w:tcW w:type="dxa" w:w="2160"/>
          </w:tcPr>
          <w:p>
            <w:r>
              <w:t>408.0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528.0</w:t>
            </w:r>
          </w:p>
        </w:tc>
      </w:tr>
      <w:tr>
        <w:tc>
          <w:tcPr>
            <w:tcW w:type="dxa" w:w="2160"/>
          </w:tcPr>
          <w:p>
            <w:r>
              <w:t>ITR Income</w:t>
            </w:r>
          </w:p>
        </w:tc>
        <w:tc>
          <w:tcPr>
            <w:tcW w:type="dxa" w:w="2160"/>
          </w:tcPr>
          <w:p>
            <w:r>
              <w:t>357.0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462.0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46.75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60.5</w:t>
            </w:r>
          </w:p>
        </w:tc>
      </w:tr>
      <w:tr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31.5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36.75</w:t>
            </w:r>
          </w:p>
        </w:tc>
      </w:tr>
      <w:tr>
        <w:tc>
          <w:tcPr>
            <w:tcW w:type="dxa" w:w="2160"/>
          </w:tcPr>
          <w:p>
            <w:r>
              <w:t>Net Profit</w:t>
            </w:r>
          </w:p>
        </w:tc>
        <w:tc>
          <w:tcPr>
            <w:tcW w:type="dxa" w:w="2160"/>
          </w:tcPr>
          <w:p>
            <w:r>
              <w:t>11.9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15.4</w:t>
            </w:r>
          </w:p>
        </w:tc>
      </w:tr>
    </w:tbl>
    <w:p>
      <w:pPr>
        <w:pStyle w:val="Heading1"/>
      </w:pPr>
      <w:r>
        <w:t>2. KEY RATIOS (RBI Framework)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RBI Benchmark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  <w:tc>
          <w:tcPr>
            <w:tcW w:type="dxa" w:w="2160"/>
          </w:tcPr>
          <w:p>
            <w:r>
              <w:t>&gt;1.25x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Debt-Equity</w:t>
            </w:r>
          </w:p>
        </w:tc>
        <w:tc>
          <w:tcPr>
            <w:tcW w:type="dxa" w:w="2160"/>
          </w:tcPr>
          <w:p>
            <w:r>
              <w:t>1.7x</w:t>
            </w:r>
          </w:p>
        </w:tc>
        <w:tc>
          <w:tcPr>
            <w:tcW w:type="dxa" w:w="2160"/>
          </w:tcPr>
          <w:p>
            <w:r>
              <w:t>&lt;3x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&gt;10%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GST vs Bank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  <w:tc>
          <w:tcPr>
            <w:tcW w:type="dxa" w:w="2160"/>
          </w:tcPr>
          <w:p>
            <w:r>
              <w:t>&lt;10%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3. DECISION</w:t>
      </w:r>
    </w:p>
    <w:p>
      <w:r>
        <w:rPr>
          <w:b/>
        </w:rPr>
        <w:t>Final Decision: APPROVE WITH CONDITIONS</w:t>
      </w:r>
    </w:p>
    <w:p>
      <w:r>
        <w:rPr>
          <w:sz w:val="16"/>
        </w:rPr>
        <w:t>Powered by Intelli-Credit AI | Databricks pipeline | RBI compliant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