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CREDIT MONITORING ARRANGEMENT (CMA) REPORT</w:t>
      </w:r>
    </w:p>
    <w:p>
      <w:r>
        <w:t>Company:  lg electronics  |  Date: 07 March 2026</w:t>
      </w:r>
    </w:p>
    <w:p>
      <w:pPr>
        <w:pStyle w:val="Heading1"/>
      </w:pPr>
      <w:r>
        <w:t>1. OPERATING STATEMENT (Rs. Crore)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Particulars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Previous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Projected</w:t>
            </w:r>
          </w:p>
        </w:tc>
      </w:tr>
      <w:tr>
        <w:tc>
          <w:tcPr>
            <w:tcW w:type="dxa" w:w="2160"/>
          </w:tcPr>
          <w:p>
            <w:r>
              <w:t>GST Turnover</w:t>
            </w:r>
          </w:p>
        </w:tc>
        <w:tc>
          <w:tcPr>
            <w:tcW w:type="dxa" w:w="2160"/>
          </w:tcPr>
          <w:p>
            <w:r>
              <w:t>187.0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253.0</w:t>
            </w:r>
          </w:p>
        </w:tc>
      </w:tr>
      <w:tr>
        <w:tc>
          <w:tcPr>
            <w:tcW w:type="dxa" w:w="2160"/>
          </w:tcPr>
          <w:p>
            <w:r>
              <w:t>Bank Credits</w:t>
            </w:r>
          </w:p>
        </w:tc>
        <w:tc>
          <w:tcPr>
            <w:tcW w:type="dxa" w:w="2160"/>
          </w:tcPr>
          <w:p>
            <w:r>
              <w:t>323.0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418.0</w:t>
            </w:r>
          </w:p>
        </w:tc>
      </w:tr>
      <w:tr>
        <w:tc>
          <w:tcPr>
            <w:tcW w:type="dxa" w:w="2160"/>
          </w:tcPr>
          <w:p>
            <w:r>
              <w:t>ITR Income</w:t>
            </w:r>
          </w:p>
        </w:tc>
        <w:tc>
          <w:tcPr>
            <w:tcW w:type="dxa" w:w="2160"/>
          </w:tcPr>
          <w:p>
            <w:r>
              <w:t>80.75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104.5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46.2</w:t>
            </w:r>
          </w:p>
        </w:tc>
      </w:tr>
      <w:tr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34.2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</w:tr>
      <w:tr>
        <w:tc>
          <w:tcPr>
            <w:tcW w:type="dxa" w:w="2160"/>
          </w:tcPr>
          <w:p>
            <w:r>
              <w:t>Net Profit</w:t>
            </w:r>
          </w:p>
        </w:tc>
        <w:tc>
          <w:tcPr>
            <w:tcW w:type="dxa" w:w="2160"/>
          </w:tcPr>
          <w:p>
            <w:r>
              <w:t>2.38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3.08</w:t>
            </w:r>
          </w:p>
        </w:tc>
      </w:tr>
    </w:tbl>
    <w:p>
      <w:pPr>
        <w:pStyle w:val="Heading1"/>
      </w:pPr>
      <w:r>
        <w:t>2. KEY RATIOS (RBI 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RBI 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0.67x</w:t>
            </w:r>
          </w:p>
        </w:tc>
        <w:tc>
          <w:tcPr>
            <w:tcW w:type="dxa" w:w="2160"/>
          </w:tcPr>
          <w:p>
            <w:r>
              <w:t>&gt;1.25x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Debt-Equity</w:t>
            </w:r>
          </w:p>
        </w:tc>
        <w:tc>
          <w:tcPr>
            <w:tcW w:type="dxa" w:w="2160"/>
          </w:tcPr>
          <w:p>
            <w:r>
              <w:t>2.41x</w:t>
            </w:r>
          </w:p>
        </w:tc>
        <w:tc>
          <w:tcPr>
            <w:tcW w:type="dxa" w:w="2160"/>
          </w:tcPr>
          <w:p>
            <w:r>
              <w:t>&lt;3x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&gt;10%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GST vs Bank</w:t>
            </w:r>
          </w:p>
        </w:tc>
        <w:tc>
          <w:tcPr>
            <w:tcW w:type="dxa" w:w="2160"/>
          </w:tcPr>
          <w:p>
            <w:r>
              <w:t>42.1%</w:t>
            </w:r>
          </w:p>
        </w:tc>
        <w:tc>
          <w:tcPr>
            <w:tcW w:type="dxa" w:w="2160"/>
          </w:tcPr>
          <w:p>
            <w:r>
              <w:t>&lt;10%</w:t>
            </w:r>
          </w:p>
        </w:tc>
        <w:tc>
          <w:tcPr>
            <w:tcW w:type="dxa" w:w="2160"/>
          </w:tcPr>
          <w:p>
            <w:r>
              <w:t>FAIL - Circular Trading Risk</w:t>
            </w:r>
          </w:p>
        </w:tc>
      </w:tr>
    </w:tbl>
    <w:p>
      <w:pPr>
        <w:pStyle w:val="Heading1"/>
      </w:pPr>
      <w:r>
        <w:t>3. DECISION</w:t>
      </w:r>
    </w:p>
    <w:p>
      <w:r>
        <w:rPr>
          <w:b/>
        </w:rPr>
        <w:t>Final Decision: REFER TO CREDIT COMMITTEE</w:t>
      </w:r>
    </w:p>
    <w:p>
      <w:r>
        <w:rPr>
          <w:sz w:val="16"/>
        </w:rPr>
        <w:t>Powered by Intelli-Credit AI | Databricks pipeline | RBI 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