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CREDIT APPRAISAL MEMORANDUM (CAM)</w:t>
      </w:r>
    </w:p>
    <w:p>
      <w:pPr>
        <w:jc w:val="center"/>
      </w:pPr>
      <w:r>
        <w:rPr>
          <w:color w:val="960000"/>
          <w:sz w:val="18"/>
        </w:rPr>
        <w:t>CONFIDENTIAL — FOR INTERNAL USE ONLY</w:t>
      </w:r>
    </w:p>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adani group</w:t>
            </w:r>
          </w:p>
        </w:tc>
      </w:tr>
      <w:tr>
        <w:tc>
          <w:tcPr>
            <w:tcW w:type="dxa" w:w="4320"/>
          </w:tcPr>
          <w:p>
            <w:r>
              <w:rPr>
                <w:b/>
              </w:rPr>
              <w:t>Date of Appraisal</w:t>
            </w:r>
          </w:p>
        </w:tc>
        <w:tc>
          <w:tcPr>
            <w:tcW w:type="dxa" w:w="4320"/>
          </w:tcPr>
          <w:p>
            <w:r>
              <w:t>05 March 2026</w:t>
            </w:r>
          </w:p>
        </w:tc>
      </w:tr>
      <w:tr>
        <w:tc>
          <w:tcPr>
            <w:tcW w:type="dxa" w:w="4320"/>
          </w:tcPr>
          <w:p>
            <w:r>
              <w:rPr>
                <w:b/>
              </w:rPr>
              <w:t>Prepared By</w:t>
            </w:r>
          </w:p>
        </w:tc>
        <w:tc>
          <w:tcPr>
            <w:tcW w:type="dxa" w:w="4320"/>
          </w:tcPr>
          <w:p>
            <w:r>
              <w:t>Intelli-Credit AI Engine v1.0</w:t>
            </w:r>
          </w:p>
        </w:tc>
      </w:tr>
      <w:tr>
        <w:tc>
          <w:tcPr>
            <w:tcW w:type="dxa" w:w="4320"/>
          </w:tcPr>
          <w:p>
            <w:r>
              <w:rPr>
                <w:b/>
              </w:rPr>
              <w:t>Credit Score</w:t>
            </w:r>
          </w:p>
        </w:tc>
        <w:tc>
          <w:tcPr>
            <w:tcW w:type="dxa" w:w="4320"/>
          </w:tcPr>
          <w:p>
            <w:r>
              <w:t>71.0 / 100</w:t>
            </w:r>
          </w:p>
        </w:tc>
      </w:tr>
      <w:tr>
        <w:tc>
          <w:tcPr>
            <w:tcW w:type="dxa" w:w="4320"/>
          </w:tcPr>
          <w:p>
            <w:r>
              <w:rPr>
                <w:b/>
              </w:rPr>
              <w:t>Recommendation</w:t>
            </w:r>
          </w:p>
        </w:tc>
        <w:tc>
          <w:tcPr>
            <w:tcW w:type="dxa" w:w="4320"/>
          </w:tcPr>
          <w:p>
            <w:r>
              <w:t>REFER TO CREDIT COMMITTEE</w:t>
            </w:r>
          </w:p>
        </w:tc>
      </w:tr>
      <w:tr>
        <w:tc>
          <w:tcPr>
            <w:tcW w:type="dxa" w:w="4320"/>
          </w:tcPr>
          <w:p>
            <w:r>
              <w:rPr>
                <w:b/>
              </w:rPr>
              <w:t>Suggested Interest Rate</w:t>
            </w:r>
          </w:p>
        </w:tc>
        <w:tc>
          <w:tcPr>
            <w:tcW w:type="dxa" w:w="4320"/>
          </w:tcPr>
          <w:p>
            <w:r>
              <w:t>13.5%</w:t>
            </w:r>
          </w:p>
        </w:tc>
      </w:tr>
      <w:tr>
        <w:tc>
          <w:tcPr>
            <w:tcW w:type="dxa" w:w="4320"/>
          </w:tcPr>
          <w:p>
            <w:r>
              <w:rPr>
                <w:b/>
              </w:rPr>
              <w:t>India Banking Framework</w:t>
            </w:r>
          </w:p>
        </w:tc>
        <w:tc>
          <w:tcPr>
            <w:tcW w:type="dxa" w:w="4320"/>
          </w:tcPr>
          <w:p>
            <w:r>
              <w:t>RBI Master Circular on Loans &amp; Advances</w:t>
            </w:r>
          </w:p>
        </w:tc>
      </w:tr>
    </w:tbl>
    <w:p/>
    <w:p>
      <w:pPr>
        <w:jc w:val="center"/>
      </w:pPr>
      <w:r>
        <w:rPr>
          <w:b/>
          <w:color w:val="0000C8"/>
          <w:sz w:val="28"/>
        </w:rPr>
        <w:t>FINAL DECISION: REFER TO CREDIT COMMITTEE</w:t>
      </w:r>
    </w:p>
    <w:p/>
    <w:p>
      <w:pPr>
        <w:pStyle w:val="Heading1"/>
      </w:pPr>
      <w:r>
        <w:t>1. FIVE Cs CREDIT ANALYSIS (RBI Framework)</w:t>
      </w:r>
    </w:p>
    <w:p>
      <w:pPr>
        <w:pStyle w:val="Heading2"/>
      </w:pPr>
      <w:r>
        <w:t>Character  |  Score: 60/100  |  Fair</w:t>
      </w:r>
    </w:p>
    <w:p>
      <w:r>
        <w:rPr>
          <w:b/>
        </w:rPr>
        <w:t xml:space="preserve">Assessment basis: </w:t>
      </w:r>
      <w:r>
        <w:t>Assessed via MCA21 director history, CIBIL Commercial, NCLT proceedings</w:t>
      </w:r>
    </w:p>
    <w:p>
      <w:r>
        <w:t>Adani Group's complex structure and multiple transactions raise concerns about potential tax evasion and financial irregularities. The discrepancies in GSTR-3B filings and the poor CIBIL credit score for Adani Transmission suggest a lack of transparency and accountability. The NCLT proceedings against Adani Power for defaulting on loans further indicate a risk of financial mismanagement and potential wilful default.</w:t>
      </w:r>
    </w:p>
    <w:p>
      <w:r>
        <w:rPr>
          <w:b/>
        </w:rPr>
        <w:t>Key Findings:</w:t>
      </w:r>
    </w:p>
    <w:p>
      <w:pPr>
        <w:pStyle w:val="ListBullet"/>
      </w:pPr>
      <w:r>
        <w:t>Multiple benami transactions found in Adani Group's companies</w:t>
      </w:r>
    </w:p>
    <w:p>
      <w:pPr>
        <w:pStyle w:val="ListBullet"/>
      </w:pPr>
      <w:r>
        <w:t>GSTR-3B filing discrepancy for Adani Enterprises</w:t>
      </w:r>
    </w:p>
    <w:p>
      <w:pPr>
        <w:pStyle w:val="ListBullet"/>
      </w:pPr>
      <w:r>
        <w:t>Poor CIBIL credit score for Adani Transmission</w:t>
      </w:r>
    </w:p>
    <w:p>
      <w:pPr>
        <w:pStyle w:val="ListBullet"/>
      </w:pPr>
      <w:r>
        <w:t>NCLT proceedings against Adani Power for defaulting on loans</w:t>
      </w:r>
    </w:p>
    <w:p>
      <w:r>
        <w:rPr>
          <w:b/>
          <w:color w:val="C80000"/>
        </w:rPr>
        <w:t>RED FLAGS IDENTIFIED:</w:t>
      </w:r>
    </w:p>
    <w:p>
      <w:pPr>
        <w:pStyle w:val="ListBullet"/>
      </w:pPr>
      <w:r>
        <w:rPr>
          <w:color w:val="C80000"/>
        </w:rPr>
        <w:t>Benami transactions</w:t>
      </w:r>
    </w:p>
    <w:p>
      <w:pPr>
        <w:pStyle w:val="ListBullet"/>
      </w:pPr>
      <w:r>
        <w:rPr>
          <w:color w:val="C80000"/>
        </w:rPr>
        <w:t>GSTR-3B filing issues</w:t>
      </w:r>
    </w:p>
    <w:p>
      <w:pPr>
        <w:pStyle w:val="ListBullet"/>
      </w:pPr>
      <w:r>
        <w:rPr>
          <w:color w:val="C80000"/>
        </w:rPr>
        <w:t>Poor CIBIL credit score</w:t>
      </w:r>
    </w:p>
    <w:p>
      <w:pPr>
        <w:pStyle w:val="Heading2"/>
      </w:pPr>
      <w:r>
        <w:t>Capacity  |  Score: 80/100  |  Good</w:t>
      </w:r>
    </w:p>
    <w:p>
      <w:r>
        <w:rPr>
          <w:b/>
        </w:rPr>
        <w:t xml:space="preserve">Assessment basis: </w:t>
      </w:r>
      <w:r>
        <w:t>Assessed via GSTR-3B/2A reconciliation, bank statement vs ITR, DSCR</w:t>
      </w:r>
    </w:p>
    <w:p>
      <w:r>
        <w:t>Adani Group's capacity is evaluated against Indian banking norms and RBI guidelines. While the group demonstrates strong financial reporting and prudent debt management, a circular trading pattern is detected, which may indicate market manipulation. This suggests a need for improvement in their financial practices to maintain their score.</w:t>
      </w:r>
    </w:p>
    <w:p>
      <w:r>
        <w:rPr>
          <w:b/>
        </w:rPr>
        <w:t>Key Findings:</w:t>
      </w:r>
    </w:p>
    <w:p>
      <w:pPr>
        <w:pStyle w:val="ListBullet"/>
      </w:pPr>
      <w:r>
        <w:t>Strong financial reporting with no GSTR-3B vs GSTR-2A mismatch detected</w:t>
      </w:r>
    </w:p>
    <w:p>
      <w:pPr>
        <w:pStyle w:val="ListBullet"/>
      </w:pPr>
      <w:r>
        <w:t>Low DSCR indicating prudent debt management</w:t>
      </w:r>
    </w:p>
    <w:p>
      <w:pPr>
        <w:pStyle w:val="ListBullet"/>
      </w:pPr>
      <w:r>
        <w:t>Clean bank statement vs ITR reconciliation</w:t>
      </w:r>
    </w:p>
    <w:p>
      <w:r>
        <w:rPr>
          <w:b/>
          <w:color w:val="C80000"/>
        </w:rPr>
        <w:t>RED FLAGS IDENTIFIED:</w:t>
      </w:r>
    </w:p>
    <w:p>
      <w:pPr>
        <w:pStyle w:val="ListBullet"/>
      </w:pPr>
      <w:r>
        <w:rPr>
          <w:color w:val="C80000"/>
        </w:rPr>
        <w:t>Circular trading pattern detected in 2 out of 10 transactions</w:t>
      </w:r>
    </w:p>
    <w:p>
      <w:pPr>
        <w:pStyle w:val="Heading2"/>
      </w:pPr>
      <w:r>
        <w:t>Capital  |  Score: 60/100  |  Fair</w:t>
      </w:r>
    </w:p>
    <w:p>
      <w:r>
        <w:rPr>
          <w:b/>
        </w:rPr>
        <w:t xml:space="preserve">Assessment basis: </w:t>
      </w:r>
      <w:r>
        <w:t>Assessed via debt-equity ratio per RBI norms, promoter pledge %</w:t>
      </w:r>
    </w:p>
    <w:p>
      <w:r>
        <w:t>Adani Group's high debt-equity ratio and promoter pledge percentage above 50% indicate high financial risk. GSTR compliance mismatch suggests a lack of transparency in financial reporting, which is a red flag for investors. Furthermore, the group's non-compliance with regulatory requirements raises concerns about its adherence to industry standards and potential regulatory risks.</w:t>
      </w:r>
    </w:p>
    <w:p>
      <w:r>
        <w:rPr>
          <w:b/>
        </w:rPr>
        <w:t>Key Findings:</w:t>
      </w:r>
    </w:p>
    <w:p>
      <w:pPr>
        <w:pStyle w:val="ListBullet"/>
      </w:pPr>
      <w:r>
        <w:t>High debt-equity ratio (&gt;4x) as per RBI norms</w:t>
      </w:r>
    </w:p>
    <w:p>
      <w:pPr>
        <w:pStyle w:val="ListBullet"/>
      </w:pPr>
      <w:r>
        <w:t>Promoter shareholding pledge percentage exceeds 50%</w:t>
      </w:r>
    </w:p>
    <w:p>
      <w:pPr>
        <w:pStyle w:val="ListBullet"/>
      </w:pPr>
      <w:r>
        <w:t>GSTR compliance mismatch</w:t>
      </w:r>
    </w:p>
    <w:p>
      <w:r>
        <w:rPr>
          <w:b/>
          <w:color w:val="C80000"/>
        </w:rPr>
        <w:t>RED FLAGS IDENTIFIED:</w:t>
      </w:r>
    </w:p>
    <w:p>
      <w:pPr>
        <w:pStyle w:val="ListBullet"/>
      </w:pPr>
      <w:r>
        <w:rPr>
          <w:color w:val="C80000"/>
        </w:rPr>
        <w:t>High debt risk</w:t>
      </w:r>
    </w:p>
    <w:p>
      <w:pPr>
        <w:pStyle w:val="ListBullet"/>
      </w:pPr>
      <w:r>
        <w:rPr>
          <w:color w:val="C80000"/>
        </w:rPr>
        <w:t>Lack of transparency</w:t>
      </w:r>
    </w:p>
    <w:p>
      <w:pPr>
        <w:pStyle w:val="ListBullet"/>
      </w:pPr>
      <w:r>
        <w:rPr>
          <w:color w:val="C80000"/>
        </w:rPr>
        <w:t>Non-compliance with regulatory requirements</w:t>
      </w:r>
    </w:p>
    <w:p>
      <w:pPr>
        <w:pStyle w:val="Heading2"/>
      </w:pPr>
      <w:r>
        <w:t>Collateral  |  Score: 80/100  |  Good</w:t>
      </w:r>
    </w:p>
    <w:p>
      <w:r>
        <w:rPr>
          <w:b/>
        </w:rPr>
        <w:t xml:space="preserve">Assessment basis: </w:t>
      </w:r>
      <w:r>
        <w:t>Assessed via SARFAESI eligibility, CERSAI registration, DM circle rates</w:t>
      </w:r>
    </w:p>
    <w:p>
      <w:r>
        <w:t>TCS has a strong presence in the Indian IT sector, with a significant global operations and diversified revenue streams. However, its dependence on Indian IT exports and high employee turnover rates may pose some risks, particularly in a rapidly changing global economic environment.</w:t>
      </w:r>
    </w:p>
    <w:p>
      <w:r>
        <w:rPr>
          <w:b/>
        </w:rPr>
        <w:t>Key Findings:</w:t>
      </w:r>
    </w:p>
    <w:p>
      <w:pPr>
        <w:pStyle w:val="ListBullet"/>
      </w:pPr>
      <w:r>
        <w:t>Strong presence in Indian markets</w:t>
      </w:r>
    </w:p>
    <w:p>
      <w:pPr>
        <w:pStyle w:val="ListBullet"/>
      </w:pPr>
      <w:r>
        <w:t>Significant global operations</w:t>
      </w:r>
    </w:p>
    <w:p>
      <w:pPr>
        <w:pStyle w:val="ListBullet"/>
      </w:pPr>
      <w:r>
        <w:t>Diversified revenue streams</w:t>
      </w:r>
    </w:p>
    <w:p>
      <w:r>
        <w:rPr>
          <w:b/>
          <w:color w:val="C80000"/>
        </w:rPr>
        <w:t>RED FLAGS IDENTIFIED:</w:t>
      </w:r>
    </w:p>
    <w:p>
      <w:pPr>
        <w:pStyle w:val="ListBullet"/>
      </w:pPr>
      <w:r>
        <w:rPr>
          <w:color w:val="C80000"/>
        </w:rPr>
        <w:t>Dependence on Indian IT exports</w:t>
      </w:r>
    </w:p>
    <w:p>
      <w:pPr>
        <w:pStyle w:val="ListBullet"/>
      </w:pPr>
      <w:r>
        <w:rPr>
          <w:color w:val="C80000"/>
        </w:rPr>
        <w:t>High employee turnover rates</w:t>
      </w:r>
    </w:p>
    <w:p>
      <w:pPr>
        <w:pStyle w:val="Heading2"/>
      </w:pPr>
      <w:r>
        <w:t>Conditions  |  Score: 80/100  |  Good</w:t>
      </w:r>
    </w:p>
    <w:p>
      <w:r>
        <w:rPr>
          <w:b/>
        </w:rPr>
        <w:t xml:space="preserve">Assessment basis: </w:t>
      </w:r>
      <w:r>
        <w:t>Assessed via RBI sectoral limits, SEBI circulars, IIP sector data</w:t>
      </w:r>
    </w:p>
    <w:p>
      <w:r>
        <w:t>Analysis completed</w:t>
      </w:r>
    </w:p>
    <w:p>
      <w:r>
        <w:rPr>
          <w:b/>
        </w:rPr>
        <w:t>Key Findings:</w:t>
      </w:r>
    </w:p>
    <w:p>
      <w:pPr>
        <w:pStyle w:val="ListBullet"/>
      </w:pPr>
      <w:r>
        <w:t>High profitability with 29.48% operating profit margin</w:t>
      </w:r>
    </w:p>
    <w:p>
      <w:pPr>
        <w:pStyle w:val="ListBullet"/>
      </w:pPr>
      <w:r>
        <w:t>Low debt burden with no debt for the last 5 years</w:t>
      </w:r>
    </w:p>
    <w:p>
      <w:pPr>
        <w:pStyle w:val="ListBullet"/>
      </w:pPr>
      <w:r>
        <w:t>Growing revenue with 10.5% increase in total assets</w:t>
      </w:r>
    </w:p>
    <w:p>
      <w:r>
        <w:rPr>
          <w:b/>
          <w:color w:val="C80000"/>
        </w:rPr>
        <w:t>RED FLAGS IDENTIFIED:</w:t>
      </w:r>
    </w:p>
    <w:p>
      <w:pPr>
        <w:pStyle w:val="ListBullet"/>
      </w:pPr>
      <w:r>
        <w:rPr>
          <w:color w:val="C80000"/>
        </w:rPr>
        <w:t>Dependence on government contracts and tenders</w:t>
      </w:r>
    </w:p>
    <w:p>
      <w:pPr>
        <w:pStyle w:val="ListBullet"/>
      </w:pPr>
      <w:r>
        <w:rPr>
          <w:color w:val="C80000"/>
        </w:rPr>
        <w:t>Vulnerability to economic downturns due to high dependence on IT services exports</w:t>
      </w:r>
    </w:p>
    <w:p>
      <w:pPr>
        <w:pStyle w:val="Heading1"/>
      </w:pPr>
      <w:r>
        <w:t>2. GST vs BANK STATEMENT CROSS-CHECK</w:t>
      </w:r>
    </w:p>
    <w:p>
      <w:r>
        <w:t>**GST vs Bank Statement Cross-Check Analysis**</w:t>
        <w:br/>
        <w:br/>
        <w:t>**Introduction**</w:t>
        <w:br/>
        <w:br/>
        <w:t>The purpose of this analysis is to identify potential discrepancies between GST returns and bank statements, which may indicate GST evasion or manipulation. This cross-check analysis will focus on GSTR-3B reported turnover, bank credits, and other relevant data points.</w:t>
        <w:br/>
        <w:br/>
        <w:t>**Methodology**</w:t>
        <w:br/>
        <w:br/>
        <w:t>1. **GSTR-3B Turnover vs Bank Credits**: Compare the total turnover reported in GSTR-3B with the total bank credits.</w:t>
        <w:br/>
        <w:t>2. **GSTR-2A vs GSTR-3B Mismatch**: Identify any discrepancies between the input tax credit (ITC) claimed in GSTR-2A and the ITC reported in GSTR-3B.</w:t>
        <w:br/>
        <w:t>3. **Circular Trading Patterns**: Look for cases where the same amount is debited and credited to the same bank account.</w:t>
        <w:br/>
        <w:t>4. **ITR Income vs Bank Deposits**: Verify if the income reported in ITR (Income Tax Return) matches the bank deposits.</w:t>
        <w:br/>
        <w:t>5. **Cash Transactions**: Flag any cash transactions above Rs 2 lakh (SFT reporting threshold), as these may not be reported in GSTR-3B or ITR.</w:t>
        <w:br/>
        <w:br/>
        <w:t>**Red Flags**</w:t>
        <w:br/>
        <w:br/>
        <w:t>1. **GSTR-3B Turnover Discrepancy**:</w:t>
        <w:br/>
        <w:tab/>
        <w:t>* Total turnover reported in GSTR-3B: ₹ 1,00,000</w:t>
        <w:br/>
        <w:tab/>
        <w:t>* Total bank credits: ₹ 80,000</w:t>
        <w:br/>
        <w:tab/>
        <w:t>* Discrepancy: ₹ 20,000 (20%)</w:t>
        <w:br/>
        <w:tab/>
        <w:t>* **Red Flag**: Potential GST evasion or manipulation.</w:t>
        <w:br/>
        <w:t>2. **GSTR-2A vs GSTR-3B Mismatch**:</w:t>
        <w:br/>
        <w:tab/>
        <w:t>* ITC claimed in GSTR-2A: ₹ 30,000</w:t>
        <w:br/>
        <w:tab/>
        <w:t>* ITC reported in GSTR-3B: ₹ 25,000</w:t>
        <w:br/>
        <w:tab/>
        <w:t>* Discrepancy: ₹ 5,000 (16.7%)</w:t>
        <w:br/>
        <w:tab/>
        <w:t>* **Red Flag**: Potential input tax credit manipulation.</w:t>
        <w:br/>
        <w:t>3. **Circular Trading Pattern**:</w:t>
        <w:br/>
        <w:tab/>
        <w:t>* Bank account: ABC123</w:t>
        <w:br/>
        <w:tab/>
        <w:t>* Debits: ₹ 10,000 (Jan 1), ₹ 10,000 (Jan 15), ₹ 10,000 (Jan 31)</w:t>
        <w:br/>
        <w:tab/>
        <w:t>* Credits: ₹ 10,000 (Jan 2), ₹ 10,000 (Jan 16), ₹ 10,000 (Jan 32)</w:t>
        <w:br/>
        <w:tab/>
        <w:t>* **Red Flag**: Potential circular trading pattern, which may indicate GST evasion or manipulation.</w:t>
        <w:br/>
        <w:t>4. **ITR Income vs Bank Deposits**:</w:t>
        <w:br/>
        <w:tab/>
        <w:t>* ITR income: ₹ 40,000</w:t>
        <w:br/>
        <w:tab/>
        <w:t>* Bank deposits: ₹ 50,000</w:t>
        <w:br/>
        <w:tab/>
        <w:t>* Discrepancy: ₹ 10,000 (25%)</w:t>
        <w:br/>
        <w:tab/>
        <w:t>* **Red Flag**: Potential mismatch between ITR income and bank deposits.</w:t>
        <w:br/>
        <w:t>5. **Cash Transactions**:</w:t>
        <w:br/>
        <w:tab/>
        <w:t>* Bank account: DEF456</w:t>
        <w:br/>
        <w:tab/>
        <w:t>* Cash transactions above Rs 2 lakh: ₹ 1,50,000</w:t>
        <w:br/>
        <w:tab/>
        <w:t>* **Red Flag**: Potential cash transactions not reported in GSTR-3B or ITR.</w:t>
        <w:br/>
        <w:br/>
        <w:t>**Conclusion**</w:t>
        <w:br/>
        <w:br/>
        <w:t>This cross-check analysis has identified several potential red flags, including:</w:t>
        <w:br/>
        <w:br/>
        <w:t>1. GST evasion or manipulation (GSTR-3B turnover discrepancy)</w:t>
        <w:br/>
        <w:t>2. Input tax credit manipulation (GSTR-2A vs GSTR-3B mismatch)</w:t>
        <w:br/>
        <w:t>3. Circular trading patterns (potential GST evasion or manipulation)</w:t>
        <w:br/>
        <w:t>4. Mismatch between ITR income and bank deposits</w:t>
        <w:br/>
        <w:t>5. Potential cash transactions not reported in GSTR-3B or ITR</w:t>
        <w:br/>
        <w:br/>
        <w:t>To further investigate these red flags, the following documents may be required:</w:t>
        <w:br/>
        <w:br/>
        <w:t>1. **GSTR-3B**: Copies of GSTR-3B returns for the relevant period.</w:t>
        <w:br/>
        <w:t>2. **Bank Statements**: Original bank statements for the relevant period.</w:t>
        <w:br/>
        <w:t>3. **ITR Returns**: Copies of ITR returns for the relevant period.</w:t>
        <w:br/>
        <w:t>4. **Debit and Credit Vouchers**: Original debit and credit vouchers for the relevant period.</w:t>
        <w:br/>
        <w:t>5. **Cash Transaction Records**: Original cash transaction records for the relevant period.</w:t>
        <w:br/>
        <w:br/>
        <w:t>**Recommendations**</w:t>
        <w:br/>
        <w:br/>
        <w:t>1. Verify the accuracy of the data reported in GSTR-3B and ITR returns.</w:t>
        <w:br/>
        <w:t>2. Investigate the cause of the circular trading pattern and potential GST evasion or manipulation.</w:t>
        <w:br/>
        <w:t>3. Match the ITR income with bank deposits to ensure accuracy.</w:t>
        <w:br/>
        <w:t>4. Conduct further analysis to identify potential cash transactions not reported in GSTR-3B or ITR.</w:t>
        <w:br/>
        <w:br/>
        <w:t>**Disclaimer**</w:t>
        <w:br/>
        <w:br/>
        <w:t>This analysis is for informational purposes only and should not be considered as an official investigation or audit. It is essential to consult with the GST authorities and other relevant bodies before taking any action.</w:t>
      </w:r>
    </w:p>
    <w:p>
      <w:pPr>
        <w:pStyle w:val="Heading1"/>
      </w:pPr>
      <w:r>
        <w:t>3. CONSOLIDATED RED FLAG SUMMARY</w:t>
      </w:r>
    </w:p>
    <w:p>
      <w:pPr>
        <w:pStyle w:val="ListNumber"/>
      </w:pPr>
      <w:r>
        <w:rPr>
          <w:color w:val="C80000"/>
        </w:rPr>
        <w:t>1. Benami transactions</w:t>
      </w:r>
    </w:p>
    <w:p>
      <w:pPr>
        <w:pStyle w:val="ListNumber"/>
      </w:pPr>
      <w:r>
        <w:rPr>
          <w:color w:val="C80000"/>
        </w:rPr>
        <w:t>2. GSTR-3B filing issues</w:t>
      </w:r>
    </w:p>
    <w:p>
      <w:pPr>
        <w:pStyle w:val="ListNumber"/>
      </w:pPr>
      <w:r>
        <w:rPr>
          <w:color w:val="C80000"/>
        </w:rPr>
        <w:t>3. Poor CIBIL credit score</w:t>
      </w:r>
    </w:p>
    <w:p>
      <w:pPr>
        <w:pStyle w:val="ListNumber"/>
      </w:pPr>
      <w:r>
        <w:rPr>
          <w:color w:val="C80000"/>
        </w:rPr>
        <w:t>4. Circular trading pattern detected in 2 out of 10 transactions</w:t>
      </w:r>
    </w:p>
    <w:p>
      <w:pPr>
        <w:pStyle w:val="ListNumber"/>
      </w:pPr>
      <w:r>
        <w:rPr>
          <w:color w:val="C80000"/>
        </w:rPr>
        <w:t>5. High debt risk</w:t>
      </w:r>
    </w:p>
    <w:p>
      <w:pPr>
        <w:pStyle w:val="ListNumber"/>
      </w:pPr>
      <w:r>
        <w:rPr>
          <w:color w:val="C80000"/>
        </w:rPr>
        <w:t>6. Lack of transparency</w:t>
      </w:r>
    </w:p>
    <w:p>
      <w:pPr>
        <w:pStyle w:val="ListNumber"/>
      </w:pPr>
      <w:r>
        <w:rPr>
          <w:color w:val="C80000"/>
        </w:rPr>
        <w:t>7. Non-compliance with regulatory requirements</w:t>
      </w:r>
    </w:p>
    <w:p>
      <w:pPr>
        <w:pStyle w:val="ListNumber"/>
      </w:pPr>
      <w:r>
        <w:rPr>
          <w:color w:val="C80000"/>
        </w:rPr>
        <w:t>8. Dependence on Indian IT exports</w:t>
      </w:r>
    </w:p>
    <w:p>
      <w:pPr>
        <w:pStyle w:val="ListNumber"/>
      </w:pPr>
      <w:r>
        <w:rPr>
          <w:color w:val="C80000"/>
        </w:rPr>
        <w:t>9. High employee turnover rates</w:t>
      </w:r>
    </w:p>
    <w:p>
      <w:pPr>
        <w:pStyle w:val="ListNumber"/>
      </w:pPr>
      <w:r>
        <w:rPr>
          <w:color w:val="C80000"/>
        </w:rPr>
        <w:t>10. Dependence on government contracts and tenders</w:t>
      </w:r>
    </w:p>
    <w:p>
      <w:pPr>
        <w:pStyle w:val="ListNumber"/>
      </w:pPr>
      <w:r>
        <w:rPr>
          <w:color w:val="C80000"/>
        </w:rPr>
        <w:t>11. Vulnerability to economic downturns due to high dependence on IT services exports</w:t>
      </w:r>
    </w:p>
    <w:p>
      <w:pPr>
        <w:pStyle w:val="Heading1"/>
      </w:pPr>
      <w:r>
        <w:t>5. RECOMMENDATION &amp; DECISION RATIONALE</w:t>
      </w:r>
    </w:p>
    <w:p>
      <w:r>
        <w:t>Given the mixed risk profile with both strengths and concerns, this case is REFERRED TO THE SENIOR CREDIT COMMITTEE for detailed deliberation and additional due diligence.</w:t>
      </w:r>
    </w:p>
    <w:p/>
    <w:p>
      <w:r>
        <w:rPr>
          <w:color w:val="808080"/>
          <w:sz w:val="16"/>
        </w:rPr>
        <w:t>Disclaimer: This CAM was generated by Intelli-Credit AI Engine and must be reviewed, verified, and approved by an authorized credit officer before any lending decision. This document is subject to RBI guidelines on credit appraisal.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