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6"/>
        </w:rPr>
        <w:t>CREDIT APPRAISAL MEMORANDUM (CAM)</w:t>
      </w:r>
    </w:p>
    <w:p>
      <w:r>
        <w:t>Company: adani group  |  Date: 06 March 2026</w:t>
      </w:r>
    </w:p>
    <w:p>
      <w:r>
        <w:t>Powered by Intelli-Credit AI | Databricks-compatible pipeline | RBI Framework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Company</w:t>
            </w:r>
          </w:p>
        </w:tc>
        <w:tc>
          <w:tcPr>
            <w:tcW w:type="dxa" w:w="4320"/>
          </w:tcPr>
          <w:p>
            <w:r>
              <w:t>adani group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4320"/>
          </w:tcPr>
          <w:p>
            <w:r>
              <w:t>56.4/100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4320"/>
          </w:tcPr>
          <w:p>
            <w:r>
              <w:t>REFER TO CREDIT COMMITTEE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Interest Rate</w:t>
            </w:r>
          </w:p>
        </w:tc>
        <w:tc>
          <w:tcPr>
            <w:tcW w:type="dxa" w:w="4320"/>
          </w:tcPr>
          <w:p>
            <w:r>
              <w:t>13.5%</w:t>
            </w:r>
          </w:p>
        </w:tc>
      </w:tr>
    </w:tbl>
    <w:p/>
    <w:p>
      <w:pPr>
        <w:jc w:val="center"/>
      </w:pPr>
      <w:r>
        <w:rPr>
          <w:b/>
          <w:color w:val="0000C8"/>
          <w:sz w:val="28"/>
        </w:rPr>
        <w:t>DECISION: REFER TO CREDIT COMMITTEE</w:t>
      </w:r>
    </w:p>
    <w:p>
      <w:pPr>
        <w:pStyle w:val="Heading1"/>
      </w:pPr>
      <w:r>
        <w:t>FIVE Cs ANALYSIS (RBI Framework)</w:t>
      </w:r>
    </w:p>
    <w:p>
      <w:pPr>
        <w:pStyle w:val="Heading2"/>
      </w:pPr>
      <w:r>
        <w:t>Character — 50/100 (Fair)</w:t>
      </w:r>
    </w:p>
    <w:p>
      <w:r>
        <w:t>Analysis completed.</w:t>
      </w:r>
    </w:p>
    <w:p>
      <w:pPr>
        <w:pStyle w:val="Heading2"/>
      </w:pPr>
      <w:r>
        <w:t>Capacity — 50/100 (Fair)</w:t>
      </w:r>
    </w:p>
    <w:p>
      <w:r>
        <w:t>Analysis completed.</w:t>
      </w:r>
    </w:p>
    <w:p>
      <w:pPr>
        <w:pStyle w:val="Heading2"/>
      </w:pPr>
      <w:r>
        <w:t>Capital — 82/100 (Good)</w:t>
      </w:r>
    </w:p>
    <w:p>
      <w:r>
        <w:t>The company's debt-equity ratio is within RBI norms, indicating a relatively healthy balance sheet. However, the promoter pledge percentage is above 50%, which may indicate a potential risk of promoter control. Overall, the company's financials show a mix of strengths and weaknesses, with some areas for improvement.</w:t>
      </w:r>
    </w:p>
    <w:p>
      <w:pPr>
        <w:pStyle w:val="Heading2"/>
      </w:pPr>
      <w:r>
        <w:t>Collateral — 50/100 (Fair)</w:t>
      </w:r>
    </w:p>
    <w:p>
      <w:r>
        <w:t>Analysis completed.</w:t>
      </w:r>
    </w:p>
    <w:p>
      <w:pPr>
        <w:pStyle w:val="Heading2"/>
      </w:pPr>
      <w:r>
        <w:t>Conditions — 50/100 (Fair)</w:t>
      </w:r>
    </w:p>
    <w:p>
      <w:r>
        <w:t>Analysis completed.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