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2f5496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36"/>
          <w:szCs w:val="36"/>
          <w:rtl w:val="0"/>
        </w:rPr>
        <w:t xml:space="preserve">INSURANCE RISK &amp; CLAIMS ANALYSIS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color w:val="00206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6"/>
          <w:szCs w:val="36"/>
          <w:highlight w:val="yellow"/>
          <w:rtl w:val="0"/>
        </w:rPr>
        <w:t xml:space="preserve">BUSINESS 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 insurance company is looking to better understand its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policyholder base and claim patterns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make data-driven business decisions. Currently, policy and claims data are scattered across multiple sources, making it difficult for stakeholders to track performance and identify trends.</w:t>
      </w:r>
    </w:p>
    <w:p w:rsidR="00000000" w:rsidDel="00000000" w:rsidP="00000000" w:rsidRDefault="00000000" w:rsidRPr="00000000" w14:paraId="0000000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company requires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centralized interactive dashboard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Power BI that can provide a clear overview of:</w:t>
      </w:r>
    </w:p>
    <w:p w:rsidR="00000000" w:rsidDel="00000000" w:rsidP="00000000" w:rsidRDefault="00000000" w:rsidRPr="00000000" w14:paraId="0000000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cyan"/>
          <w:u w:val="single"/>
          <w:rtl w:val="0"/>
        </w:rPr>
        <w:t xml:space="preserve">KPI’s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Total Policies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to measure the size of the active customer base.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Total Claim Amount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to track the overall financial impact of claims.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Claim Frequency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to analyse how often claims are being made.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Average Claim Amount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to assess claim severity and potential risk exposure.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Gender-wise Total Policies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to understand customer distribution across genders for better segmentation and policy targeting.</w:t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cyan"/>
          <w:u w:val="single"/>
          <w:rtl w:val="0"/>
        </w:rPr>
        <w:t xml:space="preserve">Chart’s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deep dive into the data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we need to go beyond KPIs and analyse different aspects of insurance policies and claims. Charts help us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visually explore patterns, relationships, and anomalies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across customer demographics, car details, and claim behaviours. By analysing charts, stakeholders can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identify risk factors, understand customer segments, and optimize policy decisions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this report, all visualizations are designed around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two key dynamic measures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Total Claim Amount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Total Policies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These measures provide the foundation to compare, filter, and segment the data effectively.</w:t>
      </w:r>
    </w:p>
    <w:p w:rsidR="00000000" w:rsidDel="00000000" w:rsidP="00000000" w:rsidRDefault="00000000" w:rsidRPr="00000000" w14:paraId="00000013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Visualization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 Car Use (Donut Chart)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To analyse policy distribution and claim amounts based on how cars are being used (e.g., personal, commercial).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 Car Make (Bar Chart)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To identify which car brands have higher policies and claims, highlighting brand-based risks.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 Coverage Zone (Donut Chart)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To evaluate policies and claims by geographic zones, useful for regional risk analysis.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 Age Group (Frequency Chart/Histogram)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To assess policyholders’ age distribution and identify which age brackets file more claims.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 Car Year (Area Chart)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To analyse how the car’s age (year of manufacture) impacts policy counts and claim amounts.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 Kids Driving (Ribbon Chart)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To compare the impact of young drivers in households on policy count and claim amounts.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 Education (Pie Chart)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To understand how education levels correlate with insurance policy adoption and claims.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 Education &amp; Marital Status (Matrix Heat Grid)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To explore the combined effect of education and marital status on policies and claims, highlighting customer profiles.</w:t>
      </w:r>
    </w:p>
    <w:p w:rsidR="00000000" w:rsidDel="00000000" w:rsidP="00000000" w:rsidRDefault="00000000" w:rsidRPr="00000000" w14:paraId="0000001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0C560A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0C560A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0C560A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0C560A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C560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0C560A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0C560A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0C560A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0C560A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0C560A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0C560A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0C560A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0C560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0C560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0C560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0C560A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0C560A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0C560A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0C560A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C560A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0C560A"/>
    <w:rPr>
      <w:b w:val="1"/>
      <w:bCs w:val="1"/>
      <w:smallCaps w:val="1"/>
      <w:color w:val="2f5496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FB055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B0555"/>
  </w:style>
  <w:style w:type="paragraph" w:styleId="Footer">
    <w:name w:val="footer"/>
    <w:basedOn w:val="Normal"/>
    <w:link w:val="FooterChar"/>
    <w:uiPriority w:val="99"/>
    <w:unhideWhenUsed w:val="1"/>
    <w:rsid w:val="00FB055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B0555"/>
  </w:style>
  <w:style w:type="character" w:styleId="Hyperlink">
    <w:name w:val="Hyperlink"/>
    <w:basedOn w:val="DefaultParagraphFont"/>
    <w:uiPriority w:val="99"/>
    <w:unhideWhenUsed w:val="1"/>
    <w:rsid w:val="00FB05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B0555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94226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4X11ilhgtvzIycnnRo2UO4bpuA==">CgMxLjA4AHIhMVpjLU9LVkw0UFlHdklTaTEwSmlENk1yWnpua3ZhZlkt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2025-08-25T14:10:00Z</dcterms:created>
  <dc:creator>Swapnajeet A</dc:creator>
</cp:coreProperties>
</file>