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Team Zeit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Ashok Anand B, Vaishnavi Bihare, Snehal Ilawe, Shruti Kulkarni.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 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https://www.kaggle.com/c/ga-customer-revenue-prediction/data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(Competition Dataset)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Problem being addressed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Marketing teams often face challenges in making appropriate investments in promotional strategies, as only a small percentage of customers produce most of the revenue. This dataset is useful to demonstrate the business impact that thorough data analysis can have.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this competition, the challenge is to analyze a Google Merchandise Store (also known as GStore, where Google swag is sold) customer dataset to predict revenue per customer.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outcome of this project will be to use the data available to get insights on consumer spending habits and additionally, to discover a more efficient and actionable operational change and better use of marketing budgets for those companies who choose to use data analysis on top of Google Analytics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Proposal - Build a model that can predict the probability of returning customers. Secondly, predict the revenue from the transactions for those customers who returned using regression.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Description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a)  </w:t>
        <w:tab/>
        <w:t xml:space="preserve">No of rows and columns-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There are 12 original columns of which 4 of the columns have a json object that can be converted: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device: 16 new columns (includes, text, numeric, binary and categorical data types)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geoNetwork: 11 new columns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totals: 6 new columns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trafficSource: 14 new columns (includes, text, numeric, binary and categorical data types)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Thus a total of 55 columns and 903653 rows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b)  We are predicting the probability of returning customers- classification and the total transactional revenue --Regression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c)  </w:t>
        <w:tab/>
        <w:t xml:space="preserve">Datatype- 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fullVisitorIdv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A unique identifier for each user of the Google Merchandise Store. (Numeric)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channelGrouping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The channel via which the user came to the Store. (Categorical)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The date on which the user visited the Store. (Numeric)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- The specifications for the device used to access the Store.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device.browser: (String)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device.browserSize: (String)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device_browserVersion (String)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device_deviceCategory (String)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device_flashVersion (String)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device_isMobile (Binary)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device_language  (String)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device_mobileDeviceBranding (String)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device_mobileDeviceInfo (String)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device_mobileDeviceMarketingName (String)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device_mobileDeviceModel (String)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device_mobileInputSelector(String)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device.operatingSystem(String) 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device_operatingSystemVersion (String)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device_screenColors (String)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device_screenResolution(String)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device_deviceCategory(String)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geoNetwork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This section contains information about the geography of the user.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72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geoNetwork_city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geoNetwork_cityId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geoNetwork_continent (categorical)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geoNetwork_count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ry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geoNetwork_latitude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geoNetwork_longitude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geoNetwork_metro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geoNetwork_networkDomain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geoNetwork_networkLocation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geoNetwork_region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geoNetwork_subContinent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sessionId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A unique identifier for this visit to the store. (Categorical)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socialEngagementType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Engagement type, either "Socially Engaged" or "Not   Socially Engaged".(Categorical)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totals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This section contains aggregate values across the session.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</w:t>
        <w:tab/>
        <w:t xml:space="preserve">Totals_bounces (numeric)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  <w:tab/>
        <w:t xml:space="preserve"> Totals_hits (numeric)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  <w:tab/>
        <w:t xml:space="preserve">totals_newVisits (numeric)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  <w:tab/>
        <w:t xml:space="preserve">Totals_pageviews (numeric)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  <w:tab/>
        <w:t xml:space="preserve">totals_transactionRevenue (numeric)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  <w:tab/>
        <w:t xml:space="preserve">Totals_visits (numeric)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trafficSource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This section contains information about the Traffic Source from which the session originated.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trafficSource_adContent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trafficSource_adwordsClickInfo.adNetworkType (categorical)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trafficSource_adwordsClickInfo.criteriaParameters 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trafficSource_adwordsClickInfo.gclId(binary)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trafficSource_adwordsClickInfo.isVideoAd 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trafficSource_adwordsClickInfo.page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trafficSource_adwordsClickInfo.slot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trafficSource_campaign (categorical)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trafficSource_campaignCode (numeric)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trafficSource_isTrueDirect (binary)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trafficSource_keyword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trafficSource_medium 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trafficSource_referralPath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trafficSource_source 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visitId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An identifier for this session. This is part of the value usually stored as the _utmb cookie. This is only unique to the user. For a completely unique ID, you should use a combination of fullVisitorId and visitId.(Numeric)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visitNumber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The session number for this user. If this is the first session, then this is set to 1.(Numeric)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visitStartTime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- The timestamp (expressed as POSIX 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ga-customer-revenue-predi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