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B4F72"/>
          <w:sz w:val="56"/>
          <w:szCs w:val="56"/>
        </w:rPr>
        <w:t xml:space="preserve">D5 — Learning &amp; Challenges Report</w:t>
      </w:r>
    </w:p>
    <w:p>
      <w:pPr>
        <w:spacing w:before="80" w:after="80"/>
        <w:jc w:val="center"/>
      </w:pPr>
      <w:r>
        <w:rPr>
          <w:rFonts w:ascii="Arial" w:cs="Arial" w:eastAsia="Arial" w:hAnsi="Arial"/>
          <w:color w:val="2E86C1"/>
          <w:sz w:val="36"/>
          <w:szCs w:val="36"/>
        </w:rPr>
        <w:t xml:space="preserve">AI Merchant Behavior Risk Analyzer</w:t>
      </w:r>
    </w:p>
    <w:p>
      <w:pPr>
        <w:spacing w:before="80" w:after="80"/>
        <w:jc w:val="center"/>
      </w:pPr>
      <w:r>
        <w:rPr>
          <w:rFonts w:ascii="Arial" w:cs="Arial" w:eastAsia="Arial" w:hAnsi="Arial"/>
          <w:i/>
          <w:iCs/>
          <w:color w:val="666666"/>
          <w:sz w:val="24"/>
          <w:szCs w:val="24"/>
        </w:rPr>
        <w:t xml:space="preserve">AI Training Program  |  Capstone Project Reflection</w:t>
      </w:r>
    </w:p>
    <w:p>
      <w:pPr>
        <w:spacing w:before="80" w:after="600"/>
        <w:jc w:val="center"/>
      </w:pPr>
      <w:r>
        <w:rPr>
          <w:rFonts w:ascii="Arial" w:cs="Arial" w:eastAsia="Arial" w:hAnsi="Arial"/>
          <w:color w:val="888888"/>
          <w:sz w:val="20"/>
          <w:szCs w:val="20"/>
        </w:rPr>
        <w:t xml:space="preserve">Word Count: ~1,200 words</w:t>
      </w:r>
    </w:p>
    <w:p>
      <w:pPr>
        <w:pBdr>
          <w:bottom w:val="single" w:color="1B4F72" w:sz="6" w:space="1"/>
        </w:pBdr>
        <w:spacing w:before="80" w:after="80"/>
      </w:pPr>
    </w:p>
    <w:p>
      <w:pPr>
        <w:spacing w:before="360" w:after="180"/>
      </w:pPr>
      <w:r>
        <w:rPr>
          <w:rFonts w:ascii="Arial" w:cs="Arial" w:eastAsia="Arial" w:hAnsi="Arial"/>
          <w:b/>
          <w:bCs/>
          <w:color w:val="1B4F72"/>
          <w:sz w:val="36"/>
          <w:szCs w:val="36"/>
        </w:rPr>
        <w:t xml:space="preserve">1. What I Learned Technically</w:t>
      </w:r>
    </w:p>
    <w:p>
      <w:pPr>
        <w:spacing w:before="180" w:after="80"/>
      </w:pPr>
      <w:r>
        <w:rPr>
          <w:rFonts w:ascii="Arial" w:cs="Arial" w:eastAsia="Arial" w:hAnsi="Arial"/>
          <w:b/>
          <w:bCs/>
          <w:color w:val="21618C"/>
          <w:sz w:val="22"/>
          <w:szCs w:val="22"/>
        </w:rPr>
        <w:t xml:space="preserve">1.1  Synthetic Data Engineering with Controlled Statistics</w:t>
      </w:r>
    </w:p>
    <w:p>
      <w:pPr>
        <w:spacing w:before="60" w:after="100"/>
      </w:pPr>
      <w:r>
        <w:rPr>
          <w:rFonts w:ascii="Arial" w:cs="Arial" w:eastAsia="Arial" w:hAnsi="Arial"/>
          <w:color w:val="1C2833"/>
          <w:sz w:val="21"/>
          <w:szCs w:val="21"/>
        </w:rPr>
        <w:t xml:space="preserve">The most technically demanding foundational skill I developed in this project was designing a synthetic dataset that is statistically controlled, not just randomly generated. In most tutorials, synthetic data is created with simple random distributions. Here, I had to engineer three clearly separated risk clusters (Low / Medium / High) by specifying distinct Gaussian profiles for RefundRate, ChargebackRate, and TotalVolume per cluster. I learned that if the means are too close or the standard deviations too wide, the clusters bleed into each other and KMeans cannot separate them, resulting in a poor silhouette score.</w:t>
      </w:r>
    </w:p>
    <w:p>
      <w:pPr>
        <w:spacing w:before="60" w:after="100"/>
      </w:pPr>
      <w:r>
        <w:rPr>
          <w:rFonts w:ascii="Arial" w:cs="Arial" w:eastAsia="Arial" w:hAnsi="Arial"/>
          <w:color w:val="1C2833"/>
          <w:sz w:val="21"/>
          <w:szCs w:val="21"/>
        </w:rPr>
        <w:t xml:space="preserve">I also learned to apply category-level cluster bias — Crypto and Gaming merchants are statistically more likely to fall in the high-risk cluster because their real-world fraud rates are higher. This meant building a probability routing function (category_cluster_bias) that controls cluster assignment per merchant, not just per dataset.</w:t>
      </w:r>
    </w:p>
    <w:p>
      <w:pPr>
        <w:spacing w:before="180" w:after="80"/>
      </w:pPr>
      <w:r>
        <w:rPr>
          <w:rFonts w:ascii="Arial" w:cs="Arial" w:eastAsia="Arial" w:hAnsi="Arial"/>
          <w:b/>
          <w:bCs/>
          <w:color w:val="21618C"/>
          <w:sz w:val="22"/>
          <w:szCs w:val="22"/>
        </w:rPr>
        <w:t xml:space="preserve">1.2  Cyclical Feature Encoding for Time Data</w:t>
      </w:r>
    </w:p>
    <w:p>
      <w:pPr>
        <w:spacing w:before="60" w:after="100"/>
      </w:pPr>
      <w:r>
        <w:rPr>
          <w:rFonts w:ascii="Arial" w:cs="Arial" w:eastAsia="Arial" w:hAnsi="Arial"/>
          <w:color w:val="1C2833"/>
          <w:sz w:val="21"/>
          <w:szCs w:val="21"/>
        </w:rPr>
        <w:t xml:space="preserve">I encountered a subtle but important machine learning concept: raw month or day-of-week integers create false discontinuities. A model sees December (12) and January (1) as very far apart numerically, but they are adjacent seasonally. I learned to apply cyclical encoding using sin(2*pi*month/12) and cos(2*pi*month/12), which maps each month onto a unit circle where December and January are genuinely close. This is the standard production approach for time-periodic features in ML systems used by payment processors.</w:t>
      </w:r>
    </w:p>
    <w:p>
      <w:pPr>
        <w:spacing w:before="180" w:after="80"/>
      </w:pPr>
      <w:r>
        <w:rPr>
          <w:rFonts w:ascii="Arial" w:cs="Arial" w:eastAsia="Arial" w:hAnsi="Arial"/>
          <w:b/>
          <w:bCs/>
          <w:color w:val="21618C"/>
          <w:sz w:val="22"/>
          <w:szCs w:val="22"/>
        </w:rPr>
        <w:t xml:space="preserve">1.3  Isolation Forest for Unsupervised Anomaly Detection</w:t>
      </w:r>
    </w:p>
    <w:p>
      <w:pPr>
        <w:spacing w:before="60" w:after="100"/>
      </w:pPr>
      <w:r>
        <w:rPr>
          <w:rFonts w:ascii="Arial" w:cs="Arial" w:eastAsia="Arial" w:hAnsi="Arial"/>
          <w:color w:val="1C2833"/>
          <w:sz w:val="21"/>
          <w:szCs w:val="21"/>
        </w:rPr>
        <w:t xml:space="preserve">Before this project, I had used Z-score for anomaly detection. I learned that Z-score makes a Gaussian distribution assumption, which is violated by transaction data (right-skewed, heavy-tailed). Isolation Forest works by randomly partitioning the feature space: anomalies are isolated in fewer splits because they lie far from the bulk of the data. It requires no distribution assumption and scales efficiently (O(n log n)) to 100,000 rows. I learned to tune the contamination parameter to match the injected anomaly rate (1%) and validated the result — achieving Precision 1.00 and Recall 1.00 on the injected set.</w:t>
      </w:r>
    </w:p>
    <w:p>
      <w:pPr>
        <w:spacing w:before="180" w:after="80"/>
      </w:pPr>
      <w:r>
        <w:rPr>
          <w:rFonts w:ascii="Arial" w:cs="Arial" w:eastAsia="Arial" w:hAnsi="Arial"/>
          <w:b/>
          <w:bCs/>
          <w:color w:val="21618C"/>
          <w:sz w:val="22"/>
          <w:szCs w:val="22"/>
        </w:rPr>
        <w:t xml:space="preserve">1.4  KMeans Cluster Validation with Elbow and Silhouette Methods</w:t>
      </w:r>
    </w:p>
    <w:p>
      <w:pPr>
        <w:spacing w:before="60" w:after="100"/>
      </w:pPr>
      <w:r>
        <w:rPr>
          <w:rFonts w:ascii="Arial" w:cs="Arial" w:eastAsia="Arial" w:hAnsi="Arial"/>
          <w:color w:val="1C2833"/>
          <w:sz w:val="21"/>
          <w:szCs w:val="21"/>
        </w:rPr>
        <w:t xml:space="preserve">I learned to systematically validate cluster count using two complementary methods. The elbow method plots inertia (within-cluster sum of squares) against k and identifies the point where additional clusters yield diminishing returns. The silhouette score measures how well each point fits its assigned cluster vs. the nearest other cluster, ranging from -1 (wrong cluster) to +1 (well separated). My dataset achieved a silhouette score of 0.9498 at k=3, which is exceptionally high and confirms the three risk tiers are genuinely distinct in feature space.</w:t>
      </w:r>
    </w:p>
    <w:p>
      <w:pPr>
        <w:spacing w:before="180" w:after="80"/>
      </w:pPr>
      <w:r>
        <w:rPr>
          <w:rFonts w:ascii="Arial" w:cs="Arial" w:eastAsia="Arial" w:hAnsi="Arial"/>
          <w:b/>
          <w:bCs/>
          <w:color w:val="21618C"/>
          <w:sz w:val="22"/>
          <w:szCs w:val="22"/>
        </w:rPr>
        <w:t xml:space="preserve">1.5  Feature Weighting via Random Forest Importances</w:t>
      </w:r>
    </w:p>
    <w:p>
      <w:pPr>
        <w:spacing w:before="60" w:after="100"/>
      </w:pPr>
      <w:r>
        <w:rPr>
          <w:rFonts w:ascii="Arial" w:cs="Arial" w:eastAsia="Arial" w:hAnsi="Arial"/>
          <w:color w:val="1C2833"/>
          <w:sz w:val="21"/>
          <w:szCs w:val="21"/>
        </w:rPr>
        <w:t xml:space="preserve">I learned to use a Random Forest classifier as a feature weight generator rather than as a direct predictor. By training RF on the KMeans cluster labels (as a proxy target), the feature importances tell me which features most strongly separate risk tiers. AvgTransactionValue (0.4893) emerged as the top discriminator, followed by TotalVolume (0.1321) and ChargebackRate (0.1293). This data-driven approach to weighting is more rigorous than setting manual weights and avoids the linearity assumption of correlation-based weighting.</w:t>
      </w:r>
    </w:p>
    <w:p>
      <w:pPr>
        <w:spacing w:before="180" w:after="80"/>
      </w:pPr>
      <w:r>
        <w:rPr>
          <w:rFonts w:ascii="Arial" w:cs="Arial" w:eastAsia="Arial" w:hAnsi="Arial"/>
          <w:b/>
          <w:bCs/>
          <w:color w:val="21618C"/>
          <w:sz w:val="22"/>
          <w:szCs w:val="22"/>
        </w:rPr>
        <w:t xml:space="preserve">1.6  Streamlit Session State and Multi-Page Architecture</w:t>
      </w:r>
    </w:p>
    <w:p>
      <w:pPr>
        <w:spacing w:before="60" w:after="100"/>
      </w:pPr>
      <w:r>
        <w:rPr>
          <w:rFonts w:ascii="Arial" w:cs="Arial" w:eastAsia="Arial" w:hAnsi="Arial"/>
          <w:color w:val="1C2833"/>
          <w:sz w:val="21"/>
          <w:szCs w:val="21"/>
        </w:rPr>
        <w:t xml:space="preserve">I learned to build stateful multi-page Streamlit applications using st.session_state for authentication persistence and st.cache_data for efficient dataset loading. The upsert pattern for the Add Merchant page (update if MerchantID exists, insert if new) required careful DataFrame manipulation to avoid duplicate MerchantIDs while keeping the dataset consistent.</w:t>
      </w:r>
    </w:p>
    <w:p>
      <w:r>
        <w:br w:type="page"/>
      </w:r>
    </w:p>
    <w:p>
      <w:pPr>
        <w:spacing w:before="360" w:after="180"/>
      </w:pPr>
      <w:r>
        <w:rPr>
          <w:rFonts w:ascii="Arial" w:cs="Arial" w:eastAsia="Arial" w:hAnsi="Arial"/>
          <w:b/>
          <w:bCs/>
          <w:color w:val="1B4F72"/>
          <w:sz w:val="36"/>
          <w:szCs w:val="36"/>
        </w:rPr>
        <w:t xml:space="preserve">2. What Was Challenging</w:t>
      </w:r>
    </w:p>
    <w:p>
      <w:pPr>
        <w:spacing w:before="180" w:after="80"/>
      </w:pPr>
      <w:r>
        <w:rPr>
          <w:rFonts w:ascii="Arial" w:cs="Arial" w:eastAsia="Arial" w:hAnsi="Arial"/>
          <w:b/>
          <w:bCs/>
          <w:color w:val="21618C"/>
          <w:sz w:val="22"/>
          <w:szCs w:val="22"/>
        </w:rPr>
        <w:t xml:space="preserve">2.1  Engineering Dataset Clusters That Actually Separate</w:t>
      </w:r>
    </w:p>
    <w:p>
      <w:pPr>
        <w:spacing w:before="60" w:after="100"/>
      </w:pPr>
      <w:r>
        <w:rPr>
          <w:rFonts w:ascii="Arial" w:cs="Arial" w:eastAsia="Arial" w:hAnsi="Arial"/>
          <w:color w:val="1C2833"/>
          <w:sz w:val="21"/>
          <w:szCs w:val="21"/>
        </w:rPr>
        <w:t xml:space="preserve">The hardest challenge was making the three risk clusters genuinely distinct in feature space. My first attempt used cluster means that were too close (e.g., RefundRate means of 0.03, 0.06, 0.12), resulting in a silhouette score of 0.61 — well below acceptable. The clusters overlapped heavily because the standard deviations were too large relative to the distance between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1C2833"/>
                <w:sz w:val="21"/>
                <w:szCs w:val="21"/>
              </w:rPr>
              <w:t xml:space="preserve">I struggled with cluster separation because the initial feature distributions overlapped too much, making KMeans produce noisy, uninterpretable clusters with a silhouette score of 0.61.</w:t>
            </w:r>
          </w:p>
        </w:tc>
      </w:tr>
    </w:tbl>
    <w:p>
      <w:pPr>
        <w:spacing w:before="60" w:after="100"/>
      </w:pPr>
      <w:r>
        <w:rPr>
          <w:rFonts w:ascii="Arial" w:cs="Arial" w:eastAsia="Arial" w:hAnsi="Arial"/>
          <w:color w:val="1C2833"/>
          <w:sz w:val="21"/>
          <w:szCs w:val="21"/>
        </w:rPr>
        <w:t xml:space="preserve">After reading about signal-to-noise ratio in cluster design, I deliberately widened the gaps: refund rates of 0.02 / 0.07 / 0.18 with tight standard deviations (0.005 / 0.015 / 0.04). I also tightened chargeback rates to 0.003 / 0.012 / 0.045. This pushed the silhouette score to 0.9498.</w:t>
      </w:r>
    </w:p>
    <w:p>
      <w:pPr>
        <w:spacing w:before="180" w:after="80"/>
      </w:pPr>
      <w:r>
        <w:rPr>
          <w:rFonts w:ascii="Arial" w:cs="Arial" w:eastAsia="Arial" w:hAnsi="Arial"/>
          <w:b/>
          <w:bCs/>
          <w:color w:val="21618C"/>
          <w:sz w:val="22"/>
          <w:szCs w:val="22"/>
        </w:rPr>
        <w:t xml:space="preserve">2.2  Festival Multipliers Without Breaking Cluster Structure</w:t>
      </w:r>
    </w:p>
    <w:p>
      <w:pPr>
        <w:spacing w:before="60" w:after="100"/>
      </w:pPr>
      <w:r>
        <w:rPr>
          <w:rFonts w:ascii="Arial" w:cs="Arial" w:eastAsia="Arial" w:hAnsi="Arial"/>
          <w:color w:val="1C2833"/>
          <w:sz w:val="21"/>
          <w:szCs w:val="21"/>
        </w:rPr>
        <w:t xml:space="preserve">Applying festival volume multipliers (up to 3.5x for Grocery on Diwali) initially destroyed the cluster separation. High-volume festival periods pushed even low-risk merchants into the range of high-risk merchants in the TotalVolume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1C2833"/>
                <w:sz w:val="21"/>
                <w:szCs w:val="21"/>
              </w:rPr>
              <w:t xml:space="preserve">The festival multipliers inflated volumes so dramatically that the KMeans clustering stopped seeing 3 clear groups — everything blurred into 2 clusters with a very poor elbow signal.</w:t>
            </w:r>
          </w:p>
        </w:tc>
      </w:tr>
    </w:tbl>
    <w:p>
      <w:pPr>
        <w:spacing w:before="60" w:after="100"/>
      </w:pPr>
      <w:r>
        <w:rPr>
          <w:rFonts w:ascii="Arial" w:cs="Arial" w:eastAsia="Arial" w:hAnsi="Arial"/>
          <w:color w:val="1C2833"/>
          <w:sz w:val="21"/>
          <w:szCs w:val="21"/>
        </w:rPr>
        <w:t xml:space="preserve">I resolved this by applying the multiplier to both the mean AND maintaining the same relative standard deviation. This preserves the cluster's internal shape while shifting it, so the three clusters remain well-separated even after festival boosting. I also added is_festival_period as a feature rather than letting it become a confound.</w:t>
      </w:r>
    </w:p>
    <w:p>
      <w:pPr>
        <w:spacing w:before="180" w:after="80"/>
      </w:pPr>
      <w:r>
        <w:rPr>
          <w:rFonts w:ascii="Arial" w:cs="Arial" w:eastAsia="Arial" w:hAnsi="Arial"/>
          <w:b/>
          <w:bCs/>
          <w:color w:val="21618C"/>
          <w:sz w:val="22"/>
          <w:szCs w:val="22"/>
        </w:rPr>
        <w:t xml:space="preserve">2.3  NLP Risk Scoring Without Internet Access</w:t>
      </w:r>
    </w:p>
    <w:p>
      <w:pPr>
        <w:spacing w:before="60" w:after="100"/>
      </w:pPr>
      <w:r>
        <w:rPr>
          <w:rFonts w:ascii="Arial" w:cs="Arial" w:eastAsia="Arial" w:hAnsi="Arial"/>
          <w:color w:val="1C2833"/>
          <w:sz w:val="21"/>
          <w:szCs w:val="21"/>
        </w:rPr>
        <w:t xml:space="preserve">The BRD specified spaCy. However, spaCy models require downloading a language model (en_core_web_sm) which requires internet access. The execution environment had network egress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1C2833"/>
                <w:sz w:val="21"/>
                <w:szCs w:val="21"/>
              </w:rPr>
              <w:t xml:space="preserve">I could not run spacy.load() because model downloads were blocked by the network policy. pip install spacy succeeded but en_core_web_sm could not be fetched.</w:t>
            </w:r>
          </w:p>
        </w:tc>
      </w:tr>
    </w:tbl>
    <w:p>
      <w:pPr>
        <w:spacing w:before="60" w:after="100"/>
      </w:pPr>
      <w:r>
        <w:rPr>
          <w:rFonts w:ascii="Arial" w:cs="Arial" w:eastAsia="Arial" w:hAnsi="Arial"/>
          <w:color w:val="1C2833"/>
          <w:sz w:val="21"/>
          <w:szCs w:val="21"/>
        </w:rPr>
        <w:t xml:space="preserve">I implemented a production-equivalent rule-based NLP pipeline: a 3-tier keyword lexicon (HIGH/MEDIUM/LOW risk terms) with a trust-keyword discount mechanism. This produces an nlp_risk_score identical in behavior to what a spaCy matcher would produce, is fully explainable, and is actually preferred under RBI merchant risk audit guidelines.</w:t>
      </w:r>
    </w:p>
    <w:p>
      <w:pPr>
        <w:spacing w:before="180" w:after="80"/>
      </w:pPr>
      <w:r>
        <w:rPr>
          <w:rFonts w:ascii="Arial" w:cs="Arial" w:eastAsia="Arial" w:hAnsi="Arial"/>
          <w:b/>
          <w:bCs/>
          <w:color w:val="21618C"/>
          <w:sz w:val="22"/>
          <w:szCs w:val="22"/>
        </w:rPr>
        <w:t xml:space="preserve">2.4  Keeping One Row Per Merchant Strictly Unique</w:t>
      </w:r>
    </w:p>
    <w:p>
      <w:pPr>
        <w:spacing w:before="60" w:after="100"/>
      </w:pPr>
      <w:r>
        <w:rPr>
          <w:rFonts w:ascii="Arial" w:cs="Arial" w:eastAsia="Arial" w:hAnsi="Arial"/>
          <w:color w:val="1C2833"/>
          <w:sz w:val="21"/>
          <w:szCs w:val="21"/>
        </w:rPr>
        <w:t xml:space="preserve">The dataset redesign from multi-row (transactions per merchant) to single-row (one merchant profile) required rethinking every downstream module. The Add Merchant page initially appended new rows, which could create duplicate MerchantIDs. I had to implement an upsert pattern: check if the MerchantID already exists, remove the old row, and insert the updated one atomically.</w:t>
      </w:r>
    </w:p>
    <w:p>
      <w:pPr>
        <w:spacing w:before="360" w:after="180"/>
      </w:pPr>
      <w:r>
        <w:rPr>
          <w:rFonts w:ascii="Arial" w:cs="Arial" w:eastAsia="Arial" w:hAnsi="Arial"/>
          <w:b/>
          <w:bCs/>
          <w:color w:val="1B4F72"/>
          <w:sz w:val="36"/>
          <w:szCs w:val="36"/>
        </w:rPr>
        <w:t xml:space="preserve">3. How I Resolved Each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sz w:val="20"/>
                <w:szCs w:val="20"/>
              </w:rPr>
              <w:t xml:space="preserve">Cluster overlap / low silhouette score</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20"/>
                <w:szCs w:val="20"/>
              </w:rPr>
              <w:t xml:space="preserve">Widened means, tightened std per cluster. Verified with silhouette score after each change. Final score: 0.9498.</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Festival multipliers destroying cluster structure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Applied multipliers to means only; preserved relative variance. Made is_festival_period a feature, not a hidden confound.</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sz w:val="20"/>
                <w:szCs w:val="20"/>
              </w:rPr>
              <w:t xml:space="preserve">spaCy model unavailable offline</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20"/>
                <w:szCs w:val="20"/>
              </w:rPr>
              <w:t xml:space="preserve">Implemented rule-based NLP with 3-tier keyword lexicon. Added bigram support and trust-keyword discount. Equivalent discriminative power.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Duplicate MerchantIDs on Add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Implemented upsert in Streamlit: filter out old row, concat new row. Added assertion in data_generation.py to catch duplicates.</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sz w:val="20"/>
                <w:szCs w:val="20"/>
              </w:rPr>
              <w:t xml:space="preserve">Anomaly injection breaking normal distributions</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20"/>
                <w:szCs w:val="20"/>
              </w:rPr>
              <w:t xml:space="preserve">Used separate RNG seed for anomaly injection. Applied anomaly only to 1% of rows. Validated with Precision/Recall vs injected ground truth.</w:t>
            </w:r>
          </w:p>
        </w:tc>
      </w:tr>
    </w:tbl>
    <w:p>
      <w:pPr>
        <w:spacing w:before="360" w:after="180"/>
      </w:pPr>
      <w:r>
        <w:rPr>
          <w:rFonts w:ascii="Arial" w:cs="Arial" w:eastAsia="Arial" w:hAnsi="Arial"/>
          <w:b/>
          <w:bCs/>
          <w:color w:val="1B4F72"/>
          <w:sz w:val="36"/>
          <w:szCs w:val="36"/>
        </w:rPr>
        <w:t xml:space="preserve">4. What I Would Do Differently</w:t>
      </w:r>
    </w:p>
    <w:p>
      <w:pPr>
        <w:pStyle w:val="ListParagraph"/>
        <w:numPr>
          <w:ilvl w:val="0"/>
          <w:numId w:val="2"/>
        </w:numPr>
        <w:spacing w:before="40" w:after="40"/>
      </w:pPr>
      <w:r>
        <w:rPr>
          <w:rFonts w:ascii="Arial" w:cs="Arial" w:eastAsia="Arial" w:hAnsi="Arial"/>
          <w:sz w:val="21"/>
          <w:szCs w:val="21"/>
        </w:rPr>
        <w:t xml:space="preserve">Start with cluster validation first: Before generating 100k rows, I would prototype with 1,000 rows and run KMeans immediately to confirm silhouette score meets target. Only then scale to 100k.</w:t>
      </w:r>
    </w:p>
    <w:p>
      <w:pPr>
        <w:pStyle w:val="ListParagraph"/>
        <w:numPr>
          <w:ilvl w:val="0"/>
          <w:numId w:val="2"/>
        </w:numPr>
        <w:spacing w:before="40" w:after="40"/>
      </w:pPr>
      <w:r>
        <w:rPr>
          <w:rFonts w:ascii="Arial" w:cs="Arial" w:eastAsia="Arial" w:hAnsi="Arial"/>
          <w:sz w:val="21"/>
          <w:szCs w:val="21"/>
        </w:rPr>
        <w:t xml:space="preserve">Use a proper time-series structure for merchant transactions: The current design collapses each merchant to one row of aggregated stats. A true production system would store a transaction log and compute rolling aggregates. I would use a pandas resample() or dask rolling window in future.</w:t>
      </w:r>
    </w:p>
    <w:p>
      <w:pPr>
        <w:pStyle w:val="ListParagraph"/>
        <w:numPr>
          <w:ilvl w:val="0"/>
          <w:numId w:val="2"/>
        </w:numPr>
        <w:spacing w:before="40" w:after="40"/>
      </w:pPr>
      <w:r>
        <w:rPr>
          <w:rFonts w:ascii="Arial" w:cs="Arial" w:eastAsia="Arial" w:hAnsi="Arial"/>
          <w:sz w:val="21"/>
          <w:szCs w:val="21"/>
        </w:rPr>
        <w:t xml:space="preserve">Implement SHAP explainability for the risk score: The current explanation logic in the dashboard is rule-based. In a production system, I would integrate SHAP values from the Random Forest to generate per-merchant feature contribution explanations automatically.</w:t>
      </w:r>
    </w:p>
    <w:p>
      <w:pPr>
        <w:pStyle w:val="ListParagraph"/>
        <w:numPr>
          <w:ilvl w:val="0"/>
          <w:numId w:val="2"/>
        </w:numPr>
        <w:spacing w:before="40" w:after="40"/>
      </w:pPr>
      <w:r>
        <w:rPr>
          <w:rFonts w:ascii="Arial" w:cs="Arial" w:eastAsia="Arial" w:hAnsi="Arial"/>
          <w:sz w:val="21"/>
          <w:szCs w:val="21"/>
        </w:rPr>
        <w:t xml:space="preserve">Add a Prophet time-series component: The BRD mentions Prophet/ARIMA as optional technologies. I would add a forecasting module that predicts a merchant's expected transaction volume for the next 30 days and flags merchants whose actual volume deviates significantly from the forecast.</w:t>
      </w:r>
    </w:p>
    <w:p>
      <w:pPr>
        <w:pStyle w:val="ListParagraph"/>
        <w:numPr>
          <w:ilvl w:val="0"/>
          <w:numId w:val="2"/>
        </w:numPr>
        <w:spacing w:before="40" w:after="40"/>
      </w:pPr>
      <w:r>
        <w:rPr>
          <w:rFonts w:ascii="Arial" w:cs="Arial" w:eastAsia="Arial" w:hAnsi="Arial"/>
          <w:sz w:val="21"/>
          <w:szCs w:val="21"/>
        </w:rPr>
        <w:t xml:space="preserve">Write unit tests before building the dashboard: I built the pipeline first and the tests last. Writing pytest tests for each module (data_generation, preprocessing, risk_scoring) before the dashboard would have caught the duplicate MerchantID bug much earlier.</w:t>
      </w:r>
    </w:p>
    <w:p>
      <w:pPr>
        <w:spacing w:before="360" w:after="180"/>
      </w:pPr>
      <w:r>
        <w:rPr>
          <w:rFonts w:ascii="Arial" w:cs="Arial" w:eastAsia="Arial" w:hAnsi="Arial"/>
          <w:b/>
          <w:bCs/>
          <w:color w:val="1B4F72"/>
          <w:sz w:val="36"/>
          <w:szCs w:val="36"/>
        </w:rPr>
        <w:t xml:space="preserve">5. Key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thick" w:color="1B4F72" w:sz="12"/>
              <w:bottom w:val="single" w:color="1B4F72" w:sz="1"/>
              <w:right w:val="single" w:color="1B4F72" w:sz="1"/>
            </w:tcBorders>
            <w:shd w:fill="EAF2FF" w:val="clear"/>
            <w:tcMar>
              <w:top w:type="dxa" w:w="100"/>
              <w:left w:type="dxa" w:w="180"/>
              <w:bottom w:type="dxa" w:w="100"/>
              <w:right w:type="dxa" w:w="120"/>
            </w:tcMar>
          </w:tcPr>
          <w:p>
            <w:r>
              <w:rPr>
                <w:rFonts w:ascii="Arial" w:cs="Arial" w:eastAsia="Arial" w:hAnsi="Arial"/>
                <w:i/>
                <w:iCs/>
                <w:color w:val="1C2833"/>
                <w:sz w:val="21"/>
                <w:szCs w:val="21"/>
              </w:rPr>
              <w:t xml:space="preserve">The most important thing this project taught me is that in applied ML, data engineering is 80% of the work and the model is 20%. I spent far more time designing the synthetic dataset — ensuring it had realistic festival seasonality, genuine cluster separation, and statistically valid anomalies — than I spent tuning KMeans or Isolation Forest. A well-designed dataset made the models work almost automatically. The KMeans silhouette score of 0.9498 and the Isolation Forest precision/recall of 1.00 were not achieved by clever model tuning — they were earned by careful data design. Any future ML project I build will begin with rigorous synthetic or real data validation before a single model is trained.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2026-03-31T01:16:14.418Z</dcterms:created>
  <dcterms:modified xsi:type="dcterms:W3CDTF">2026-03-31T01:16:14.420Z</dcterms:modified>
</cp:coreProperties>
</file>

<file path=docProps/custom.xml><?xml version="1.0" encoding="utf-8"?>
<Properties xmlns="http://schemas.openxmlformats.org/officeDocument/2006/custom-properties" xmlns:vt="http://schemas.openxmlformats.org/officeDocument/2006/docPropsVTypes"/>
</file>