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pPr>
      <w:r>
        <w:rPr>
          <w:rFonts w:ascii="Arial" w:cs="Arial" w:eastAsia="Arial" w:hAnsi="Arial"/>
          <w:b/>
          <w:bCs/>
          <w:color w:val="FF4F1F"/>
          <w:sz w:val="28"/>
          <w:szCs w:val="28"/>
        </w:rPr>
        <w:t xml:space="preserve">Encode: AI for Science Fellowship – Fellow Proposal</w:t>
      </w:r>
    </w:p>
    <w:p>
      <w:pPr>
        <w:spacing w:after="80"/>
      </w:pPr>
      <w:r>
        <w:rPr>
          <w:rFonts w:ascii="Arial" w:cs="Arial" w:eastAsia="Arial" w:hAnsi="Arial"/>
          <w:b/>
          <w:bCs/>
          <w:sz w:val="22"/>
          <w:szCs w:val="22"/>
        </w:rPr>
        <w:t xml:space="preserve">Name: </w:t>
      </w:r>
      <w:r>
        <w:rPr>
          <w:rFonts w:ascii="Arial" w:cs="Arial" w:eastAsia="Arial" w:hAnsi="Arial"/>
          <w:sz w:val="22"/>
          <w:szCs w:val="22"/>
        </w:rPr>
        <w:t xml:space="preserve">Snehal Nair</w:t>
      </w:r>
    </w:p>
    <w:p>
      <w:pPr>
        <w:spacing w:after="80"/>
      </w:pPr>
      <w:r>
        <w:rPr>
          <w:rFonts w:ascii="Arial" w:cs="Arial" w:eastAsia="Arial" w:hAnsi="Arial"/>
          <w:b/>
          <w:bCs/>
          <w:sz w:val="22"/>
          <w:szCs w:val="22"/>
        </w:rPr>
        <w:t xml:space="preserve">Current Institution: </w:t>
      </w:r>
      <w:r>
        <w:rPr>
          <w:rFonts w:ascii="Arial" w:cs="Arial" w:eastAsia="Arial" w:hAnsi="Arial"/>
          <w:sz w:val="22"/>
          <w:szCs w:val="22"/>
        </w:rPr>
        <w:t xml:space="preserve">University of Edinburgh</w:t>
      </w:r>
    </w:p>
    <w:p>
      <w:pPr>
        <w:spacing w:after="120"/>
      </w:pPr>
      <w:r>
        <w:rPr>
          <w:rFonts w:ascii="Arial" w:cs="Arial" w:eastAsia="Arial" w:hAnsi="Arial"/>
          <w:sz w:val="22"/>
          <w:szCs w:val="22"/>
        </w:rPr>
        <w:t xml:space="preserve">Please describe your proposed work.</w:t>
      </w:r>
    </w:p>
    <w:p>
      <w:pPr>
        <w:spacing w:after="120" w:before="360"/>
      </w:pPr>
      <w:r>
        <w:rPr>
          <w:rFonts w:ascii="Arial" w:cs="Arial" w:eastAsia="Arial" w:hAnsi="Arial"/>
          <w:b/>
          <w:bCs/>
          <w:sz w:val="22"/>
          <w:szCs w:val="22"/>
        </w:rPr>
        <w:t>1) Problem</w:t>
      </w:r>
    </w:p>
    <w:p>
      <w:pPr>
        <w:spacing w:after="120"/>
      </w:pPr>
      <w:r>
        <w:rPr>
          <w:rFonts w:ascii="Arial" w:cs="Arial" w:eastAsia="Arial" w:hAnsi="Arial"/>
          <w:sz w:val="22"/>
          <w:szCs w:val="22"/>
        </w:rPr>
        <w:t xml:space="preserve">Ambiguous emotional stimuli are threat-tagged via subcortical processing (LeDoux, 1996) before higher-order language and mentalising systems resolve intent. In digital text — where prosody, facial expression, and physical context are absent — this timing asymmetry makes misunderstanding especially likely.</w:t>
      </w:r>
    </w:p>
    <w:p>
      <w:pPr>
        <w:spacing w:after="120"/>
      </w:pPr>
      <w:r>
        <w:rPr>
          <w:rFonts w:ascii="Arial" w:cs="Arial" w:eastAsia="Arial" w:hAnsi="Arial"/>
          <w:sz w:val="22"/>
          <w:szCs w:val="22"/>
        </w:rPr>
        <w:t xml:space="preserve">To our knowledge, no published NLP system models intent as a dyadic phenomenon conditioned on relational history. Sentiment classifiers measure tone; emotion recognition systems measure affective expression. Neither asks what a person most likely meant, given who they are and who they are talking to. The same message can carry a different intent distribution depending on relationship type, history, and context. This divergence may be particularly pronounced in neurodivergent populations: computational psychiatry research suggests that individuals with ASD may form weaker relational priors, while those with anxiety may form stronger threat priors (Sériès, 2020), predicting systematically different intent-gap profiles. Where full clinical recruitment is not yet feasible, we treat autistic and anxious traits as continuous dimensions in a neurotypical sample, testing the same predictions at the trait level (AQ-10, GAD-7). The central question is whether conditioning on dyadic context and providing closed-loop feedback measurably improves intent prediction and reduces miscommunication — and whether the effect varies with neurodivergent traits and clinical status.</w:t>
      </w:r>
    </w:p>
    <w:p>
      <w:pPr>
        <w:spacing w:after="120"/>
      </w:pPr>
      <w:r>
        <w:rPr>
          <w:rFonts w:ascii="Arial" w:cs="Arial" w:eastAsia="Arial" w:hAnsi="Arial"/>
          <w:sz w:val="22"/>
          <w:szCs w:val="22"/>
        </w:rPr>
        <w:t xml:space="preserve">To our knowledge, the following gaps remain open in the pragmatics, social NLP, and affective computing literature as of March 2026:</w:t>
      </w:r>
    </w:p>
    <w:p>
      <w:pPr>
        <w:pStyle w:val="ListParagraph"/>
        <w:numPr>
          <w:ilvl w:val="0"/>
          <w:numId w:val="2"/>
        </w:numPr>
        <w:spacing w:after="60"/>
      </w:pPr>
      <w:r>
        <w:rPr>
          <w:rFonts w:ascii="Arial" w:cs="Arial" w:eastAsia="Arial" w:hAnsi="Arial"/>
          <w:sz w:val="22"/>
          <w:szCs w:val="22"/>
        </w:rPr>
        <w:t xml:space="preserve">No published dataset conditions intent annotation on dyadic relational history with dual sender/receiver labels and reliability validation.</w:t>
      </w:r>
    </w:p>
    <w:p>
      <w:pPr>
        <w:pStyle w:val="ListParagraph"/>
        <w:numPr>
          <w:ilvl w:val="0"/>
          <w:numId w:val="2"/>
        </w:numPr>
        <w:spacing w:after="60"/>
      </w:pPr>
      <w:r>
        <w:rPr>
          <w:rFonts w:ascii="Arial" w:cs="Arial" w:eastAsia="Arial" w:hAnsi="Arial"/>
          <w:sz w:val="22"/>
          <w:szCs w:val="22"/>
        </w:rPr>
        <w:t xml:space="preserve">No language model has been trained to predict receiver-parsed intent conditioned on dyadic relational context.</w:t>
      </w:r>
    </w:p>
    <w:p>
      <w:pPr>
        <w:pStyle w:val="ListParagraph"/>
        <w:numPr>
          <w:ilvl w:val="0"/>
          <w:numId w:val="2"/>
        </w:numPr>
        <w:spacing w:after="60"/>
      </w:pPr>
      <w:r>
        <w:rPr>
          <w:rFonts w:ascii="Arial" w:cs="Arial" w:eastAsia="Arial" w:hAnsi="Arial"/>
          <w:sz w:val="22"/>
          <w:szCs w:val="22"/>
        </w:rPr>
        <w:t xml:space="preserve">No empirical study has tested whether closed-loop intent feedback changes behavioural or neural markers of mentalising.</w:t>
      </w:r>
    </w:p>
    <w:p>
      <w:pPr>
        <w:pStyle w:val="ListParagraph"/>
        <w:numPr>
          <w:ilvl w:val="0"/>
          <w:numId w:val="2"/>
        </w:numPr>
        <w:spacing w:after="60"/>
      </w:pPr>
      <w:r>
        <w:rPr>
          <w:rFonts w:ascii="Arial" w:cs="Arial" w:eastAsia="Arial" w:hAnsi="Arial"/>
          <w:sz w:val="22"/>
          <w:szCs w:val="22"/>
        </w:rPr>
        <w:t xml:space="preserve">No structured personality instrument has been tested as an independent conditioning signal for cold-start intent prediction.</w:t>
      </w:r>
    </w:p>
    <w:p>
      <w:pPr>
        <w:spacing w:after="120" w:before="360"/>
      </w:pPr>
      <w:r>
        <w:rPr>
          <w:rFonts w:ascii="Arial" w:cs="Arial" w:eastAsia="Arial" w:hAnsi="Arial"/>
          <w:b/>
          <w:bCs/>
          <w:sz w:val="22"/>
          <w:szCs w:val="22"/>
        </w:rPr>
        <w:t>2) Solution</w:t>
      </w:r>
    </w:p>
    <w:p>
      <w:pPr>
        <w:spacing w:after="120"/>
      </w:pPr>
      <w:r>
        <w:rPr>
          <w:rFonts w:ascii="Arial" w:cs="Arial" w:eastAsia="Arial" w:hAnsi="Arial"/>
          <w:sz w:val="22"/>
          <w:szCs w:val="22"/>
        </w:rPr>
        <w:t xml:space="preserve">The core instrument is a RoBERTa-large model (355M parameters; Liu et al., 2019) fine-tuned for intent classification with two conditioning signals:</w:t>
      </w:r>
    </w:p>
    <w:p>
      <w:pPr>
        <w:pStyle w:val="ListParagraph"/>
        <w:numPr>
          <w:ilvl w:val="0"/>
          <w:numId w:val="3"/>
        </w:numPr>
        <w:spacing w:after="60"/>
      </w:pPr>
      <w:r>
        <w:rPr>
          <w:rFonts w:ascii="Arial" w:cs="Arial" w:eastAsia="Arial" w:hAnsi="Arial"/>
          <w:b/>
          <w:bCs/>
          <w:sz w:val="22"/>
          <w:szCs w:val="22"/>
        </w:rPr>
        <w:t xml:space="preserve">A 16-dimensional dyadic relational context vector</w:t>
      </w:r>
      <w:r>
        <w:rPr>
          <w:rFonts w:ascii="Arial" w:cs="Arial" w:eastAsia="Arial" w:hAnsi="Arial"/>
          <w:sz w:val="22"/>
          <w:szCs w:val="22"/>
        </w:rPr>
        <w:t xml:space="preserve">, encoding relationship type, duration, recent valence, message frequency, and rolling intent-gap history, concatenated to the [CLS] token before the classification head.</w:t>
      </w:r>
    </w:p>
    <w:p>
      <w:pPr>
        <w:pStyle w:val="ListParagraph"/>
        <w:numPr>
          <w:ilvl w:val="0"/>
          <w:numId w:val="3"/>
        </w:numPr>
        <w:spacing w:after="60"/>
      </w:pPr>
      <w:r>
        <w:rPr>
          <w:rFonts w:ascii="Arial" w:cs="Arial" w:eastAsia="Arial" w:hAnsi="Arial"/>
          <w:b/>
          <w:bCs/>
          <w:sz w:val="22"/>
          <w:szCs w:val="22"/>
        </w:rPr>
        <w:t xml:space="preserve">A personality context block</w:t>
      </w:r>
      <w:r>
        <w:rPr>
          <w:rFonts w:ascii="Arial" w:cs="Arial" w:eastAsia="Arial" w:hAnsi="Arial"/>
          <w:sz w:val="22"/>
          <w:szCs w:val="22"/>
        </w:rPr>
        <w:t xml:space="preserve">, derived from an 8-question biographical intake instrument across identity values, decision architecture, and narrative stories, prepended at inference time.</w:t>
      </w:r>
    </w:p>
    <w:p>
      <w:pPr>
        <w:spacing w:after="120"/>
      </w:pPr>
      <w:r>
        <w:rPr>
          <w:rFonts w:ascii="Arial" w:cs="Arial" w:eastAsia="Arial" w:hAnsi="Arial"/>
          <w:sz w:val="22"/>
          <w:szCs w:val="22"/>
        </w:rPr>
        <w:t xml:space="preserve">The model outputs a probability distribution over seven intent categories (seeking connection, expressing concern, setting boundary, seeking validation, expressing frustration, making request, giving information), predicted from both sender and receiver perspectives. The project creates a purpose-built 2,000-message dataset with dual sender-intent (SI) and perceived-intent (PI) labels, five annotators per message, across five relationship types (romantic partners, parent-child, close friends, community/social, professional). Divergence between these distributions is quantified as Jensen-Shannon divergence — symmetric, bounded [0, 1], and well-suited for comparing two probability distributions over the same label space.</w:t>
      </w:r>
    </w:p>
    <w:p>
      <w:pPr>
        <w:spacing w:after="120"/>
      </w:pPr>
      <w:r>
        <w:rPr>
          <w:rFonts w:ascii="Arial" w:cs="Arial" w:eastAsia="Arial" w:hAnsi="Arial"/>
          <w:sz w:val="22"/>
          <w:szCs w:val="22"/>
        </w:rPr>
        <w:t xml:space="preserve">The intervention instrument delivers the model’s predicted intent during the natural pause between reading a message and replying, providing an alternative interpretation before the receiver commits to a threat-based reading.</w:t>
      </w:r>
    </w:p>
    <w:p>
      <w:pPr>
        <w:spacing w:after="120"/>
      </w:pPr>
      <w:r>
        <w:rPr>
          <w:rFonts w:ascii="Arial" w:cs="Arial" w:eastAsia="Arial" w:hAnsi="Arial"/>
          <w:sz w:val="22"/>
          <w:szCs w:val="22"/>
        </w:rPr>
        <w:t xml:space="preserve">Validation proceeds across four levels:</w:t>
      </w:r>
    </w:p>
    <w:p>
      <w:pPr>
        <w:pStyle w:val="ListParagraph"/>
        <w:numPr>
          <w:ilvl w:val="0"/>
          <w:numId w:val="3"/>
        </w:numPr>
        <w:spacing w:after="60"/>
      </w:pPr>
      <w:r>
        <w:rPr>
          <w:rFonts w:ascii="Arial" w:cs="Arial" w:eastAsia="Arial" w:hAnsi="Arial"/>
          <w:b/>
          <w:bCs/>
          <w:sz w:val="22"/>
          <w:szCs w:val="22"/>
        </w:rPr>
        <w:t xml:space="preserve">Computational (H₁): </w:t>
      </w:r>
      <w:r>
        <w:rPr>
          <w:rFonts w:ascii="Arial" w:cs="Arial" w:eastAsia="Arial" w:hAnsi="Arial"/>
          <w:sz w:val="22"/>
          <w:szCs w:val="22"/>
        </w:rPr>
        <w:t xml:space="preserve">Relational context improves intent prediction over a message-only baseline (ablation, paired t-test, d ≥ 0.3).</w:t>
      </w:r>
    </w:p>
    <w:p>
      <w:pPr>
        <w:pStyle w:val="ListParagraph"/>
        <w:numPr>
          <w:ilvl w:val="0"/>
          <w:numId w:val="3"/>
        </w:numPr>
        <w:spacing w:after="60"/>
      </w:pPr>
      <w:r>
        <w:rPr>
          <w:rFonts w:ascii="Arial" w:cs="Arial" w:eastAsia="Arial" w:hAnsi="Arial"/>
          <w:b/>
          <w:bCs/>
          <w:sz w:val="22"/>
          <w:szCs w:val="22"/>
        </w:rPr>
        <w:t xml:space="preserve">Cold-start ablation (H₄): </w:t>
      </w:r>
      <w:r>
        <w:rPr>
          <w:rFonts w:ascii="Arial" w:cs="Arial" w:eastAsia="Arial" w:hAnsi="Arial"/>
          <w:sz w:val="22"/>
          <w:szCs w:val="22"/>
        </w:rPr>
        <w:t xml:space="preserve">Personality context improves Day 1 accuracy before dyadic history accumulates (100 users randomised 1:1).</w:t>
      </w:r>
    </w:p>
    <w:p>
      <w:pPr>
        <w:pStyle w:val="ListParagraph"/>
        <w:numPr>
          <w:ilvl w:val="0"/>
          <w:numId w:val="3"/>
        </w:numPr>
        <w:spacing w:after="60"/>
      </w:pPr>
      <w:r>
        <w:rPr>
          <w:rFonts w:ascii="Arial" w:cs="Arial" w:eastAsia="Arial" w:hAnsi="Arial"/>
          <w:b/>
          <w:bCs/>
          <w:sz w:val="22"/>
          <w:szCs w:val="22"/>
        </w:rPr>
        <w:t xml:space="preserve">Behavioural (H₂): </w:t>
      </w:r>
      <w:r>
        <w:rPr>
          <w:rFonts w:ascii="Arial" w:cs="Arial" w:eastAsia="Arial" w:hAnsi="Arial"/>
          <w:sz w:val="22"/>
          <w:szCs w:val="22"/>
        </w:rPr>
        <w:t xml:space="preserve">60-day feedback reduces divergence scores (within-subjects pre/post, Wilcoxon signed-rank).</w:t>
      </w:r>
    </w:p>
    <w:p>
      <w:pPr>
        <w:pStyle w:val="ListParagraph"/>
        <w:numPr>
          <w:ilvl w:val="0"/>
          <w:numId w:val="3"/>
        </w:numPr>
        <w:spacing w:after="60"/>
      </w:pPr>
      <w:r>
        <w:rPr>
          <w:rFonts w:ascii="Arial" w:cs="Arial" w:eastAsia="Arial" w:hAnsi="Arial"/>
          <w:b/>
          <w:bCs/>
          <w:sz w:val="22"/>
          <w:szCs w:val="22"/>
        </w:rPr>
        <w:t xml:space="preserve">Neural (H₃, stretch): </w:t>
      </w:r>
      <w:r>
        <w:rPr>
          <w:rFonts w:ascii="Arial" w:cs="Arial" w:eastAsia="Arial" w:hAnsi="Arial"/>
          <w:sz w:val="22"/>
          <w:szCs w:val="22"/>
        </w:rPr>
        <w:t xml:space="preserve">60-day feedback increases theta-band inter-brain synchrony (EEG hyperscanning, N=20–24, pre/post, via Edinburgh neuroscience network coordinated by Sériès lab).</w:t>
      </w:r>
    </w:p>
    <w:p>
      <w:pPr>
        <w:spacing w:after="120"/>
      </w:pPr>
      <w:r>
        <w:rPr>
          <w:rFonts w:ascii="Arial" w:cs="Arial" w:eastAsia="Arial" w:hAnsi="Arial"/>
          <w:sz w:val="22"/>
          <w:szCs w:val="22"/>
        </w:rPr>
        <w:t xml:space="preserve">Each level is independently publishable; null results are pre-registered. A key secondary prediction, developed in collaboration with the lab advisor (Sériès lab, computational psychiatry): if sender-receiver divergence arises from asymmetry between subcortical threat-tagging and cortical mentalising, it should be systematically elevated in neurodivergent dyads. Specifically, ASD populations may show weaker relational priors on intent, while anxiety populations may show stronger threat priors — both predicting larger and differently structured intent gaps. This will be tested both in categorical clinical subsamples (where recruitment and ethics permit) and, as a primary approach, along continuous trait measures (AQ-10, GAD-7) in a broader sample. In collaboration with Sériès lab, this becomes a concrete testbed for Bayesian theories of ASD and anxiety applied to everyday communication rather than laboratory stimuli.</w:t>
      </w:r>
    </w:p>
    <w:p>
      <w:pPr>
        <w:spacing w:after="120" w:before="360"/>
      </w:pPr>
      <w:r>
        <w:rPr>
          <w:rFonts w:ascii="Arial" w:cs="Arial" w:eastAsia="Arial" w:hAnsi="Arial"/>
          <w:b/>
          <w:bCs/>
          <w:sz w:val="22"/>
          <w:szCs w:val="22"/>
        </w:rPr>
        <w:t>3) Translation Opportunity</w:t>
      </w:r>
    </w:p>
    <w:p>
      <w:pPr>
        <w:spacing w:after="120"/>
      </w:pPr>
      <w:r>
        <w:rPr>
          <w:rFonts w:ascii="Arial" w:cs="Arial" w:eastAsia="Arial" w:hAnsi="Arial"/>
          <w:sz w:val="22"/>
          <w:szCs w:val="22"/>
        </w:rPr>
        <w:t xml:space="preserve">The scientific contribution is a new measurement construct — the divergence between sender-intent and perceived-intent distributions — and a new conditioning signal: dyadic relational context. The open-source dataset and trained model (HuggingFace, Apache 2.0) will support follow-on research in pragmatic inference, social cognition, and human-AI communication. If the intent gap proves measurable and reducible, the open-source instrument could anchor a Focused Research Organisation dedicated to communication measurement. For computational psychiatry, the same tools provide a controlled way to study how autistic and anxious traits shape intent inference, potentially informing future clinical interventions even if Year-1 work remains pre-clinical.</w:t>
      </w:r>
    </w:p>
    <w:p>
      <w:pPr>
        <w:spacing w:after="120"/>
      </w:pPr>
      <w:r>
        <w:rPr>
          <w:rFonts w:ascii="Arial" w:cs="Arial" w:eastAsia="Arial" w:hAnsi="Arial"/>
          <w:b/>
          <w:bCs/>
          <w:sz w:val="22"/>
          <w:szCs w:val="22"/>
        </w:rPr>
        <w:t xml:space="preserve">ARIA alignment: </w:t>
      </w:r>
      <w:r>
        <w:rPr>
          <w:rFonts w:ascii="Arial" w:cs="Arial" w:eastAsia="Arial" w:hAnsi="Arial"/>
          <w:sz w:val="22"/>
          <w:szCs w:val="22"/>
        </w:rPr>
        <w:t xml:space="preserve">the project advances </w:t>
      </w:r>
      <w:r>
        <w:rPr>
          <w:rFonts w:ascii="Arial" w:cs="Arial" w:eastAsia="Arial" w:hAnsi="Arial"/>
          <w:b/>
          <w:bCs/>
          <w:sz w:val="22"/>
          <w:szCs w:val="22"/>
        </w:rPr>
        <w:t xml:space="preserve">Scalable Neural Interfaces</w:t>
      </w:r>
      <w:r>
        <w:rPr>
          <w:rFonts w:ascii="Arial" w:cs="Arial" w:eastAsia="Arial" w:hAnsi="Arial"/>
          <w:sz w:val="22"/>
          <w:szCs w:val="22"/>
        </w:rPr>
        <w:t xml:space="preserve"> through computational tools that model human mentalising, and points toward </w:t>
      </w:r>
      <w:r>
        <w:rPr>
          <w:rFonts w:ascii="Arial" w:cs="Arial" w:eastAsia="Arial" w:hAnsi="Arial"/>
          <w:b/>
          <w:bCs/>
          <w:sz w:val="22"/>
          <w:szCs w:val="22"/>
        </w:rPr>
        <w:t xml:space="preserve">Collective Flourishing</w:t>
      </w:r>
      <w:r>
        <w:rPr>
          <w:rFonts w:ascii="Arial" w:cs="Arial" w:eastAsia="Arial" w:hAnsi="Arial"/>
          <w:sz w:val="22"/>
          <w:szCs w:val="22"/>
        </w:rPr>
        <w:t xml:space="preserve"> by making understanding measurable rather than extractive.</w:t>
      </w:r>
    </w:p>
    <w:p>
      <w:pPr>
        <w:spacing w:after="120" w:before="360"/>
      </w:pPr>
      <w:r>
        <w:rPr>
          <w:rFonts w:ascii="Arial" w:cs="Arial" w:eastAsia="Arial" w:hAnsi="Arial"/>
          <w:b/>
          <w:bCs/>
          <w:sz w:val="22"/>
          <w:szCs w:val="22"/>
        </w:rPr>
        <w:t xml:space="preserve">Goals / Milestones / Resources</w:t>
      </w:r>
    </w:p>
    <w:tbl>
      <w:tblPr>
        <w:tblW w:type="dxa" w:w="9026"/>
        <w:tblBorders>
          <w:top w:val="single" w:color="FF4F1F" w:sz="8"/>
          <w:left w:val="single" w:color="CCCCCC" w:sz="4"/>
          <w:bottom w:val="single" w:color="CCCCCC" w:sz="4"/>
          <w:right w:val="single" w:color="CCCCCC" w:sz="4"/>
          <w:insideH w:val="single" w:color="CCCCCC" w:sz="4"/>
          <w:insideV w:val="single" w:color="CCCCCC" w:sz="4"/>
        </w:tblBorders>
      </w:tblPr>
      <w:tblGrid>
        <w:gridCol w:w="2400"/>
        <w:gridCol w:w="3826"/>
        <w:gridCol w:w="2800"/>
      </w:tblGrid>
      <w:tr>
        <w:tc>
          <w:tcPr>
            <w:tcW w:type="dxa" w:w="2400"/>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Goals</w:t>
            </w:r>
            <w:r>
              <w:rPr>
                <w:rFonts w:ascii="Arial" w:cs="Arial" w:eastAsia="Arial" w:hAnsi="Arial"/>
                <w:i/>
                <w:iCs/>
                <w:sz w:val="18"/>
                <w:szCs w:val="18"/>
              </w:rPr>
              <w:br/>
              <w:t xml:space="preserve">
(What success is)</w:t>
            </w:r>
          </w:p>
        </w:tc>
        <w:tc>
          <w:tcPr>
            <w:tcW w:type="dxa" w:w="3826"/>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Milestones</w:t>
            </w:r>
            <w:r>
              <w:rPr>
                <w:rFonts w:ascii="Arial" w:cs="Arial" w:eastAsia="Arial" w:hAnsi="Arial"/>
                <w:i/>
                <w:iCs/>
                <w:sz w:val="18"/>
                <w:szCs w:val="18"/>
              </w:rPr>
              <w:br/>
              <w:t xml:space="preserve">
(3 mo, 6 mo, 1 yr)</w:t>
            </w:r>
          </w:p>
        </w:tc>
        <w:tc>
          <w:tcPr>
            <w:tcW w:type="dxa" w:w="2800"/>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Resources Needed</w:t>
            </w:r>
            <w:r>
              <w:rPr>
                <w:rFonts w:ascii="Arial" w:cs="Arial" w:eastAsia="Arial" w:hAnsi="Arial"/>
                <w:i/>
                <w:iCs/>
                <w:sz w:val="18"/>
                <w:szCs w:val="18"/>
              </w:rPr>
              <w:br/>
              <w:t xml:space="preserve">
(e.g., data, compute, lab)</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Validated dataset with dual SI/PI labels and κ &gt; 0.70</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3 mo: </w:t>
            </w:r>
            <w:r>
              <w:rPr>
                <w:rFonts w:ascii="Arial" w:cs="Arial" w:eastAsia="Arial" w:hAnsi="Arial"/>
                <w:sz w:val="20"/>
                <w:szCs w:val="20"/>
              </w:rPr>
              <w:t xml:space="preserve">Complete κ pilot; annotate 2,000 messages; publish on HuggingFace</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Fellowship compute; Prolific annotator budget (~£5–7K); annotation tooling (built by fellow)</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Intent-conditioned model with H₁ tested</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6 mo: </w:t>
            </w:r>
            <w:r>
              <w:rPr>
                <w:rFonts w:ascii="Arial" w:cs="Arial" w:eastAsia="Arial" w:hAnsi="Arial"/>
                <w:sz w:val="20"/>
                <w:szCs w:val="20"/>
              </w:rPr>
              <w:t xml:space="preserve">Fine-tune RoBERTa-large across 4 ablation conditions; test H₁; release model; submit Paper #1</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Training compute (3 runs × 4 conditions × 5 epochs)</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Cold-start ablation H₄ tested</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6 mo: </w:t>
            </w:r>
            <w:r>
              <w:rPr>
                <w:rFonts w:ascii="Arial" w:cs="Arial" w:eastAsia="Arial" w:hAnsi="Arial"/>
                <w:sz w:val="20"/>
                <w:szCs w:val="20"/>
              </w:rPr>
              <w:t xml:space="preserve">Complete Study 1b (N=100); </w:t>
            </w:r>
            <w:r>
              <w:rPr>
                <w:rFonts w:ascii="Arial" w:cs="Arial" w:eastAsia="Arial" w:hAnsi="Arial"/>
                <w:b/>
                <w:bCs/>
                <w:sz w:val="20"/>
                <w:szCs w:val="20"/>
              </w:rPr>
              <w:t xml:space="preserve">8 mo: </w:t>
            </w:r>
            <w:r>
              <w:rPr>
                <w:rFonts w:ascii="Arial" w:cs="Arial" w:eastAsia="Arial" w:hAnsi="Arial"/>
                <w:sz w:val="20"/>
                <w:szCs w:val="20"/>
              </w:rPr>
              <w:t xml:space="preserve">Complete H₄ analysis</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Ethics approval (Mo 1–3); Prolific recruitment</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Peer-reviewed paper submitted</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12 mo: </w:t>
            </w:r>
            <w:r>
              <w:rPr>
                <w:rFonts w:ascii="Arial" w:cs="Arial" w:eastAsia="Arial" w:hAnsi="Arial"/>
                <w:sz w:val="20"/>
                <w:szCs w:val="20"/>
              </w:rPr>
              <w:t xml:space="preserve">Paper submitted to ACL, EMNLP, or CHI</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SHOULD: </w:t>
            </w:r>
            <w:r>
              <w:rPr>
                <w:rFonts w:ascii="Arial" w:cs="Arial" w:eastAsia="Arial" w:hAnsi="Arial"/>
                <w:sz w:val="20"/>
                <w:szCs w:val="20"/>
              </w:rPr>
              <w:t xml:space="preserve">60-day EEG pilot (H₂/H₃)</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8 mo: </w:t>
            </w:r>
            <w:r>
              <w:rPr>
                <w:rFonts w:ascii="Arial" w:cs="Arial" w:eastAsia="Arial" w:hAnsi="Arial"/>
                <w:sz w:val="20"/>
                <w:szCs w:val="20"/>
              </w:rPr>
              <w:t xml:space="preserve">Begin pilot; </w:t>
            </w:r>
            <w:r>
              <w:rPr>
                <w:rFonts w:ascii="Arial" w:cs="Arial" w:eastAsia="Arial" w:hAnsi="Arial"/>
                <w:b/>
                <w:bCs/>
                <w:sz w:val="20"/>
                <w:szCs w:val="20"/>
              </w:rPr>
              <w:t xml:space="preserve">11 mo: </w:t>
            </w:r>
            <w:r>
              <w:rPr>
                <w:rFonts w:ascii="Arial" w:cs="Arial" w:eastAsia="Arial" w:hAnsi="Arial"/>
                <w:sz w:val="20"/>
                <w:szCs w:val="20"/>
              </w:rPr>
              <w:t xml:space="preserve">Day 60 complete; </w:t>
            </w:r>
            <w:r>
              <w:rPr>
                <w:rFonts w:ascii="Arial" w:cs="Arial" w:eastAsia="Arial" w:hAnsi="Arial"/>
                <w:b/>
                <w:bCs/>
                <w:sz w:val="20"/>
                <w:szCs w:val="20"/>
              </w:rPr>
              <w:t xml:space="preserve">12 mo: </w:t>
            </w:r>
            <w:r>
              <w:rPr>
                <w:rFonts w:ascii="Arial" w:cs="Arial" w:eastAsia="Arial" w:hAnsi="Arial"/>
                <w:sz w:val="20"/>
                <w:szCs w:val="20"/>
              </w:rPr>
              <w:t xml:space="preserve">Analyse</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EEG and hyperscanning support via Sériès lab’s existing Edinburgh neuroscience collaborations; ethics umbrella via Edinburgh Informatics and clinical partners</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SHOULD: </w:t>
            </w:r>
            <w:r>
              <w:rPr>
                <w:rFonts w:ascii="Arial" w:cs="Arial" w:eastAsia="Arial" w:hAnsi="Arial"/>
                <w:sz w:val="20"/>
                <w:szCs w:val="20"/>
              </w:rPr>
              <w:t xml:space="preserve">Brain-Score validation</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8 mo: </w:t>
            </w:r>
            <w:r>
              <w:rPr>
                <w:rFonts w:ascii="Arial" w:cs="Arial" w:eastAsia="Arial" w:hAnsi="Arial"/>
                <w:sz w:val="20"/>
                <w:szCs w:val="20"/>
              </w:rPr>
              <w:t xml:space="preserve">Submit to MIT Brain-Score Language benchmark</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~2 weeks engineering post-training</w:t>
            </w:r>
          </w:p>
        </w:tc>
      </w:tr>
    </w:tbl>
    <w:p>
      <w:pPr>
        <w:spacing w:after="120" w:before="360"/>
      </w:pPr>
      <w:r>
        <w:rPr>
          <w:rFonts w:ascii="Arial" w:cs="Arial" w:eastAsia="Arial" w:hAnsi="Arial"/>
          <w:b/>
          <w:bCs/>
          <w:sz w:val="22"/>
          <w:szCs w:val="22"/>
        </w:rPr>
        <w:t xml:space="preserve">People Involved</w:t>
      </w:r>
    </w:p>
    <w:tbl>
      <w:tblPr>
        <w:tblW w:type="dxa" w:w="9026"/>
        <w:tblBorders>
          <w:top w:val="single" w:color="FF4F1F" w:sz="8"/>
          <w:left w:val="single" w:color="CCCCCC" w:sz="4"/>
          <w:bottom w:val="single" w:color="CCCCCC" w:sz="4"/>
          <w:right w:val="single" w:color="CCCCCC" w:sz="4"/>
          <w:insideH w:val="single" w:color="CCCCCC" w:sz="4"/>
          <w:insideV w:val="single" w:color="CCCCCC" w:sz="4"/>
        </w:tblBorders>
      </w:tblPr>
      <w:tblGrid>
        <w:gridCol w:w="2000"/>
        <w:gridCol w:w="2513"/>
        <w:gridCol w:w="4513"/>
      </w:tblGrid>
      <w:tr>
        <w:tc>
          <w:tcPr>
            <w:tcW w:type="dxa" w:w="2000"/>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Name</w:t>
            </w:r>
          </w:p>
        </w:tc>
        <w:tc>
          <w:tcPr>
            <w:tcW w:type="dxa" w:w="2513"/>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Institution</w:t>
            </w:r>
          </w:p>
        </w:tc>
        <w:tc>
          <w:tcPr>
            <w:tcW w:type="dxa" w:w="4513"/>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Involvement</w:t>
            </w:r>
          </w:p>
        </w:tc>
      </w:tr>
      <w:tr>
        <w:tc>
          <w:tcPr>
            <w:tcW w:type="dxa" w:w="20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Snehal Nair</w:t>
            </w:r>
          </w:p>
        </w:tc>
        <w:tc>
          <w:tcPr>
            <w:tcW w:type="dxa" w:w="2513"/>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University of Edinburgh (Independent AI Researcher)</w:t>
            </w:r>
          </w:p>
        </w:tc>
        <w:tc>
          <w:tcPr>
            <w:tcW w:type="dxa" w:w="4513"/>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Fellow — dataset pipeline, model training, annotation tooling, biographical intake instrument, browser extension, analysis code, reproducibility infrastructure (DVC, HuggingFace Hub, OpenNeuro)</w:t>
            </w:r>
          </w:p>
        </w:tc>
      </w:tr>
      <w:tr>
        <w:tc>
          <w:tcPr>
            <w:tcW w:type="dxa" w:w="20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Prof Peggy Sériès</w:t>
            </w:r>
          </w:p>
        </w:tc>
        <w:tc>
          <w:tcPr>
            <w:tcW w:type="dxa" w:w="2513"/>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University of Edinburgh, Chair in Computational Psychiatry, School of Informatics</w:t>
            </w:r>
          </w:p>
        </w:tc>
        <w:tc>
          <w:tcPr>
            <w:tcW w:type="dxa" w:w="4513"/>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Lab Advisor and co-PI. Scientific mentorship on Bayesian inference framing, experimental design for neurodivergent subgroup and trait-level analysis, and co-authorship. Clinical recruitment via Royal Edinburgh Hospital and Dundee Ninewells collaborations. Can mobilise EEG and hyperscanning support through existing Edinburgh neuroscience network. PhD students working on Bayesian inference in ASD (Angeletos Chrysaitis) and computational psychiatry of anxiety (Ferrari) provide direct collaboration on neurodivergent intent-gap predictions</w:t>
            </w:r>
          </w:p>
        </w:tc>
      </w:tr>
    </w:tbl>
    <w:p>
      <w:pPr>
        <w:spacing w:after="120" w:before="360"/>
      </w:pPr>
      <w:r>
        <w:rPr>
          <w:rFonts w:ascii="Arial" w:cs="Arial" w:eastAsia="Arial" w:hAnsi="Arial"/>
          <w:b/>
          <w:bCs/>
          <w:sz w:val="22"/>
          <w:szCs w:val="22"/>
        </w:rPr>
        <w:t>5) Data Landscape</w:t>
      </w:r>
    </w:p>
    <w:p>
      <w:pPr>
        <w:spacing w:after="120"/>
      </w:pPr>
      <w:r>
        <w:rPr>
          <w:rFonts w:ascii="Arial" w:cs="Arial" w:eastAsia="Arial" w:hAnsi="Arial"/>
          <w:sz w:val="22"/>
          <w:szCs w:val="22"/>
        </w:rPr>
        <w:t xml:space="preserve">The dataset is purpose-built. Message sources: relabelled public datasets (DailyDialog, Li et al. 2017; EmpatheticDialogues, Rashkin et al. 2019), researcher-constructed stimuli, and LLM-generated examples with human review gates. Annotation is conducted via Prolific Academic with a structured dual-pass protocol (SI and PI labelled separately, blind to each other).</w:t>
      </w:r>
    </w:p>
    <w:p>
      <w:pPr>
        <w:spacing w:after="120"/>
      </w:pPr>
      <w:r>
        <w:rPr>
          <w:rFonts w:ascii="Arial" w:cs="Arial" w:eastAsia="Arial" w:hAnsi="Arial"/>
          <w:sz w:val="22"/>
          <w:szCs w:val="22"/>
        </w:rPr>
        <w:t xml:space="preserve">Study 1b adds 100 new users under informed consent, with independent raters evaluating held-out messages. Neurodivergent participants (ASD, anxiety) will be recruited through the lab advisor’s clinical collaborations at Royal Edinburgh Hospital and Dundee Ninewells Hospital. If clinical recruitment requires additional ethics approval or extended timelines, the study will proceed with neurotypical participants who exhibit subclinical variation on standard trait measures (e.g., AQ-10, GAD-7), preserving the ability to test whether intent-gap profiles vary with trait-level differences on the autism and anxiety spectra. Trait-level analyses allow us to test the same Bayesian predictions (e.g., weaker relational priors in high-AQ individuals, stronger threat priors in high-GAD individuals) without requiring categorical diagnoses, providing an initial bridge between laboratory theories and real-world communication data. Personality data is local-first and encrypted (AES-256). If the EEG pilot proceeds, neural data is collected under joint ethics approval via the University of Edinburgh.</w:t>
      </w:r>
    </w:p>
    <w:p>
      <w:pPr>
        <w:spacing w:after="120" w:before="360"/>
      </w:pPr>
      <w:r>
        <w:rPr>
          <w:rFonts w:ascii="Arial" w:cs="Arial" w:eastAsia="Arial" w:hAnsi="Arial"/>
          <w:b/>
          <w:bCs/>
          <w:sz w:val="22"/>
          <w:szCs w:val="22"/>
        </w:rPr>
        <w:t>6) Data Characterisation</w:t>
      </w:r>
    </w:p>
    <w:p>
      <w:pPr>
        <w:pStyle w:val="ListParagraph"/>
        <w:numPr>
          <w:ilvl w:val="0"/>
          <w:numId w:val="3"/>
        </w:numPr>
        <w:spacing w:after="60"/>
      </w:pPr>
      <w:r>
        <w:rPr>
          <w:rFonts w:ascii="Arial" w:cs="Arial" w:eastAsia="Arial" w:hAnsi="Arial"/>
          <w:b/>
          <w:bCs/>
          <w:sz w:val="22"/>
          <w:szCs w:val="22"/>
        </w:rPr>
        <w:t xml:space="preserve">Fidelity: </w:t>
      </w:r>
      <w:r>
        <w:rPr>
          <w:rFonts w:ascii="Arial" w:cs="Arial" w:eastAsia="Arial" w:hAnsi="Arial"/>
          <w:sz w:val="22"/>
          <w:szCs w:val="22"/>
        </w:rPr>
        <w:t xml:space="preserve">5 independent annotators per message; κ &gt; 0.70 quality gate; separate κ for SI and PI; per-culture and neurodiverse-subset reliability reported.</w:t>
      </w:r>
    </w:p>
    <w:p>
      <w:pPr>
        <w:pStyle w:val="ListParagraph"/>
        <w:numPr>
          <w:ilvl w:val="0"/>
          <w:numId w:val="3"/>
        </w:numPr>
        <w:spacing w:after="60"/>
      </w:pPr>
      <w:r>
        <w:rPr>
          <w:rFonts w:ascii="Arial" w:cs="Arial" w:eastAsia="Arial" w:hAnsi="Arial"/>
          <w:b/>
          <w:bCs/>
          <w:sz w:val="22"/>
          <w:szCs w:val="22"/>
        </w:rPr>
        <w:t xml:space="preserve">Modality: </w:t>
      </w:r>
      <w:r>
        <w:rPr>
          <w:rFonts w:ascii="Arial" w:cs="Arial" w:eastAsia="Arial" w:hAnsi="Arial"/>
          <w:sz w:val="22"/>
          <w:szCs w:val="22"/>
        </w:rPr>
        <w:t xml:space="preserve">Text + structured metadata (relationship type, duration, valence) + EEG time-series (if Study 4 proceeds).</w:t>
      </w:r>
    </w:p>
    <w:p>
      <w:pPr>
        <w:pStyle w:val="ListParagraph"/>
        <w:numPr>
          <w:ilvl w:val="0"/>
          <w:numId w:val="3"/>
        </w:numPr>
        <w:spacing w:after="60"/>
      </w:pPr>
      <w:r>
        <w:rPr>
          <w:rFonts w:ascii="Arial" w:cs="Arial" w:eastAsia="Arial" w:hAnsi="Arial"/>
          <w:b/>
          <w:bCs/>
          <w:sz w:val="22"/>
          <w:szCs w:val="22"/>
        </w:rPr>
        <w:t xml:space="preserve">Volume: </w:t>
      </w:r>
      <w:r>
        <w:rPr>
          <w:rFonts w:ascii="Arial" w:cs="Arial" w:eastAsia="Arial" w:hAnsi="Arial"/>
          <w:sz w:val="22"/>
          <w:szCs w:val="22"/>
        </w:rPr>
        <w:t xml:space="preserve">2,000 messages (Study 1); ~2,800 from 100 users over 4 weeks (Study 1b); 40-message stimulus set × 24 participants × 2 sessions (Study 4).</w:t>
      </w:r>
    </w:p>
    <w:p>
      <w:pPr>
        <w:pStyle w:val="ListParagraph"/>
        <w:numPr>
          <w:ilvl w:val="0"/>
          <w:numId w:val="3"/>
        </w:numPr>
        <w:spacing w:after="60"/>
      </w:pPr>
      <w:r>
        <w:rPr>
          <w:rFonts w:ascii="Arial" w:cs="Arial" w:eastAsia="Arial" w:hAnsi="Arial"/>
          <w:b/>
          <w:bCs/>
          <w:sz w:val="22"/>
          <w:szCs w:val="22"/>
        </w:rPr>
        <w:t xml:space="preserve">Scalability: </w:t>
      </w:r>
      <w:r>
        <w:rPr>
          <w:rFonts w:ascii="Arial" w:cs="Arial" w:eastAsia="Arial" w:hAnsi="Arial"/>
          <w:sz w:val="22"/>
          <w:szCs w:val="22"/>
        </w:rPr>
        <w:t xml:space="preserve">Protocol and architecture designed for extension to 10,000+ messages with naturalistic history and multilingual expansion in Year 2.</w:t>
      </w:r>
    </w:p>
    <w:p>
      <w:pPr>
        <w:spacing w:after="120" w:before="360"/>
      </w:pPr>
      <w:r>
        <w:rPr>
          <w:rFonts w:ascii="Arial" w:cs="Arial" w:eastAsia="Arial" w:hAnsi="Arial"/>
          <w:b/>
          <w:bCs/>
          <w:sz w:val="22"/>
          <w:szCs w:val="22"/>
        </w:rPr>
        <w:t>7) Anticipated Failure Modes</w:t>
      </w:r>
    </w:p>
    <w:p>
      <w:pPr>
        <w:spacing w:after="120"/>
      </w:pPr>
      <w:r>
        <w:rPr>
          <w:rFonts w:ascii="Arial" w:cs="Arial" w:eastAsia="Arial" w:hAnsi="Arial"/>
          <w:sz w:val="22"/>
          <w:szCs w:val="22"/>
        </w:rPr>
        <w:t xml:space="preserve">The main risk is annotation failure: if annotators cannot reliably agree on sender and perceived intent (κ &lt; 0.70), the training signal is invalid. Mitigated through an early κ pilot in Month 1, two adjudication rounds, and schema redesign if needed.</w:t>
      </w:r>
    </w:p>
    <w:p>
      <w:pPr>
        <w:spacing w:after="120"/>
      </w:pPr>
      <w:r>
        <w:rPr>
          <w:rFonts w:ascii="Arial" w:cs="Arial" w:eastAsia="Arial" w:hAnsi="Arial"/>
          <w:sz w:val="22"/>
          <w:szCs w:val="22"/>
        </w:rPr>
        <w:t xml:space="preserve">A second risk is a null H₁ result — still publishable as the first rigorous test of whether dyadic context improves intent prediction at this scale. A third risk is delayed ethics approval for clinical neurodivergent recruitment. This is mitigated by a two-tier design: Year-1 analyses proceed on trait-level variation (AQ-10, GAD-7) regardless of clinical timelines; categorical clinical comparisons are added as and when ethics and recruitment allow.</w:t>
      </w:r>
    </w:p>
    <w:p>
      <w:pPr>
        <w:spacing w:after="120" w:before="360"/>
      </w:pPr>
      <w:r>
        <w:rPr>
          <w:rFonts w:ascii="Arial" w:cs="Arial" w:eastAsia="Arial" w:hAnsi="Arial"/>
          <w:b/>
          <w:bCs/>
          <w:sz w:val="22"/>
          <w:szCs w:val="22"/>
        </w:rPr>
        <w:t>8) Three Context Papers</w:t>
      </w:r>
    </w:p>
    <w:p>
      <w:pPr>
        <w:spacing w:after="120"/>
      </w:pPr>
      <w:r>
        <w:rPr>
          <w:rFonts w:ascii="Arial" w:cs="Arial" w:eastAsia="Arial" w:hAnsi="Arial"/>
          <w:b/>
          <w:bCs/>
          <w:sz w:val="22"/>
          <w:szCs w:val="22"/>
        </w:rPr>
        <w:t xml:space="preserve">1. LeDoux, J. E. (1996). </w:t>
      </w:r>
      <w:r>
        <w:rPr>
          <w:rFonts w:ascii="Arial" w:cs="Arial" w:eastAsia="Arial" w:hAnsi="Arial"/>
          <w:i/>
          <w:iCs/>
          <w:sz w:val="22"/>
          <w:szCs w:val="22"/>
        </w:rPr>
        <w:t xml:space="preserve">The Emotional Brain. </w:t>
      </w:r>
      <w:r>
        <w:rPr>
          <w:rFonts w:ascii="Arial" w:cs="Arial" w:eastAsia="Arial" w:hAnsi="Arial"/>
          <w:sz w:val="22"/>
          <w:szCs w:val="22"/>
        </w:rPr>
        <w:t xml:space="preserve">Simon &amp; Schuster. — Subcortical threat-tagging pathway; the neurological basis for sender-receiver divergence.</w:t>
      </w:r>
    </w:p>
    <w:p>
      <w:pPr>
        <w:spacing w:after="120"/>
      </w:pPr>
      <w:r>
        <w:rPr>
          <w:rFonts w:ascii="Arial" w:cs="Arial" w:eastAsia="Arial" w:hAnsi="Arial"/>
          <w:b/>
          <w:bCs/>
          <w:sz w:val="22"/>
          <w:szCs w:val="22"/>
        </w:rPr>
        <w:t xml:space="preserve">2. Pérez, A., Carreiras, M., &amp; Duñabeitia, J. A. (2017). </w:t>
      </w:r>
      <w:r>
        <w:rPr>
          <w:rFonts w:ascii="Arial" w:cs="Arial" w:eastAsia="Arial" w:hAnsi="Arial"/>
          <w:sz w:val="22"/>
          <w:szCs w:val="22"/>
        </w:rPr>
        <w:t xml:space="preserve">Brain-to-brain entrainment: EEG interbrain synchronization while speaking and listening. Scientific Reports, 7(1), 4190. — Theta-band inter-brain synchrony as a communication-quality correlate; the H₃ outcome measure.</w:t>
      </w:r>
    </w:p>
    <w:p>
      <w:pPr>
        <w:spacing w:after="120"/>
      </w:pPr>
      <w:r>
        <w:rPr>
          <w:rFonts w:ascii="Arial" w:cs="Arial" w:eastAsia="Arial" w:hAnsi="Arial"/>
          <w:b/>
          <w:bCs/>
          <w:sz w:val="22"/>
          <w:szCs w:val="22"/>
        </w:rPr>
        <w:t xml:space="preserve">3. Pellicano, E., &amp; Burr, D. (2012). </w:t>
      </w:r>
      <w:r>
        <w:rPr>
          <w:rFonts w:ascii="Arial" w:cs="Arial" w:eastAsia="Arial" w:hAnsi="Arial"/>
          <w:sz w:val="22"/>
          <w:szCs w:val="22"/>
        </w:rPr>
        <w:t xml:space="preserve">When the world becomes ‘too real’: a Bayesian explanation of autistic perception. Trends in Cognitive Sciences, 16(10), 504–510. — Weakened perceptual priors in ASD; theoretical basis for the prediction that neurodivergent populations show elevated intent gaps.</w:t>
      </w:r>
    </w:p>
    <w:p>
      <w:pPr>
        <w:spacing w:after="120" w:before="360"/>
      </w:pPr>
      <w:r>
        <w:rPr>
          <w:rFonts w:ascii="Arial" w:cs="Arial" w:eastAsia="Arial" w:hAnsi="Arial"/>
          <w:b/>
          <w:bCs/>
          <w:sz w:val="22"/>
          <w:szCs w:val="22"/>
        </w:rPr>
        <w:t>9) ARIA Alignment</w:t>
      </w:r>
    </w:p>
    <w:p>
      <w:pPr>
        <w:spacing w:after="120"/>
      </w:pPr>
      <w:r>
        <w:rPr>
          <w:rFonts w:ascii="Arial" w:cs="Arial" w:eastAsia="Arial" w:hAnsi="Arial"/>
          <w:sz w:val="22"/>
          <w:szCs w:val="22"/>
        </w:rPr>
        <w:t xml:space="preserve">The project advances </w:t>
      </w:r>
      <w:r>
        <w:rPr>
          <w:rFonts w:ascii="Arial" w:cs="Arial" w:eastAsia="Arial" w:hAnsi="Arial"/>
          <w:b/>
          <w:bCs/>
          <w:sz w:val="22"/>
          <w:szCs w:val="22"/>
        </w:rPr>
        <w:t xml:space="preserve">Scalable Neural Interfaces</w:t>
      </w:r>
      <w:r>
        <w:rPr>
          <w:rFonts w:ascii="Arial" w:cs="Arial" w:eastAsia="Arial" w:hAnsi="Arial"/>
          <w:sz w:val="22"/>
          <w:szCs w:val="22"/>
        </w:rPr>
        <w:t xml:space="preserve"> through computational tools that model human mentalising at scale, and points toward </w:t>
      </w:r>
      <w:r>
        <w:rPr>
          <w:rFonts w:ascii="Arial" w:cs="Arial" w:eastAsia="Arial" w:hAnsi="Arial"/>
          <w:b/>
          <w:bCs/>
          <w:sz w:val="22"/>
          <w:szCs w:val="22"/>
        </w:rPr>
        <w:t xml:space="preserve">Collective Flourishing</w:t>
      </w:r>
      <w:r>
        <w:rPr>
          <w:rFonts w:ascii="Arial" w:cs="Arial" w:eastAsia="Arial" w:hAnsi="Arial"/>
          <w:sz w:val="22"/>
          <w:szCs w:val="22"/>
        </w:rPr>
        <w:t xml:space="preserve"> through consent-based infrastructure for understanding rather than attention extraction.</w:t>
      </w:r>
    </w:p>
    <w:p>
      <w:pPr>
        <w:spacing w:after="120" w:before="360"/>
      </w:pPr>
      <w:r>
        <w:rPr>
          <w:rFonts w:ascii="Arial" w:cs="Arial" w:eastAsia="Arial" w:hAnsi="Arial"/>
          <w:b/>
          <w:bCs/>
          <w:sz w:val="22"/>
          <w:szCs w:val="22"/>
        </w:rPr>
        <w:t>10) Additional Information</w:t>
      </w:r>
    </w:p>
    <w:p>
      <w:pPr>
        <w:spacing w:after="120"/>
      </w:pPr>
      <w:r>
        <w:rPr>
          <w:rFonts w:ascii="Arial" w:cs="Arial" w:eastAsia="Arial" w:hAnsi="Arial"/>
          <w:b/>
          <w:bCs/>
          <w:sz w:val="22"/>
          <w:szCs w:val="22"/>
        </w:rPr>
        <w:t xml:space="preserve">Skills and collaborator needs: </w:t>
      </w:r>
      <w:r>
        <w:rPr>
          <w:rFonts w:ascii="Arial" w:cs="Arial" w:eastAsia="Arial" w:hAnsi="Arial"/>
          <w:sz w:val="22"/>
          <w:szCs w:val="22"/>
        </w:rPr>
        <w:t xml:space="preserve">I have built and led AI teams at scale (KDD ’24/’25), with a working prototype deployed (dyadicmentalising.streamlit.app) demonstrating how identical messages produce different intent distributions across relational contexts, and production experience in NLP and ML systems. Prof Peggy Sériès (Chair in Computational Psychiatry, University of Edinburgh) has agreed to serve as Lab Advisor, bringing expertise in Bayesian inference, clinical access via Royal Edinburgh Hospital and Dundee Ninewells, and an active research group working on ASD and anxiety. Her lab can mobilise EEG and hyperscanning support through the Edinburgh neuroscience network.</w:t>
      </w:r>
    </w:p>
    <w:p>
      <w:pPr>
        <w:spacing w:after="120"/>
      </w:pPr>
      <w:r>
        <w:rPr>
          <w:rFonts w:ascii="Arial" w:cs="Arial" w:eastAsia="Arial" w:hAnsi="Arial"/>
          <w:b/>
          <w:bCs/>
          <w:sz w:val="22"/>
          <w:szCs w:val="22"/>
        </w:rPr>
        <w:t xml:space="preserve">Resource challenges: </w:t>
      </w:r>
      <w:r>
        <w:rPr>
          <w:rFonts w:ascii="Arial" w:cs="Arial" w:eastAsia="Arial" w:hAnsi="Arial"/>
          <w:sz w:val="22"/>
          <w:szCs w:val="22"/>
        </w:rPr>
        <w:t xml:space="preserve">No proprietary datasets required. Lab partnership is confirmed (Sériès, Edinburgh). Neurodivergent participant recruitment is supported through existing clinical collaborations at Royal Edinburgh Hospital and Dundee Ninewells. EEG facilities will be mobilised through the Edinburgh neuroscience network.</w:t>
      </w:r>
    </w:p>
    <w:p>
      <w:pPr>
        <w:spacing w:after="120" w:before="360"/>
      </w:pPr>
      <w:r>
        <w:rPr>
          <w:rFonts w:ascii="Arial" w:cs="Arial" w:eastAsia="Arial" w:hAnsi="Arial"/>
          <w:b/>
          <w:bCs/>
          <w:sz w:val="22"/>
          <w:szCs w:val="22"/>
        </w:rPr>
        <w:t xml:space="preserve">Open-source Opt-in</w:t>
      </w:r>
    </w:p>
    <w:p>
      <w:pPr>
        <w:spacing w:after="120"/>
      </w:pPr>
      <w:r>
        <w:rPr>
          <w:rFonts w:ascii="Arial" w:cs="Arial" w:eastAsia="Arial" w:hAnsi="Arial"/>
          <w:sz w:val="22"/>
          <w:szCs w:val="22"/>
        </w:rPr>
        <w:t xml:space="preserve">Yes — include in the R&amp;D Gap Map and list as a point of contact for AI researchers interested in computational models of communicative intent.</w:t>
      </w:r>
    </w:p>
    <w:p>
      <w:pPr>
        <w:spacing w:before="480"/>
      </w:pPr>
      <w:r>
        <w:rPr>
          <w:rFonts w:ascii="Arial" w:cs="Arial" w:eastAsia="Arial" w:hAnsi="Arial"/>
          <w:b/>
          <w:bCs/>
          <w:sz w:val="22"/>
          <w:szCs w:val="22"/>
        </w:rPr>
        <w:t xml:space="preserve">Deadline: </w:t>
      </w:r>
      <w:r>
        <w:rPr>
          <w:rFonts w:ascii="Arial" w:cs="Arial" w:eastAsia="Arial" w:hAnsi="Arial"/>
          <w:sz w:val="22"/>
          <w:szCs w:val="22"/>
        </w:rPr>
        <w:t xml:space="preserve">Fellow applications close on 28th March,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2026-03-23T11:30:27.818Z</dcterms:created>
  <dcterms:modified xsi:type="dcterms:W3CDTF">2026-03-23T11:30:27.819Z</dcterms:modified>
</cp:coreProperties>
</file>

<file path=docProps/custom.xml><?xml version="1.0" encoding="utf-8"?>
<Properties xmlns="http://schemas.openxmlformats.org/officeDocument/2006/custom-properties" xmlns:vt="http://schemas.openxmlformats.org/officeDocument/2006/docPropsVTypes"/>
</file>