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40"/>
      </w:pPr>
      <w:r>
        <w:rPr>
          <w:rFonts w:ascii="Arial" w:cs="Arial" w:eastAsia="Arial" w:hAnsi="Arial"/>
          <w:b/>
          <w:bCs/>
          <w:color w:val="FF4F1F"/>
          <w:sz w:val="28"/>
          <w:szCs w:val="28"/>
        </w:rPr>
        <w:t xml:space="preserve">Encode: AI for Science Fellowship – Fellow Proposal</w:t>
      </w:r>
    </w:p>
    <w:p>
      <w:pPr>
        <w:spacing w:after="80"/>
      </w:pPr>
      <w:r>
        <w:rPr>
          <w:rFonts w:ascii="Arial" w:cs="Arial" w:eastAsia="Arial" w:hAnsi="Arial"/>
          <w:b/>
          <w:bCs/>
          <w:sz w:val="22"/>
          <w:szCs w:val="22"/>
        </w:rPr>
        <w:t xml:space="preserve">Name: </w:t>
      </w:r>
      <w:r>
        <w:rPr>
          <w:rFonts w:ascii="Arial" w:cs="Arial" w:eastAsia="Arial" w:hAnsi="Arial"/>
          <w:sz w:val="22"/>
          <w:szCs w:val="22"/>
        </w:rPr>
        <w:t xml:space="preserve">Snehal Nair</w:t>
      </w:r>
    </w:p>
    <w:p>
      <w:pPr>
        <w:spacing w:after="80"/>
      </w:pPr>
      <w:r>
        <w:rPr>
          <w:rFonts w:ascii="Arial" w:cs="Arial" w:eastAsia="Arial" w:hAnsi="Arial"/>
          <w:b/>
          <w:bCs/>
          <w:sz w:val="22"/>
          <w:szCs w:val="22"/>
        </w:rPr>
        <w:t xml:space="preserve">Current Institution: </w:t>
      </w:r>
      <w:r>
        <w:rPr>
          <w:rFonts w:ascii="Arial" w:cs="Arial" w:eastAsia="Arial" w:hAnsi="Arial"/>
          <w:sz w:val="22"/>
          <w:szCs w:val="22"/>
        </w:rPr>
        <w:t xml:space="preserve">University of Edinburgh</w:t>
      </w:r>
    </w:p>
    <w:p>
      <w:pPr>
        <w:spacing w:after="120"/>
      </w:pPr>
      <w:r>
        <w:rPr>
          <w:rFonts w:ascii="Arial" w:cs="Arial" w:eastAsia="Arial" w:hAnsi="Arial"/>
          <w:sz w:val="22"/>
          <w:szCs w:val="22"/>
        </w:rPr>
        <w:t xml:space="preserve">Please describe your proposed work.</w:t>
      </w:r>
    </w:p>
    <w:p>
      <w:pPr>
        <w:spacing w:after="120" w:before="360"/>
      </w:pPr>
      <w:r>
        <w:rPr>
          <w:rFonts w:ascii="Arial" w:cs="Arial" w:eastAsia="Arial" w:hAnsi="Arial"/>
          <w:b/>
          <w:bCs/>
          <w:sz w:val="22"/>
          <w:szCs w:val="22"/>
        </w:rPr>
        <w:t>1) Problem</w:t>
      </w:r>
    </w:p>
    <w:p>
      <w:pPr>
        <w:spacing w:after="120"/>
      </w:pPr>
      <w:r>
        <w:rPr>
          <w:rFonts w:ascii="Arial" w:cs="Arial" w:eastAsia="Arial" w:hAnsi="Arial"/>
          <w:sz w:val="22"/>
          <w:szCs w:val="22"/>
        </w:rPr>
        <w:t xml:space="preserve">Ambiguous emotional stimuli are threat-tagged via subcortical processing (LeDoux, 1996) before higher-order language and mentalising systems resolve intent. In digital text — where prosody, facial expression, and physical context are absent — this timing asymmetry makes misunderstanding especially likely.</w:t>
      </w:r>
    </w:p>
    <w:p>
      <w:pPr>
        <w:spacing w:after="120"/>
      </w:pPr>
      <w:r>
        <w:rPr>
          <w:rFonts w:ascii="Arial" w:cs="Arial" w:eastAsia="Arial" w:hAnsi="Arial"/>
          <w:sz w:val="22"/>
          <w:szCs w:val="22"/>
        </w:rPr>
        <w:t xml:space="preserve">To our knowledge, no published NLP system models intent as a dyadic phenomenon conditioned on relational history. Sentiment classifiers measure tone; emotion recognition systems measure affective expression. Neither asks what a person most likely meant, given who they are and who they are talking to. The same message can carry a different intent distribution depending on relationship type, history, and context. This divergence may be particularly pronounced in neurodivergent populations: computational psychiatry research suggests that individuals with ASD may form weaker relational priors, while those with anxiety may form stronger threat priors (Sériès, 2020), predicting systematically different intent-gap profiles. The central question is whether conditioning on dyadic context and providing closed-loop feedback measurably improves intent prediction and reduces miscommunication — and whether the effect varies across clinical populations.</w:t>
      </w:r>
    </w:p>
    <w:p>
      <w:pPr>
        <w:spacing w:after="120"/>
      </w:pPr>
      <w:r>
        <w:rPr>
          <w:rFonts w:ascii="Arial" w:cs="Arial" w:eastAsia="Arial" w:hAnsi="Arial"/>
          <w:sz w:val="22"/>
          <w:szCs w:val="22"/>
        </w:rPr>
        <w:t xml:space="preserve">To our knowledge, the following gaps remain open in the pragmatics, social NLP, and affective computing literature as of March 2026:</w:t>
      </w:r>
    </w:p>
    <w:p>
      <w:pPr>
        <w:pStyle w:val="ListParagraph"/>
        <w:numPr>
          <w:ilvl w:val="0"/>
          <w:numId w:val="2"/>
        </w:numPr>
        <w:spacing w:after="60"/>
      </w:pPr>
      <w:r>
        <w:rPr>
          <w:rFonts w:ascii="Arial" w:cs="Arial" w:eastAsia="Arial" w:hAnsi="Arial"/>
          <w:sz w:val="22"/>
          <w:szCs w:val="22"/>
        </w:rPr>
        <w:t xml:space="preserve">No published dataset conditions intent annotation on dyadic relational history with dual sender/receiver labels and reliability validation.</w:t>
      </w:r>
    </w:p>
    <w:p>
      <w:pPr>
        <w:pStyle w:val="ListParagraph"/>
        <w:numPr>
          <w:ilvl w:val="0"/>
          <w:numId w:val="2"/>
        </w:numPr>
        <w:spacing w:after="60"/>
      </w:pPr>
      <w:r>
        <w:rPr>
          <w:rFonts w:ascii="Arial" w:cs="Arial" w:eastAsia="Arial" w:hAnsi="Arial"/>
          <w:sz w:val="22"/>
          <w:szCs w:val="22"/>
        </w:rPr>
        <w:t xml:space="preserve">No language model has been trained to predict receiver-parsed intent conditioned on dyadic relational context.</w:t>
      </w:r>
    </w:p>
    <w:p>
      <w:pPr>
        <w:pStyle w:val="ListParagraph"/>
        <w:numPr>
          <w:ilvl w:val="0"/>
          <w:numId w:val="2"/>
        </w:numPr>
        <w:spacing w:after="60"/>
      </w:pPr>
      <w:r>
        <w:rPr>
          <w:rFonts w:ascii="Arial" w:cs="Arial" w:eastAsia="Arial" w:hAnsi="Arial"/>
          <w:sz w:val="22"/>
          <w:szCs w:val="22"/>
        </w:rPr>
        <w:t xml:space="preserve">No empirical study has tested whether closed-loop intent feedback changes behavioural or neural markers of mentalising.</w:t>
      </w:r>
    </w:p>
    <w:p>
      <w:pPr>
        <w:pStyle w:val="ListParagraph"/>
        <w:numPr>
          <w:ilvl w:val="0"/>
          <w:numId w:val="2"/>
        </w:numPr>
        <w:spacing w:after="60"/>
      </w:pPr>
      <w:r>
        <w:rPr>
          <w:rFonts w:ascii="Arial" w:cs="Arial" w:eastAsia="Arial" w:hAnsi="Arial"/>
          <w:sz w:val="22"/>
          <w:szCs w:val="22"/>
        </w:rPr>
        <w:t xml:space="preserve">No structured personality instrument has been tested as an independent conditioning signal for cold-start intent prediction.</w:t>
      </w:r>
    </w:p>
    <w:p>
      <w:pPr>
        <w:spacing w:after="120" w:before="360"/>
      </w:pPr>
      <w:r>
        <w:rPr>
          <w:rFonts w:ascii="Arial" w:cs="Arial" w:eastAsia="Arial" w:hAnsi="Arial"/>
          <w:b/>
          <w:bCs/>
          <w:sz w:val="22"/>
          <w:szCs w:val="22"/>
        </w:rPr>
        <w:t>2) Solution</w:t>
      </w:r>
    </w:p>
    <w:p>
      <w:pPr>
        <w:spacing w:after="120"/>
      </w:pPr>
      <w:r>
        <w:rPr>
          <w:rFonts w:ascii="Arial" w:cs="Arial" w:eastAsia="Arial" w:hAnsi="Arial"/>
          <w:sz w:val="22"/>
          <w:szCs w:val="22"/>
        </w:rPr>
        <w:t xml:space="preserve">The core instrument is a RoBERTa-large model (355M parameters; Liu et al., 2019) fine-tuned for intent classification with two conditioning signals:</w:t>
      </w:r>
    </w:p>
    <w:p>
      <w:pPr>
        <w:pStyle w:val="ListParagraph"/>
        <w:numPr>
          <w:ilvl w:val="0"/>
          <w:numId w:val="3"/>
        </w:numPr>
        <w:spacing w:after="60"/>
      </w:pPr>
      <w:r>
        <w:rPr>
          <w:rFonts w:ascii="Arial" w:cs="Arial" w:eastAsia="Arial" w:hAnsi="Arial"/>
          <w:b/>
          <w:bCs/>
          <w:sz w:val="22"/>
          <w:szCs w:val="22"/>
        </w:rPr>
        <w:t xml:space="preserve">A 16-dimensional dyadic relational context vector</w:t>
      </w:r>
      <w:r>
        <w:rPr>
          <w:rFonts w:ascii="Arial" w:cs="Arial" w:eastAsia="Arial" w:hAnsi="Arial"/>
          <w:sz w:val="22"/>
          <w:szCs w:val="22"/>
        </w:rPr>
        <w:t xml:space="preserve">, encoding relationship type, duration, recent valence, message frequency, and rolling intent-gap history, concatenated to the [CLS] token before the classification head.</w:t>
      </w:r>
    </w:p>
    <w:p>
      <w:pPr>
        <w:pStyle w:val="ListParagraph"/>
        <w:numPr>
          <w:ilvl w:val="0"/>
          <w:numId w:val="3"/>
        </w:numPr>
        <w:spacing w:after="60"/>
      </w:pPr>
      <w:r>
        <w:rPr>
          <w:rFonts w:ascii="Arial" w:cs="Arial" w:eastAsia="Arial" w:hAnsi="Arial"/>
          <w:b/>
          <w:bCs/>
          <w:sz w:val="22"/>
          <w:szCs w:val="22"/>
        </w:rPr>
        <w:t xml:space="preserve">A personality context block</w:t>
      </w:r>
      <w:r>
        <w:rPr>
          <w:rFonts w:ascii="Arial" w:cs="Arial" w:eastAsia="Arial" w:hAnsi="Arial"/>
          <w:sz w:val="22"/>
          <w:szCs w:val="22"/>
        </w:rPr>
        <w:t xml:space="preserve">, derived from an 8-question biographical intake instrument across identity values, decision architecture, and narrative stories, prepended at inference time.</w:t>
      </w:r>
    </w:p>
    <w:p>
      <w:pPr>
        <w:spacing w:after="120"/>
      </w:pPr>
      <w:r>
        <w:rPr>
          <w:rFonts w:ascii="Arial" w:cs="Arial" w:eastAsia="Arial" w:hAnsi="Arial"/>
          <w:sz w:val="22"/>
          <w:szCs w:val="22"/>
        </w:rPr>
        <w:t xml:space="preserve">The model outputs a probability distribution over seven intent categories (seeking connection, expressing concern, setting boundary, seeking validation, expressing frustration, making request, giving information), predicted from both sender and receiver perspectives. The project creates a purpose-built 2,000-message dataset with dual sender-intent (SI) and perceived-intent (PI) labels, five annotators per message, across five relationship types (romantic partners, parent-child, close friends, community/social, professional). Divergence between these distributions is quantified as Jensen-Shannon divergence — symmetric, bounded [0, 1], and well-suited for comparing two probability distributions over the same label space.</w:t>
      </w:r>
    </w:p>
    <w:p>
      <w:pPr>
        <w:spacing w:after="120"/>
      </w:pPr>
      <w:r>
        <w:rPr>
          <w:rFonts w:ascii="Arial" w:cs="Arial" w:eastAsia="Arial" w:hAnsi="Arial"/>
          <w:sz w:val="22"/>
          <w:szCs w:val="22"/>
        </w:rPr>
        <w:t xml:space="preserve">A browser extension surfaces the model’s predicted intent in the pause between reading a message and replying, providing an alternative interpretation before the receiver forms a response.</w:t>
      </w:r>
    </w:p>
    <w:p>
      <w:pPr>
        <w:spacing w:after="120"/>
      </w:pPr>
      <w:r>
        <w:rPr>
          <w:rFonts w:ascii="Arial" w:cs="Arial" w:eastAsia="Arial" w:hAnsi="Arial"/>
          <w:sz w:val="22"/>
          <w:szCs w:val="22"/>
        </w:rPr>
        <w:t xml:space="preserve">Validation proceeds across four levels:</w:t>
      </w:r>
    </w:p>
    <w:p>
      <w:pPr>
        <w:pStyle w:val="ListParagraph"/>
        <w:numPr>
          <w:ilvl w:val="0"/>
          <w:numId w:val="3"/>
        </w:numPr>
        <w:spacing w:after="60"/>
      </w:pPr>
      <w:r>
        <w:rPr>
          <w:rFonts w:ascii="Arial" w:cs="Arial" w:eastAsia="Arial" w:hAnsi="Arial"/>
          <w:b/>
          <w:bCs/>
          <w:sz w:val="22"/>
          <w:szCs w:val="22"/>
        </w:rPr>
        <w:t xml:space="preserve">Computational (H₁): </w:t>
      </w:r>
      <w:r>
        <w:rPr>
          <w:rFonts w:ascii="Arial" w:cs="Arial" w:eastAsia="Arial" w:hAnsi="Arial"/>
          <w:sz w:val="22"/>
          <w:szCs w:val="22"/>
        </w:rPr>
        <w:t xml:space="preserve">Relational context improves intent prediction over a message-only baseline (ablation, paired t-test, d ≥ 0.3).</w:t>
      </w:r>
    </w:p>
    <w:p>
      <w:pPr>
        <w:pStyle w:val="ListParagraph"/>
        <w:numPr>
          <w:ilvl w:val="0"/>
          <w:numId w:val="3"/>
        </w:numPr>
        <w:spacing w:after="60"/>
      </w:pPr>
      <w:r>
        <w:rPr>
          <w:rFonts w:ascii="Arial" w:cs="Arial" w:eastAsia="Arial" w:hAnsi="Arial"/>
          <w:b/>
          <w:bCs/>
          <w:sz w:val="22"/>
          <w:szCs w:val="22"/>
        </w:rPr>
        <w:t xml:space="preserve">Cold-start ablation (H₄): </w:t>
      </w:r>
      <w:r>
        <w:rPr>
          <w:rFonts w:ascii="Arial" w:cs="Arial" w:eastAsia="Arial" w:hAnsi="Arial"/>
          <w:sz w:val="22"/>
          <w:szCs w:val="22"/>
        </w:rPr>
        <w:t xml:space="preserve">Personality context improves Day 1 accuracy before dyadic history accumulates (100 users randomised 1:1).</w:t>
      </w:r>
    </w:p>
    <w:p>
      <w:pPr>
        <w:pStyle w:val="ListParagraph"/>
        <w:numPr>
          <w:ilvl w:val="0"/>
          <w:numId w:val="3"/>
        </w:numPr>
        <w:spacing w:after="60"/>
      </w:pPr>
      <w:r>
        <w:rPr>
          <w:rFonts w:ascii="Arial" w:cs="Arial" w:eastAsia="Arial" w:hAnsi="Arial"/>
          <w:b/>
          <w:bCs/>
          <w:sz w:val="22"/>
          <w:szCs w:val="22"/>
        </w:rPr>
        <w:t xml:space="preserve">Behavioural (H₂): </w:t>
      </w:r>
      <w:r>
        <w:rPr>
          <w:rFonts w:ascii="Arial" w:cs="Arial" w:eastAsia="Arial" w:hAnsi="Arial"/>
          <w:sz w:val="22"/>
          <w:szCs w:val="22"/>
        </w:rPr>
        <w:t xml:space="preserve">60-day feedback reduces divergence scores (within-subjects pre/post, Wilcoxon signed-rank).</w:t>
      </w:r>
    </w:p>
    <w:p>
      <w:pPr>
        <w:pStyle w:val="ListParagraph"/>
        <w:numPr>
          <w:ilvl w:val="0"/>
          <w:numId w:val="3"/>
        </w:numPr>
        <w:spacing w:after="60"/>
      </w:pPr>
      <w:r>
        <w:rPr>
          <w:rFonts w:ascii="Arial" w:cs="Arial" w:eastAsia="Arial" w:hAnsi="Arial"/>
          <w:b/>
          <w:bCs/>
          <w:sz w:val="22"/>
          <w:szCs w:val="22"/>
        </w:rPr>
        <w:t xml:space="preserve">Neural (H₃, stretch): </w:t>
      </w:r>
      <w:r>
        <w:rPr>
          <w:rFonts w:ascii="Arial" w:cs="Arial" w:eastAsia="Arial" w:hAnsi="Arial"/>
          <w:sz w:val="22"/>
          <w:szCs w:val="22"/>
        </w:rPr>
        <w:t xml:space="preserve">60-day feedback increases theta-band inter-brain synchrony (EEG hyperscanning, N=20–24, pre/post).</w:t>
      </w:r>
    </w:p>
    <w:p>
      <w:pPr>
        <w:spacing w:after="120"/>
      </w:pPr>
      <w:r>
        <w:rPr>
          <w:rFonts w:ascii="Arial" w:cs="Arial" w:eastAsia="Arial" w:hAnsi="Arial"/>
          <w:sz w:val="22"/>
          <w:szCs w:val="22"/>
        </w:rPr>
        <w:t xml:space="preserve">Each level is independently publishable; null results are pre-registered. A key secondary prediction, developed in collaboration with the lab advisor (Sériès lab, computational psychiatry): if sender-receiver divergence arises from asymmetry between subcortical threat-tagging and cortical mentalising, it should be systematically elevated in neurodivergent dyads. Specifically, ASD populations may show weaker relational priors on intent, while anxiety populations may show stronger threat priors — both predicting larger and differently structured intent gaps. This is tested via stratified analysis and directly extends the lab’s existing work on Bayesian inference in clinical populations.</w:t>
      </w:r>
    </w:p>
    <w:p>
      <w:pPr>
        <w:spacing w:after="120" w:before="360"/>
      </w:pPr>
      <w:r>
        <w:rPr>
          <w:rFonts w:ascii="Arial" w:cs="Arial" w:eastAsia="Arial" w:hAnsi="Arial"/>
          <w:b/>
          <w:bCs/>
          <w:sz w:val="22"/>
          <w:szCs w:val="22"/>
        </w:rPr>
        <w:t>3) Translation Opportunity</w:t>
      </w:r>
    </w:p>
    <w:p>
      <w:pPr>
        <w:spacing w:after="120"/>
      </w:pPr>
      <w:r>
        <w:rPr>
          <w:rFonts w:ascii="Arial" w:cs="Arial" w:eastAsia="Arial" w:hAnsi="Arial"/>
          <w:sz w:val="22"/>
          <w:szCs w:val="22"/>
        </w:rPr>
        <w:t xml:space="preserve">The scientific contribution is a new measurement construct — the divergence between sender-intent and perceived-intent distributions — and a new conditioning signal: dyadic relational context. The open-source dataset and trained model (HuggingFace, Apache 2.0) will support follow-on research in pragmatic inference, social cognition, and human-AI communication. Longer-term translation may include consent-gated relational tools, but that is explicitly downstream of the scientific validation.</w:t>
      </w:r>
    </w:p>
    <w:p>
      <w:pPr>
        <w:spacing w:after="120"/>
      </w:pPr>
      <w:r>
        <w:rPr>
          <w:rFonts w:ascii="Arial" w:cs="Arial" w:eastAsia="Arial" w:hAnsi="Arial"/>
          <w:b/>
          <w:bCs/>
          <w:sz w:val="22"/>
          <w:szCs w:val="22"/>
        </w:rPr>
        <w:t xml:space="preserve">ARIA alignment: </w:t>
      </w: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by making understanding measurable rather than extractive.</w:t>
      </w:r>
    </w:p>
    <w:p>
      <w:pPr>
        <w:spacing w:after="120" w:before="360"/>
      </w:pPr>
      <w:r>
        <w:rPr>
          <w:rFonts w:ascii="Arial" w:cs="Arial" w:eastAsia="Arial" w:hAnsi="Arial"/>
          <w:b/>
          <w:bCs/>
          <w:sz w:val="22"/>
          <w:szCs w:val="22"/>
        </w:rPr>
        <w:t xml:space="preserve">Goals / Milestones / Resources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26"/>
        <w:gridCol w:w="2800"/>
      </w:tblGrid>
      <w:tr>
        <w:tc>
          <w:tcPr>
            <w:tcW w:type="dxa" w:w="24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Goals</w:t>
            </w:r>
            <w:r>
              <w:rPr>
                <w:rFonts w:ascii="Arial" w:cs="Arial" w:eastAsia="Arial" w:hAnsi="Arial"/>
                <w:i/>
                <w:iCs/>
                <w:sz w:val="18"/>
                <w:szCs w:val="18"/>
              </w:rPr>
              <w:br/>
              <w:t xml:space="preserve">
(What success is)</w:t>
            </w:r>
          </w:p>
        </w:tc>
        <w:tc>
          <w:tcPr>
            <w:tcW w:type="dxa" w:w="3826"/>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Milestones</w:t>
            </w:r>
            <w:r>
              <w:rPr>
                <w:rFonts w:ascii="Arial" w:cs="Arial" w:eastAsia="Arial" w:hAnsi="Arial"/>
                <w:i/>
                <w:iCs/>
                <w:sz w:val="18"/>
                <w:szCs w:val="18"/>
              </w:rPr>
              <w:br/>
              <w:t xml:space="preserve">
(3 mo, 6 mo, 1 yr)</w:t>
            </w:r>
          </w:p>
        </w:tc>
        <w:tc>
          <w:tcPr>
            <w:tcW w:type="dxa" w:w="28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Resources Needed</w:t>
            </w:r>
            <w:r>
              <w:rPr>
                <w:rFonts w:ascii="Arial" w:cs="Arial" w:eastAsia="Arial" w:hAnsi="Arial"/>
                <w:i/>
                <w:iCs/>
                <w:sz w:val="18"/>
                <w:szCs w:val="18"/>
              </w:rPr>
              <w:br/>
              <w:t xml:space="preserve">
(e.g., data, compute, lab)</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Validated dataset with dual SI/PI labels and κ &gt; 0.70</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3 mo: </w:t>
            </w:r>
            <w:r>
              <w:rPr>
                <w:rFonts w:ascii="Arial" w:cs="Arial" w:eastAsia="Arial" w:hAnsi="Arial"/>
                <w:sz w:val="20"/>
                <w:szCs w:val="20"/>
              </w:rPr>
              <w:t xml:space="preserve">Complete κ pilot; annotate 2,000 messages; publish on HuggingFace</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Fellowship compute; Prolific annotator budget (~£5–7K); annotation tooling (built by fellow)</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Intent-conditioned model with H₁ tested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Fine-tune RoBERTa-large across 4 ablation conditions; test H₁; release model; submit Paper #1</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Training compute (3 runs × 4 conditions × 5 epochs)</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Cold-start ablation H₄ tested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6 mo: </w:t>
            </w:r>
            <w:r>
              <w:rPr>
                <w:rFonts w:ascii="Arial" w:cs="Arial" w:eastAsia="Arial" w:hAnsi="Arial"/>
                <w:sz w:val="20"/>
                <w:szCs w:val="20"/>
              </w:rPr>
              <w:t xml:space="preserve">Complete Study 1b (N=100); </w:t>
            </w:r>
            <w:r>
              <w:rPr>
                <w:rFonts w:ascii="Arial" w:cs="Arial" w:eastAsia="Arial" w:hAnsi="Arial"/>
                <w:b/>
                <w:bCs/>
                <w:sz w:val="20"/>
                <w:szCs w:val="20"/>
              </w:rPr>
              <w:t xml:space="preserve">8 mo: </w:t>
            </w:r>
            <w:r>
              <w:rPr>
                <w:rFonts w:ascii="Arial" w:cs="Arial" w:eastAsia="Arial" w:hAnsi="Arial"/>
                <w:sz w:val="20"/>
                <w:szCs w:val="20"/>
              </w:rPr>
              <w:t xml:space="preserve">Complete H₄ analysis</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Ethics approval (Mo 1–3); Prolific recruitment</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MUST: </w:t>
            </w:r>
            <w:r>
              <w:rPr>
                <w:rFonts w:ascii="Arial" w:cs="Arial" w:eastAsia="Arial" w:hAnsi="Arial"/>
                <w:sz w:val="20"/>
                <w:szCs w:val="20"/>
              </w:rPr>
              <w:t xml:space="preserve">Peer-reviewed paper submitted</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12 mo: </w:t>
            </w:r>
            <w:r>
              <w:rPr>
                <w:rFonts w:ascii="Arial" w:cs="Arial" w:eastAsia="Arial" w:hAnsi="Arial"/>
                <w:sz w:val="20"/>
                <w:szCs w:val="20"/>
              </w:rPr>
              <w:t xml:space="preserve">Paper submitted to ACL, EMNLP, or CHI</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60-day EEG pilot (H₂/H₃)</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Begin pilot; </w:t>
            </w:r>
            <w:r>
              <w:rPr>
                <w:rFonts w:ascii="Arial" w:cs="Arial" w:eastAsia="Arial" w:hAnsi="Arial"/>
                <w:b/>
                <w:bCs/>
                <w:sz w:val="20"/>
                <w:szCs w:val="20"/>
              </w:rPr>
              <w:t xml:space="preserve">11 mo: </w:t>
            </w:r>
            <w:r>
              <w:rPr>
                <w:rFonts w:ascii="Arial" w:cs="Arial" w:eastAsia="Arial" w:hAnsi="Arial"/>
                <w:sz w:val="20"/>
                <w:szCs w:val="20"/>
              </w:rPr>
              <w:t xml:space="preserve">Day 60 complete; </w:t>
            </w:r>
            <w:r>
              <w:rPr>
                <w:rFonts w:ascii="Arial" w:cs="Arial" w:eastAsia="Arial" w:hAnsi="Arial"/>
                <w:b/>
                <w:bCs/>
                <w:sz w:val="20"/>
                <w:szCs w:val="20"/>
              </w:rPr>
              <w:t xml:space="preserve">12 mo: </w:t>
            </w:r>
            <w:r>
              <w:rPr>
                <w:rFonts w:ascii="Arial" w:cs="Arial" w:eastAsia="Arial" w:hAnsi="Arial"/>
                <w:sz w:val="20"/>
                <w:szCs w:val="20"/>
              </w:rPr>
              <w:t xml:space="preserve">Analyse</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EEG support via Sériès lab network; ethics umbrella via Edinburgh Informatics</w:t>
            </w:r>
          </w:p>
        </w:tc>
      </w:tr>
      <w:tr>
        <w:tc>
          <w:tcPr>
            <w:tcW w:type="dxa" w:w="24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SHOULD: </w:t>
            </w:r>
            <w:r>
              <w:rPr>
                <w:rFonts w:ascii="Arial" w:cs="Arial" w:eastAsia="Arial" w:hAnsi="Arial"/>
                <w:sz w:val="20"/>
                <w:szCs w:val="20"/>
              </w:rPr>
              <w:t xml:space="preserve">Brain-Score validation</w:t>
            </w:r>
          </w:p>
        </w:tc>
        <w:tc>
          <w:tcPr>
            <w:tcW w:type="dxa" w:w="3826"/>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8 mo: </w:t>
            </w:r>
            <w:r>
              <w:rPr>
                <w:rFonts w:ascii="Arial" w:cs="Arial" w:eastAsia="Arial" w:hAnsi="Arial"/>
                <w:sz w:val="20"/>
                <w:szCs w:val="20"/>
              </w:rPr>
              <w:t xml:space="preserve">Submit to MIT Brain-Score Language benchmark</w:t>
            </w:r>
          </w:p>
        </w:tc>
        <w:tc>
          <w:tcPr>
            <w:tcW w:type="dxa" w:w="28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~2 weeks engineering post-training</w:t>
            </w:r>
          </w:p>
        </w:tc>
      </w:tr>
    </w:tbl>
    <w:p>
      <w:pPr>
        <w:spacing w:after="120" w:before="360"/>
      </w:pPr>
      <w:r>
        <w:rPr>
          <w:rFonts w:ascii="Arial" w:cs="Arial" w:eastAsia="Arial" w:hAnsi="Arial"/>
          <w:b/>
          <w:bCs/>
          <w:sz w:val="22"/>
          <w:szCs w:val="22"/>
        </w:rPr>
        <w:t xml:space="preserve">People Involved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13"/>
        <w:gridCol w:w="4513"/>
      </w:tblGrid>
      <w:tr>
        <w:tc>
          <w:tcPr>
            <w:tcW w:type="dxa" w:w="2000"/>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Name</w:t>
            </w:r>
          </w:p>
        </w:tc>
        <w:tc>
          <w:tcPr>
            <w:tcW w:type="dxa" w:w="2513"/>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Institution</w:t>
            </w:r>
          </w:p>
        </w:tc>
        <w:tc>
          <w:tcPr>
            <w:tcW w:type="dxa" w:w="4513"/>
            <w:tcBorders>
              <w:top w:val="single" w:color="000000" w:sz="6"/>
              <w:left w:val="single" w:color="000000" w:sz="6"/>
              <w:bottom w:val="single" w:color="000000" w:sz="6"/>
              <w:right w:val="single" w:color="000000" w:sz="6"/>
            </w:tcBorders>
            <w:shd w:fill="E8ECF0" w:val="clear"/>
            <w:tcMar>
              <w:top w:type="dxa" w:w="60"/>
              <w:left w:type="dxa" w:w="80"/>
              <w:bottom w:type="dxa" w:w="60"/>
              <w:right w:type="dxa" w:w="80"/>
            </w:tcMar>
          </w:tcPr>
          <w:p>
            <w:r>
              <w:rPr>
                <w:rFonts w:ascii="Arial" w:cs="Arial" w:eastAsia="Arial" w:hAnsi="Arial"/>
                <w:b/>
                <w:bCs/>
                <w:sz w:val="20"/>
                <w:szCs w:val="20"/>
              </w:rPr>
              <w:t xml:space="preserve">Involvement</w:t>
            </w:r>
          </w:p>
        </w:tc>
      </w:tr>
      <w:tr>
        <w:tc>
          <w:tcPr>
            <w:tcW w:type="dxa" w:w="20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Snehal Nair</w:t>
            </w:r>
          </w:p>
        </w:tc>
        <w:tc>
          <w:tcPr>
            <w:tcW w:type="dxa" w:w="2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University of Edinburgh (Independent AI Researcher)</w:t>
            </w:r>
          </w:p>
        </w:tc>
        <w:tc>
          <w:tcPr>
            <w:tcW w:type="dxa" w:w="4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Fellow — dataset pipeline, model training, annotation tooling, biographical intake instrument, browser extension, analysis code, reproducibility infrastructure (DVC, HuggingFace Hub, OpenNeuro)</w:t>
            </w:r>
          </w:p>
        </w:tc>
      </w:tr>
      <w:tr>
        <w:tc>
          <w:tcPr>
            <w:tcW w:type="dxa" w:w="2000"/>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b/>
                <w:bCs/>
                <w:sz w:val="20"/>
                <w:szCs w:val="20"/>
              </w:rPr>
              <w:t xml:space="preserve">Prof Peggy Sériès</w:t>
            </w:r>
          </w:p>
        </w:tc>
        <w:tc>
          <w:tcPr>
            <w:tcW w:type="dxa" w:w="2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University of Edinburgh, Chair in Computational Psychiatry, School of Informatics</w:t>
            </w:r>
          </w:p>
        </w:tc>
        <w:tc>
          <w:tcPr>
            <w:tcW w:type="dxa" w:w="4513"/>
            <w:tcBorders>
              <w:top w:val="single" w:color="000000" w:sz="6"/>
              <w:left w:val="single" w:color="000000" w:sz="6"/>
              <w:bottom w:val="single" w:color="000000" w:sz="6"/>
              <w:right w:val="single" w:color="000000" w:sz="6"/>
            </w:tcBorders>
            <w:tcMar>
              <w:top w:type="dxa" w:w="60"/>
              <w:left w:type="dxa" w:w="80"/>
              <w:bottom w:type="dxa" w:w="60"/>
              <w:right w:type="dxa" w:w="80"/>
            </w:tcMar>
          </w:tcPr>
          <w:p>
            <w:r>
              <w:rPr>
                <w:rFonts w:ascii="Arial" w:cs="Arial" w:eastAsia="Arial" w:hAnsi="Arial"/>
                <w:sz w:val="20"/>
                <w:szCs w:val="20"/>
              </w:rPr>
              <w:t xml:space="preserve">Lab Advisor and co-PI. Scientific mentorship on Bayesian inference framing, experimental design for neurodivergent subgroup analysis, and co-authorship. Clinical recruitment via Royal Edinburgh Hospital and Dundee Ninewells collaborations. Can mobilise EEG and hyperscanning support through existing Edinburgh neuroscience network. PhD students working on Bayesian inference in ASD (Angeletos Chrysaitis) and computational psychiatry of anxiety (Ferrari) provide direct collaboration on neurodivergent intent-gap predictions</w:t>
            </w:r>
          </w:p>
        </w:tc>
      </w:tr>
    </w:tbl>
    <w:p>
      <w:pPr>
        <w:spacing w:after="120" w:before="360"/>
      </w:pPr>
      <w:r>
        <w:rPr>
          <w:rFonts w:ascii="Arial" w:cs="Arial" w:eastAsia="Arial" w:hAnsi="Arial"/>
          <w:b/>
          <w:bCs/>
          <w:sz w:val="22"/>
          <w:szCs w:val="22"/>
        </w:rPr>
        <w:t>5) Data Landscape</w:t>
      </w:r>
    </w:p>
    <w:p>
      <w:pPr>
        <w:spacing w:after="120"/>
      </w:pPr>
      <w:r>
        <w:rPr>
          <w:rFonts w:ascii="Arial" w:cs="Arial" w:eastAsia="Arial" w:hAnsi="Arial"/>
          <w:sz w:val="22"/>
          <w:szCs w:val="22"/>
        </w:rPr>
        <w:t xml:space="preserve">The dataset is purpose-built. Message sources: relabelled public datasets (DailyDialog, Li et al. 2017; EmpatheticDialogues, Rashkin et al. 2019), researcher-constructed stimuli, and LLM-generated examples with human review gates. Annotation is conducted via Prolific Academic with a structured dual-pass protocol (SI and PI labelled separately, blind to each other).</w:t>
      </w:r>
    </w:p>
    <w:p>
      <w:pPr>
        <w:spacing w:after="120"/>
      </w:pPr>
      <w:r>
        <w:rPr>
          <w:rFonts w:ascii="Arial" w:cs="Arial" w:eastAsia="Arial" w:hAnsi="Arial"/>
          <w:sz w:val="22"/>
          <w:szCs w:val="22"/>
        </w:rPr>
        <w:t xml:space="preserve">Study 1b adds 100 new users under informed consent, with independent raters evaluating held-out messages. Neurodivergent participants (ASD, anxiety) will be recruited through the lab advisor’s clinical collaborations at Royal Edinburgh Hospital and Dundee Ninewells Hospital, ensuring representation in the annotation and evaluation data. Personality data is local-first and encrypted (AES-256). If the EEG pilot proceeds, neural data is collected under joint ethics approval via the University of Edinburgh.</w:t>
      </w:r>
    </w:p>
    <w:p>
      <w:pPr>
        <w:spacing w:after="120" w:before="360"/>
      </w:pPr>
      <w:r>
        <w:rPr>
          <w:rFonts w:ascii="Arial" w:cs="Arial" w:eastAsia="Arial" w:hAnsi="Arial"/>
          <w:b/>
          <w:bCs/>
          <w:sz w:val="22"/>
          <w:szCs w:val="22"/>
        </w:rPr>
        <w:t>6) Data Characterisation</w:t>
      </w:r>
    </w:p>
    <w:p>
      <w:pPr>
        <w:pStyle w:val="ListParagraph"/>
        <w:numPr>
          <w:ilvl w:val="0"/>
          <w:numId w:val="3"/>
        </w:numPr>
        <w:spacing w:after="60"/>
      </w:pPr>
      <w:r>
        <w:rPr>
          <w:rFonts w:ascii="Arial" w:cs="Arial" w:eastAsia="Arial" w:hAnsi="Arial"/>
          <w:b/>
          <w:bCs/>
          <w:sz w:val="22"/>
          <w:szCs w:val="22"/>
        </w:rPr>
        <w:t xml:space="preserve">Fidelity: </w:t>
      </w:r>
      <w:r>
        <w:rPr>
          <w:rFonts w:ascii="Arial" w:cs="Arial" w:eastAsia="Arial" w:hAnsi="Arial"/>
          <w:sz w:val="22"/>
          <w:szCs w:val="22"/>
        </w:rPr>
        <w:t xml:space="preserve">5 independent annotators per message; κ &gt; 0.70 quality gate; separate κ for SI and PI; per-culture and neurodiverse-subset reliability reported.</w:t>
      </w:r>
    </w:p>
    <w:p>
      <w:pPr>
        <w:pStyle w:val="ListParagraph"/>
        <w:numPr>
          <w:ilvl w:val="0"/>
          <w:numId w:val="3"/>
        </w:numPr>
        <w:spacing w:after="60"/>
      </w:pPr>
      <w:r>
        <w:rPr>
          <w:rFonts w:ascii="Arial" w:cs="Arial" w:eastAsia="Arial" w:hAnsi="Arial"/>
          <w:b/>
          <w:bCs/>
          <w:sz w:val="22"/>
          <w:szCs w:val="22"/>
        </w:rPr>
        <w:t xml:space="preserve">Modality: </w:t>
      </w:r>
      <w:r>
        <w:rPr>
          <w:rFonts w:ascii="Arial" w:cs="Arial" w:eastAsia="Arial" w:hAnsi="Arial"/>
          <w:sz w:val="22"/>
          <w:szCs w:val="22"/>
        </w:rPr>
        <w:t xml:space="preserve">Text + structured metadata (relationship type, duration, valence) + EEG time-series (if Study 4 proceeds).</w:t>
      </w:r>
    </w:p>
    <w:p>
      <w:pPr>
        <w:pStyle w:val="ListParagraph"/>
        <w:numPr>
          <w:ilvl w:val="0"/>
          <w:numId w:val="3"/>
        </w:numPr>
        <w:spacing w:after="60"/>
      </w:pPr>
      <w:r>
        <w:rPr>
          <w:rFonts w:ascii="Arial" w:cs="Arial" w:eastAsia="Arial" w:hAnsi="Arial"/>
          <w:b/>
          <w:bCs/>
          <w:sz w:val="22"/>
          <w:szCs w:val="22"/>
        </w:rPr>
        <w:t xml:space="preserve">Volume: </w:t>
      </w:r>
      <w:r>
        <w:rPr>
          <w:rFonts w:ascii="Arial" w:cs="Arial" w:eastAsia="Arial" w:hAnsi="Arial"/>
          <w:sz w:val="22"/>
          <w:szCs w:val="22"/>
        </w:rPr>
        <w:t xml:space="preserve">2,000 messages (Study 1); ~2,800 from 100 users over 4 weeks (Study 1b); 40-message stimulus set × 24 participants × 2 sessions (Study 4).</w:t>
      </w:r>
    </w:p>
    <w:p>
      <w:pPr>
        <w:pStyle w:val="ListParagraph"/>
        <w:numPr>
          <w:ilvl w:val="0"/>
          <w:numId w:val="3"/>
        </w:numPr>
        <w:spacing w:after="60"/>
      </w:pPr>
      <w:r>
        <w:rPr>
          <w:rFonts w:ascii="Arial" w:cs="Arial" w:eastAsia="Arial" w:hAnsi="Arial"/>
          <w:b/>
          <w:bCs/>
          <w:sz w:val="22"/>
          <w:szCs w:val="22"/>
        </w:rPr>
        <w:t xml:space="preserve">Scalability: </w:t>
      </w:r>
      <w:r>
        <w:rPr>
          <w:rFonts w:ascii="Arial" w:cs="Arial" w:eastAsia="Arial" w:hAnsi="Arial"/>
          <w:sz w:val="22"/>
          <w:szCs w:val="22"/>
        </w:rPr>
        <w:t xml:space="preserve">Protocol and architecture designed for extension to 10,000+ messages with naturalistic history and multilingual expansion in Year 2.</w:t>
      </w:r>
    </w:p>
    <w:p>
      <w:pPr>
        <w:spacing w:after="120" w:before="360"/>
      </w:pPr>
      <w:r>
        <w:rPr>
          <w:rFonts w:ascii="Arial" w:cs="Arial" w:eastAsia="Arial" w:hAnsi="Arial"/>
          <w:b/>
          <w:bCs/>
          <w:sz w:val="22"/>
          <w:szCs w:val="22"/>
        </w:rPr>
        <w:t>7) Anticipated Failure Modes</w:t>
      </w:r>
    </w:p>
    <w:p>
      <w:pPr>
        <w:spacing w:after="120"/>
      </w:pPr>
      <w:r>
        <w:rPr>
          <w:rFonts w:ascii="Arial" w:cs="Arial" w:eastAsia="Arial" w:hAnsi="Arial"/>
          <w:sz w:val="22"/>
          <w:szCs w:val="22"/>
        </w:rPr>
        <w:t xml:space="preserve">The main risk is annotation failure: if annotators cannot reliably agree on sender and perceived intent (κ &lt; 0.70), the training signal is invalid. Mitigated through an early κ pilot in Month 1, two adjudication rounds, and schema redesign if needed.</w:t>
      </w:r>
    </w:p>
    <w:p>
      <w:pPr>
        <w:spacing w:after="120"/>
      </w:pPr>
      <w:r>
        <w:rPr>
          <w:rFonts w:ascii="Arial" w:cs="Arial" w:eastAsia="Arial" w:hAnsi="Arial"/>
          <w:sz w:val="22"/>
          <w:szCs w:val="22"/>
        </w:rPr>
        <w:t xml:space="preserve">A second risk is a null H₁ result — still publishable as the first rigorous test of whether dyadic context improves intent prediction at this scale.</w:t>
      </w:r>
    </w:p>
    <w:p>
      <w:pPr>
        <w:spacing w:after="120" w:before="360"/>
      </w:pPr>
      <w:r>
        <w:rPr>
          <w:rFonts w:ascii="Arial" w:cs="Arial" w:eastAsia="Arial" w:hAnsi="Arial"/>
          <w:b/>
          <w:bCs/>
          <w:sz w:val="22"/>
          <w:szCs w:val="22"/>
        </w:rPr>
        <w:t>8) Three Context Papers</w:t>
      </w:r>
    </w:p>
    <w:p>
      <w:pPr>
        <w:spacing w:after="120"/>
      </w:pPr>
      <w:r>
        <w:rPr>
          <w:rFonts w:ascii="Arial" w:cs="Arial" w:eastAsia="Arial" w:hAnsi="Arial"/>
          <w:b/>
          <w:bCs/>
          <w:sz w:val="22"/>
          <w:szCs w:val="22"/>
        </w:rPr>
        <w:t xml:space="preserve">1. LeDoux, J. E. (1996). </w:t>
      </w:r>
      <w:r>
        <w:rPr>
          <w:rFonts w:ascii="Arial" w:cs="Arial" w:eastAsia="Arial" w:hAnsi="Arial"/>
          <w:i/>
          <w:iCs/>
          <w:sz w:val="22"/>
          <w:szCs w:val="22"/>
        </w:rPr>
        <w:t xml:space="preserve">The Emotional Brain. </w:t>
      </w:r>
      <w:r>
        <w:rPr>
          <w:rFonts w:ascii="Arial" w:cs="Arial" w:eastAsia="Arial" w:hAnsi="Arial"/>
          <w:sz w:val="22"/>
          <w:szCs w:val="22"/>
        </w:rPr>
        <w:t xml:space="preserve">Simon &amp; Schuster. — Subcortical threat-tagging pathway; the neurological basis for sender-receiver divergence.</w:t>
      </w:r>
    </w:p>
    <w:p>
      <w:pPr>
        <w:spacing w:after="120"/>
      </w:pPr>
      <w:r>
        <w:rPr>
          <w:rFonts w:ascii="Arial" w:cs="Arial" w:eastAsia="Arial" w:hAnsi="Arial"/>
          <w:b/>
          <w:bCs/>
          <w:sz w:val="22"/>
          <w:szCs w:val="22"/>
        </w:rPr>
        <w:t xml:space="preserve">2. Pérez, A., Carreiras, M., &amp; Duñabeitia, J. A. (2017). </w:t>
      </w:r>
      <w:r>
        <w:rPr>
          <w:rFonts w:ascii="Arial" w:cs="Arial" w:eastAsia="Arial" w:hAnsi="Arial"/>
          <w:sz w:val="22"/>
          <w:szCs w:val="22"/>
        </w:rPr>
        <w:t xml:space="preserve">Brain-to-brain entrainment: EEG interbrain synchronization while speaking and listening. Scientific Reports, 7(1), 4190. — Theta-band inter-brain synchrony as a communication-quality correlate; the H₃ outcome measure.</w:t>
      </w:r>
    </w:p>
    <w:p>
      <w:pPr>
        <w:spacing w:after="120"/>
      </w:pPr>
      <w:r>
        <w:rPr>
          <w:rFonts w:ascii="Arial" w:cs="Arial" w:eastAsia="Arial" w:hAnsi="Arial"/>
          <w:b/>
          <w:bCs/>
          <w:sz w:val="22"/>
          <w:szCs w:val="22"/>
        </w:rPr>
        <w:t xml:space="preserve">3. Schrimpf, M., et al. (2021). </w:t>
      </w:r>
      <w:r>
        <w:rPr>
          <w:rFonts w:ascii="Arial" w:cs="Arial" w:eastAsia="Arial" w:hAnsi="Arial"/>
          <w:sz w:val="22"/>
          <w:szCs w:val="22"/>
        </w:rPr>
        <w:t xml:space="preserve">The neural architecture of language: Integrative modeling converges on predictive processing. PNAS, 118(45), e2105646118. — Brain-Score Language benchmark for neural plausibility assessment.</w:t>
      </w:r>
    </w:p>
    <w:p>
      <w:pPr>
        <w:spacing w:after="120" w:before="360"/>
      </w:pPr>
      <w:r>
        <w:rPr>
          <w:rFonts w:ascii="Arial" w:cs="Arial" w:eastAsia="Arial" w:hAnsi="Arial"/>
          <w:b/>
          <w:bCs/>
          <w:sz w:val="22"/>
          <w:szCs w:val="22"/>
        </w:rPr>
        <w:t>9) ARIA Alignment</w:t>
      </w:r>
    </w:p>
    <w:p>
      <w:pPr>
        <w:spacing w:after="120"/>
      </w:pPr>
      <w:r>
        <w:rPr>
          <w:rFonts w:ascii="Arial" w:cs="Arial" w:eastAsia="Arial" w:hAnsi="Arial"/>
          <w:sz w:val="22"/>
          <w:szCs w:val="22"/>
        </w:rPr>
        <w:t xml:space="preserve">The project advances </w:t>
      </w:r>
      <w:r>
        <w:rPr>
          <w:rFonts w:ascii="Arial" w:cs="Arial" w:eastAsia="Arial" w:hAnsi="Arial"/>
          <w:b/>
          <w:bCs/>
          <w:sz w:val="22"/>
          <w:szCs w:val="22"/>
        </w:rPr>
        <w:t xml:space="preserve">Scalable Neural Interfaces</w:t>
      </w:r>
      <w:r>
        <w:rPr>
          <w:rFonts w:ascii="Arial" w:cs="Arial" w:eastAsia="Arial" w:hAnsi="Arial"/>
          <w:sz w:val="22"/>
          <w:szCs w:val="22"/>
        </w:rPr>
        <w:t xml:space="preserve"> through computational tools that model human mentalising at scale, and points toward </w:t>
      </w:r>
      <w:r>
        <w:rPr>
          <w:rFonts w:ascii="Arial" w:cs="Arial" w:eastAsia="Arial" w:hAnsi="Arial"/>
          <w:b/>
          <w:bCs/>
          <w:sz w:val="22"/>
          <w:szCs w:val="22"/>
        </w:rPr>
        <w:t xml:space="preserve">Collective Flourishing</w:t>
      </w:r>
      <w:r>
        <w:rPr>
          <w:rFonts w:ascii="Arial" w:cs="Arial" w:eastAsia="Arial" w:hAnsi="Arial"/>
          <w:sz w:val="22"/>
          <w:szCs w:val="22"/>
        </w:rPr>
        <w:t xml:space="preserve"> through consent-based infrastructure for understanding rather than attention extraction.</w:t>
      </w:r>
    </w:p>
    <w:p>
      <w:pPr>
        <w:spacing w:after="120" w:before="360"/>
      </w:pPr>
      <w:r>
        <w:rPr>
          <w:rFonts w:ascii="Arial" w:cs="Arial" w:eastAsia="Arial" w:hAnsi="Arial"/>
          <w:b/>
          <w:bCs/>
          <w:sz w:val="22"/>
          <w:szCs w:val="22"/>
        </w:rPr>
        <w:t>10) Additional Information</w:t>
      </w:r>
    </w:p>
    <w:p>
      <w:pPr>
        <w:spacing w:after="120"/>
      </w:pPr>
      <w:r>
        <w:rPr>
          <w:rFonts w:ascii="Arial" w:cs="Arial" w:eastAsia="Arial" w:hAnsi="Arial"/>
          <w:b/>
          <w:bCs/>
          <w:sz w:val="22"/>
          <w:szCs w:val="22"/>
        </w:rPr>
        <w:t xml:space="preserve">Skills and collaborator needs: </w:t>
      </w:r>
      <w:r>
        <w:rPr>
          <w:rFonts w:ascii="Arial" w:cs="Arial" w:eastAsia="Arial" w:hAnsi="Arial"/>
          <w:sz w:val="22"/>
          <w:szCs w:val="22"/>
        </w:rPr>
        <w:t xml:space="preserve">I have built and led AI teams at scale (KDD ’24/’25), with a working prototype deployed (dyadicmentalising.streamlit.app) and production experience in NLP and ML systems. Prof Peggy Sériès (Chair in Computational Psychiatry, University of Edinburgh) has agreed to serve as Lab Advisor, bringing expertise in Bayesian inference, clinical access via Royal Edinburgh Hospital and Dundee Ninewells, and an active research group working on ASD and anxiety. Her lab can mobilise EEG and hyperscanning support through the Edinburgh neuroscience network.</w:t>
      </w:r>
    </w:p>
    <w:p>
      <w:pPr>
        <w:spacing w:after="120"/>
      </w:pPr>
      <w:r>
        <w:rPr>
          <w:rFonts w:ascii="Arial" w:cs="Arial" w:eastAsia="Arial" w:hAnsi="Arial"/>
          <w:b/>
          <w:bCs/>
          <w:sz w:val="22"/>
          <w:szCs w:val="22"/>
        </w:rPr>
        <w:t xml:space="preserve">Resource challenges: </w:t>
      </w:r>
      <w:r>
        <w:rPr>
          <w:rFonts w:ascii="Arial" w:cs="Arial" w:eastAsia="Arial" w:hAnsi="Arial"/>
          <w:sz w:val="22"/>
          <w:szCs w:val="22"/>
        </w:rPr>
        <w:t xml:space="preserve">No proprietary datasets required. Lab partnership is confirmed (Sériès, Edinburgh). Neurodivergent participant recruitment is supported through existing clinical collaborations at Royal Edinburgh Hospital and Dundee Ninewells. EEG facilities will be mobilised through the Edinburgh neuroscience network.</w:t>
      </w:r>
    </w:p>
    <w:p>
      <w:pPr>
        <w:spacing w:after="120" w:before="360"/>
      </w:pPr>
      <w:r>
        <w:rPr>
          <w:rFonts w:ascii="Arial" w:cs="Arial" w:eastAsia="Arial" w:hAnsi="Arial"/>
          <w:b/>
          <w:bCs/>
          <w:sz w:val="22"/>
          <w:szCs w:val="22"/>
        </w:rPr>
        <w:t xml:space="preserve">Open-source Opt-in</w:t>
      </w:r>
    </w:p>
    <w:p>
      <w:pPr>
        <w:spacing w:after="120"/>
      </w:pPr>
      <w:r>
        <w:rPr>
          <w:rFonts w:ascii="Arial" w:cs="Arial" w:eastAsia="Arial" w:hAnsi="Arial"/>
          <w:sz w:val="22"/>
          <w:szCs w:val="22"/>
        </w:rPr>
        <w:t xml:space="preserve">Yes — include in the R&amp;D Gap Map and list as a point of contact for AI researchers interested in computational models of communicative intent.</w:t>
      </w:r>
    </w:p>
    <w:p>
      <w:pPr>
        <w:spacing w:before="480"/>
      </w:pPr>
      <w:r>
        <w:rPr>
          <w:rFonts w:ascii="Arial" w:cs="Arial" w:eastAsia="Arial" w:hAnsi="Arial"/>
          <w:b/>
          <w:bCs/>
          <w:sz w:val="22"/>
          <w:szCs w:val="22"/>
        </w:rPr>
        <w:t xml:space="preserve">Deadline: </w:t>
      </w:r>
      <w:r>
        <w:rPr>
          <w:rFonts w:ascii="Arial" w:cs="Arial" w:eastAsia="Arial" w:hAnsi="Arial"/>
          <w:sz w:val="22"/>
          <w:szCs w:val="22"/>
        </w:rPr>
        <w:t xml:space="preserve">Fellow applications close on 28th March, 2026.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2026-03-23T11:30:27.818Z</dcterms:created>
  <dcterms:modified xsi:type="dcterms:W3CDTF">2026-03-23T11:30:27.819Z</dcterms:modified>
</cp:coreProperties>
</file>

<file path=docProps/custom.xml><?xml version="1.0" encoding="utf-8"?>
<Properties xmlns="http://schemas.openxmlformats.org/officeDocument/2006/custom-properties" xmlns:vt="http://schemas.openxmlformats.org/officeDocument/2006/docPropsVTypes"/>
</file>