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</w:pPr>
      <w:r>
        <w:rPr>
          <w:rFonts w:ascii="Arial" w:cs="Arial" w:eastAsia="Arial" w:hAnsi="Arial"/>
          <w:b/>
          <w:bCs/>
          <w:color w:val="FF4F1F"/>
          <w:sz w:val="28"/>
          <w:szCs w:val="28"/>
        </w:rPr>
        <w:t xml:space="preserve">Encode: AI for Science Fellowship – Fellow Proposal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Name: </w:t>
      </w:r>
      <w:r>
        <w:rPr>
          <w:rFonts w:ascii="Arial" w:cs="Arial" w:eastAsia="Arial" w:hAnsi="Arial"/>
          <w:sz w:val="22"/>
          <w:szCs w:val="22"/>
        </w:rPr>
        <w:t xml:space="preserve">Snehal Nair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Institution: </w:t>
      </w:r>
      <w:r>
        <w:rPr>
          <w:rFonts w:ascii="Arial" w:cs="Arial" w:eastAsia="Arial" w:hAnsi="Arial"/>
          <w:sz w:val="22"/>
          <w:szCs w:val="22"/>
        </w:rPr>
        <w:t xml:space="preserve">University of Edinburgh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Please describe your proposed work.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1)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Problem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Ambiguous emotional stimuli are threat-tagged via subcortical processing (LeDoux, 1996) before higher-order language and mentalising systems resolve intent. In digital text — where prosody, facial expression, and physical context are absent — this timing asymmetry makes misunderstanding especially likely.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our knowledge, no published NLP system models intent as a dyadic phenomenon conditioned on relational history. Sentiment classifiers measure tone; emotion recognition systems measure affective expression. Neither asks what a person most likely meant, given who they are and who they are talking to. The same message can carry a different intent distribution depending on relationship type, history, and context. The central question is whether conditioning on dyadic context and providing closed-loop feedback measurably improves intent prediction and reduces miscommunication.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our knowledge, the following gaps remain open in the pragmatics, social NLP, and affective computing literature as of March 2026: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published dataset conditions intent annotation on dyadic relational history with dual sender/receiver labels and reliability validation.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language model has been trained to predict receiver-parsed intent conditioned on dyadic relational context.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empirical study has tested whether closed-loop intent feedback changes behavioural or neural markers of mentalising.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structured personality instrument has been tested as an independent conditioning signal for cold-start intent prediction.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2)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Solution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core instrument is a RoBERTa-large model (355M parameters; Liu et al., 2019) fine-tuned for intent classification with two conditioning signals: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16-dimensional dyadic relational context vector</w:t>
      </w:r>
      <w:r>
        <w:rPr>
          <w:rFonts w:ascii="Arial" w:cs="Arial" w:eastAsia="Arial" w:hAnsi="Arial"/>
          <w:sz w:val="22"/>
          <w:szCs w:val="22"/>
        </w:rPr>
        <w:t xml:space="preserve">, encoding relationship type, duration, recent valence, message frequency, and rolling intent-gap history, concatenated to the [CLS] token before the classification head.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personality context block</w:t>
      </w:r>
      <w:r>
        <w:rPr>
          <w:rFonts w:ascii="Arial" w:cs="Arial" w:eastAsia="Arial" w:hAnsi="Arial"/>
          <w:sz w:val="22"/>
          <w:szCs w:val="22"/>
        </w:rPr>
        <w:t xml:space="preserve">, derived from an 8-question biographical intake instrument across identity values, decision architecture, and narrative stories, prepended at inference time.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model outputs a probability distribution over seven intent categories (seeking connection, expressing concern, setting boundary, seeking validation, expressing frustration, making request, giving information), predicted from both sender and receiver perspectives. The project creates a purpose-built 2,000-message dataset with dual sender-intent (SI) and perceived-intent (PI) labels, five annotators per message, across five relationship types (romantic partners, parent-child, close friends, community/social, professional). Divergence between these distributions is quantified as Jensen-Shannon divergence — symmetric, bounded [0, 1], and well-suited for comparing two probability distributions over the same label space.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browser extension surfaces the model’s predicted intent in the pause between reading a message and replying, providing an alternative interpretation before the receiver forms a response.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Validation proceeds across four levels: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Computational (H₁): </w:t>
      </w:r>
      <w:r>
        <w:rPr>
          <w:rFonts w:ascii="Arial" w:cs="Arial" w:eastAsia="Arial" w:hAnsi="Arial"/>
          <w:sz w:val="22"/>
          <w:szCs w:val="22"/>
        </w:rPr>
        <w:t xml:space="preserve">Relational context improves intent prediction over a message-only baseline (ablation, paired t-test, d ≥ 0.3).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Cold-start ablation (H₄): </w:t>
      </w:r>
      <w:r>
        <w:rPr>
          <w:rFonts w:ascii="Arial" w:cs="Arial" w:eastAsia="Arial" w:hAnsi="Arial"/>
          <w:sz w:val="22"/>
          <w:szCs w:val="22"/>
        </w:rPr>
        <w:t xml:space="preserve">Personality context improves Day 1 accuracy before dyadic history accumulates (100 users randomised 1:1).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Behavioural (H₂): </w:t>
      </w:r>
      <w:r>
        <w:rPr>
          <w:rFonts w:ascii="Arial" w:cs="Arial" w:eastAsia="Arial" w:hAnsi="Arial"/>
          <w:sz w:val="22"/>
          <w:szCs w:val="22"/>
        </w:rPr>
        <w:t xml:space="preserve">60-day feedback reduces divergence scores (within-subjects pre/post, Wilcoxon signed-rank).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Neural (H₃, stretch): </w:t>
      </w:r>
      <w:r>
        <w:rPr>
          <w:rFonts w:ascii="Arial" w:cs="Arial" w:eastAsia="Arial" w:hAnsi="Arial"/>
          <w:sz w:val="22"/>
          <w:szCs w:val="22"/>
        </w:rPr>
        <w:t xml:space="preserve">60-day feedback increases theta-band inter-brain synchrony (EEG hyperscanning, N=20–24, pre/post).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level is independently publishable; null results are pre-registered. A secondary prediction: if sender-receiver divergence arises from asymmetry between subcortical threat-tagging and cortical mentalising, it should be elevated in neurodivergent dyads — tested via stratified analysis.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3)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Translation Opportunity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scientific contribution is a new measurement construct — the divergence between sender-intent and perceived-intent distributions — and a new conditioning signal: dyadic relational context. The open-source dataset and trained model (HuggingFace, Apache 2.0) will support follow-on research in pragmatic inference, social cognition, and human-AI communication. Longer-term translation may include consent-gated relational tools, but that is explicitly downstream of the scientific validation.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ARIA alignment: </w:t>
      </w:r>
      <w:r>
        <w:rPr>
          <w:rFonts w:ascii="Arial" w:cs="Arial" w:eastAsia="Arial" w:hAnsi="Arial"/>
          <w:sz w:val="22"/>
          <w:szCs w:val="22"/>
        </w:rPr>
        <w:t xml:space="preserve">the project advances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Scalable Neural Interfaces</w:t>
      </w:r>
      <w:r>
        <w:rPr>
          <w:rFonts w:ascii="Arial" w:cs="Arial" w:eastAsia="Arial" w:hAnsi="Arial"/>
          <w:sz w:val="22"/>
          <w:szCs w:val="22"/>
        </w:rPr>
        <w:t xml:space="preserve"> through computational tools that model human mentalising, and points toward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Collective Flourishing</w:t>
      </w:r>
      <w:r>
        <w:rPr>
          <w:rFonts w:ascii="Arial" w:cs="Arial" w:eastAsia="Arial" w:hAnsi="Arial"/>
          <w:sz w:val="22"/>
          <w:szCs w:val="22"/>
        </w:rPr>
        <w:t xml:space="preserve"> by making understanding measurable rather than extractive.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Goals / Milestones / Resources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26"/>
        <w:gridCol w:w="2800"/>
      </w:tblGrid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C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Goals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br/>
              <w:t xml:space="preserve">
(What success is)</w:t>
            </w:r>
          </w:p>
        </w:tc>
        <w:tc>
          <w:tcPr>
            <w:tcW w:type="dxa" w:w="38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C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Milestones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br/>
              <w:t xml:space="preserve">
(3 mo, 6 mo, 1 yr)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C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Resources Needed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br/>
              <w:t xml:space="preserve">
(e.g., data, compute, lab)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Validated dataset with dual SI/PI labels and κ &gt; 0.70</w:t>
            </w:r>
          </w:p>
        </w:tc>
        <w:tc>
          <w:tcPr>
            <w:tcW w:type="dxa" w:w="38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 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Complete κ pilot; annotate 2,000 messages; publish on HuggingFace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Fellowship compute; Prolific annotator budget (~£5–7K); annotation tooling (built by fellow)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Intent-conditioned model with H₁ tested</w:t>
            </w:r>
          </w:p>
        </w:tc>
        <w:tc>
          <w:tcPr>
            <w:tcW w:type="dxa" w:w="38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 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Fine-tune RoBERTa-large across 4 ablation conditions; test H₁; release model; submit Paper #1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compute (3 runs × 4 conditions × 5 epochs)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Cold-start ablation H₄ tested</w:t>
            </w:r>
          </w:p>
        </w:tc>
        <w:tc>
          <w:tcPr>
            <w:tcW w:type="dxa" w:w="38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 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Complete Study 1b (N=100);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 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Complete H₄ analysis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Ethics approval (Mo 1–3); Prolific recruitment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Peer-reviewed paper submitted</w:t>
            </w:r>
          </w:p>
        </w:tc>
        <w:tc>
          <w:tcPr>
            <w:tcW w:type="dxa" w:w="38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 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Paper submitted to ACL, EMNLP, or CHI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SHOULD: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60-day EEG pilot (H₂/H₃)</w:t>
            </w:r>
          </w:p>
        </w:tc>
        <w:tc>
          <w:tcPr>
            <w:tcW w:type="dxa" w:w="38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 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Begin pilot;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 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Day 60 complete;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 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Analyse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 partner: 64-ch EEG, hyperscanning paradigm, ethics umbrella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SHOULD: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Brain-Score validation</w:t>
            </w:r>
          </w:p>
        </w:tc>
        <w:tc>
          <w:tcPr>
            <w:tcW w:type="dxa" w:w="38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 mo: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Submit to MIT Brain-Score Language benchmark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 weeks engineering post-training</w:t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People Involved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3"/>
        <w:gridCol w:w="4513"/>
      </w:tblGrid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C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2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C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Institution</w:t>
            </w:r>
          </w:p>
        </w:tc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C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Involvement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Snehal Nair</w:t>
            </w:r>
          </w:p>
        </w:tc>
        <w:tc>
          <w:tcPr>
            <w:tcW w:type="dxa" w:w="2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University of Edinburgh (Independent AI Researcher)</w:t>
            </w:r>
          </w:p>
        </w:tc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Fellow — dataset pipeline, model training, annotation tooling, biographical intake instrument, browser extension, analysis code, reproducibility infrastructure (DVC, HuggingFace Hub, OpenNeuro)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 Partner (TBC)</w:t>
            </w:r>
          </w:p>
        </w:tc>
        <w:tc>
          <w:tcPr>
            <w:tcW w:type="dxa" w:w="2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Outreach active: UCL FIL, MRC CBU Cambridge, University of Nottingham</w:t>
            </w:r>
          </w:p>
        </w:tc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EEG equipment and lab space, existing hyperscanning paradigm, ethics/IRB umbrella, PI co-authorship. MUST deliverables do not depend on lab partner confirmation</w:t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5)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Data Landscape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dataset is purpose-built. Message sources: relabelled public datasets (DailyDialog, Li et al. 2017; EmpatheticDialogues, Rashkin et al. 2019), researcher-constructed stimuli, and LLM-generated examples with human review gates. Annotation is conducted via Prolific Academic with a structured dual-pass protocol (SI and PI labelled separately, blind to each other).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Study 1b adds 100 new users under informed consent, with independent raters evaluating held-out messages. Personality data is local-first and encrypted (AES-256). If the EEG pilot proceeds, neural data is collected under joint ethics approval at the lab partner facility.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6)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Data Characterisation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Fidelity: </w:t>
      </w:r>
      <w:r>
        <w:rPr>
          <w:rFonts w:ascii="Arial" w:cs="Arial" w:eastAsia="Arial" w:hAnsi="Arial"/>
          <w:sz w:val="22"/>
          <w:szCs w:val="22"/>
        </w:rPr>
        <w:t xml:space="preserve">5 independent annotators per message; κ &gt; 0.70 quality gate; separate κ for SI and PI; per-culture and neurodiverse-subset reliability reported.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Modality: </w:t>
      </w:r>
      <w:r>
        <w:rPr>
          <w:rFonts w:ascii="Arial" w:cs="Arial" w:eastAsia="Arial" w:hAnsi="Arial"/>
          <w:sz w:val="22"/>
          <w:szCs w:val="22"/>
        </w:rPr>
        <w:t xml:space="preserve">Text + structured metadata (relationship type, duration, valence) + EEG time-series (if Study 4 proceeds).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Volume: </w:t>
      </w:r>
      <w:r>
        <w:rPr>
          <w:rFonts w:ascii="Arial" w:cs="Arial" w:eastAsia="Arial" w:hAnsi="Arial"/>
          <w:sz w:val="22"/>
          <w:szCs w:val="22"/>
        </w:rPr>
        <w:t xml:space="preserve">2,000 messages (Study 1); ~2,800 from 100 users over 4 weeks (Study 1b); 40-message stimulus set × 24 participants × 2 sessions (Study 4).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Scalability: </w:t>
      </w:r>
      <w:r>
        <w:rPr>
          <w:rFonts w:ascii="Arial" w:cs="Arial" w:eastAsia="Arial" w:hAnsi="Arial"/>
          <w:sz w:val="22"/>
          <w:szCs w:val="22"/>
        </w:rPr>
        <w:t xml:space="preserve">Protocol and architecture designed for extension to 10,000+ messages with naturalistic history and multilingual expansion in Year 2.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7)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Anticipated Failure Modes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main risk is annotation failure: if annotators cannot reliably agree on sender and perceived intent (κ &lt; 0.70), the training signal is invalid. Mitigated through an early κ pilot in Month 1, two adjudication rounds, and schema redesign if needed.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second risk is a null H₁ result — still publishable as the first rigorous test of whether dyadic context improves intent prediction at this scale.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8)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Three Context Papers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LeDoux, J. E. (1996).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Emotional Brain. </w:t>
      </w:r>
      <w:r>
        <w:rPr>
          <w:rFonts w:ascii="Arial" w:cs="Arial" w:eastAsia="Arial" w:hAnsi="Arial"/>
          <w:sz w:val="22"/>
          <w:szCs w:val="22"/>
        </w:rPr>
        <w:t xml:space="preserve">Simon &amp; Schuster. — Subcortical threat-tagging pathway; the neurological basis for sender-receiver divergence.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Pérez, A., Carreiras, M., &amp; Duñabeitia, J. A. (2017). </w:t>
      </w:r>
      <w:r>
        <w:rPr>
          <w:rFonts w:ascii="Arial" w:cs="Arial" w:eastAsia="Arial" w:hAnsi="Arial"/>
          <w:sz w:val="22"/>
          <w:szCs w:val="22"/>
        </w:rPr>
        <w:t xml:space="preserve">Brain-to-brain entrainment: EEG interbrain synchronization while speaking and listening. Scientific Reports, 7(1), 4190. — Theta-band inter-brain synchrony as a communication-quality correlate; the H₃ outcome measure.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Schrimpf, M., et al. (2021). </w:t>
      </w:r>
      <w:r>
        <w:rPr>
          <w:rFonts w:ascii="Arial" w:cs="Arial" w:eastAsia="Arial" w:hAnsi="Arial"/>
          <w:sz w:val="22"/>
          <w:szCs w:val="22"/>
        </w:rPr>
        <w:t xml:space="preserve">The neural architecture of language: Integrative modeling converges on predictive processing. PNAS, 118(45), e2105646118. — Brain-Score Language benchmark for neural plausibility assessment.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9)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ARIA Alignment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project advances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Scalable Neural Interfaces</w:t>
      </w:r>
      <w:r>
        <w:rPr>
          <w:rFonts w:ascii="Arial" w:cs="Arial" w:eastAsia="Arial" w:hAnsi="Arial"/>
          <w:sz w:val="22"/>
          <w:szCs w:val="22"/>
        </w:rPr>
        <w:t xml:space="preserve"> through computational tools that model human mentalising at scale, and points toward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Collective Flourishing</w:t>
      </w:r>
      <w:r>
        <w:rPr>
          <w:rFonts w:ascii="Arial" w:cs="Arial" w:eastAsia="Arial" w:hAnsi="Arial"/>
          <w:sz w:val="22"/>
          <w:szCs w:val="22"/>
        </w:rPr>
        <w:t xml:space="preserve"> through consent-based infrastructure for understanding rather than attention extraction.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10)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Additional Information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Skills and collaborator needs: </w:t>
      </w:r>
      <w:r>
        <w:rPr>
          <w:rFonts w:ascii="Arial" w:cs="Arial" w:eastAsia="Arial" w:hAnsi="Arial"/>
          <w:sz w:val="22"/>
          <w:szCs w:val="22"/>
        </w:rPr>
        <w:t xml:space="preserve">I have built and led AI teams at scale (KDD ’24/’25), with a working prototype deployed (dyadicmentalising.streamlit.app) and production experience in NLP and ML systems. The EEG component requires a neuroscience lab partner with an existing hyperscanning paradigm, ethics infrastructure, and theta-band IBS analysis pipeline. MUST-tier deliverables are executable independently; the SHOULD tier is contingent on this partnership.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Resource challenges: </w:t>
      </w:r>
      <w:r>
        <w:rPr>
          <w:rFonts w:ascii="Arial" w:cs="Arial" w:eastAsia="Arial" w:hAnsi="Arial"/>
          <w:sz w:val="22"/>
          <w:szCs w:val="22"/>
        </w:rPr>
        <w:t xml:space="preserve">No proprietary datasets required. The primary dependency is lab partner confirmation. Outreach is active (UCL FIL, MRC CBU Cambridge, Nottingham). If not confirmed by Month 3, EEG defers to Year 2 with no impact on core deliverables.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Open-source Opt-in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Yes — include in the R&amp;D Gap Map and list as a point of contact for AI researchers interested in computational models of communicative intent.</w:t>
      </w:r>
    </w:p>
    <w:p>
      <w:pPr>
        <w:spacing w:before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Deadline: </w:t>
      </w:r>
      <w:r>
        <w:rPr>
          <w:rFonts w:ascii="Arial" w:cs="Arial" w:eastAsia="Arial" w:hAnsi="Arial"/>
          <w:sz w:val="22"/>
          <w:szCs w:val="22"/>
        </w:rPr>
        <w:t xml:space="preserve">Fellow applications close on 28th March, 2026.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2026-03-23T11:30:27.818Z</dcterms:created>
  <dcterms:modified xsi:type="dcterms:W3CDTF">2026-03-23T11:30:27.819Z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