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DisputeDesk — Transaction Dispute &amp; Fraud Policy</w:t>
      </w:r>
    </w:p>
    <w:p>
      <w:r>
        <w:rPr>
          <w:i/>
          <w:iCs/>
          <w:sz w:val="20"/>
          <w:szCs w:val="20"/>
        </w:rPr>
        <w:t xml:space="preserve">Internal Reference Document · Version 1.0 · Effective Date: 04 Sep 2026</w:t>
      </w:r>
    </w:p>
    <w:p/>
    <w:p>
      <w:pPr>
        <w:pStyle w:val="Heading1"/>
      </w:pPr>
      <w:r>
        <w:t xml:space="preserve">1. Purpose</w:t>
      </w:r>
    </w:p>
    <w:p>
      <w:r>
        <w:t xml:space="preserve">This document defines the rules the DisputeDesk system applies when a customer reports a mistaken transfer, and the fraud checks applied before any refund, notification, or account action is taken.</w:t>
      </w:r>
    </w:p>
    <w:p>
      <w:pPr>
        <w:pStyle w:val="Heading1"/>
      </w:pPr>
      <w:r>
        <w:t xml:space="preserve">2. Scope</w:t>
      </w:r>
    </w:p>
    <w:p>
      <w:r>
        <w:t xml:space="preserve">Applies to all peer-to-peer UPI/bank transfers disputed by a customer (Person A) who claims funds were sent to the wrong recipient (Person B) instead of the intended recipient (Person C).</w:t>
      </w:r>
    </w:p>
    <w:p>
      <w:pPr>
        <w:pStyle w:val="Heading1"/>
      </w:pPr>
      <w:r>
        <w:t xml:space="preserve">3. Refund Eligibility Rules</w:t>
      </w:r>
    </w:p>
    <w:p>
      <w:r>
        <w:t xml:space="preserve">A dispute is eligible for refund processing only if ALL of the following are true:</w:t>
      </w:r>
    </w:p>
    <w:p>
      <w:pPr>
        <w:pStyle w:val="ListParagraph"/>
        <w:numPr>
          <w:ilvl w:val="0"/>
          <w:numId w:val="2"/>
        </w:numPr>
      </w:pPr>
      <w:r>
        <w:t xml:space="preserve">The transaction ID, amount, date, and both account numbers on the customer's receipt match bank records exactly.</w:t>
      </w:r>
    </w:p>
    <w:p>
      <w:pPr>
        <w:pStyle w:val="ListParagraph"/>
        <w:numPr>
          <w:ilvl w:val="0"/>
          <w:numId w:val="2"/>
        </w:numPr>
      </w:pPr>
      <w:r>
        <w:t xml:space="preserve">The complaint is raised within 15 calendar days of the transaction date (the Refund Window).</w:t>
      </w:r>
    </w:p>
    <w:p>
      <w:pPr>
        <w:pStyle w:val="ListParagraph"/>
        <w:numPr>
          <w:ilvl w:val="0"/>
          <w:numId w:val="2"/>
        </w:numPr>
      </w:pPr>
      <w:r>
        <w:t xml:space="preserve">The transaction is not flagged under the Fraud Indicator Rules (Section 4).</w:t>
      </w:r>
    </w:p>
    <w:p>
      <w:pPr>
        <w:pStyle w:val="ListParagraph"/>
        <w:numPr>
          <w:ilvl w:val="0"/>
          <w:numId w:val="2"/>
        </w:numPr>
      </w:pPr>
      <w:r>
        <w:t xml:space="preserve">At least one supporting policy clause is retrieved confirming the transaction type is refund-eligible.</w:t>
      </w:r>
    </w:p>
    <w:p/>
    <w:p>
      <w:pPr>
        <w:pStyle w:val="Heading1"/>
      </w:pPr>
      <w:r>
        <w:t xml:space="preserve">4. Fraud Indicator Rules</w:t>
      </w:r>
    </w:p>
    <w:p>
      <w:r>
        <w:t xml:space="preserve">A transaction is flagged for mandatory human review if any of the following apply:</w:t>
      </w:r>
    </w:p>
    <w:p>
      <w:pPr>
        <w:pStyle w:val="ListParagraph"/>
        <w:numPr>
          <w:ilvl w:val="0"/>
          <w:numId w:val="2"/>
        </w:numPr>
      </w:pPr>
      <w:r>
        <w:t xml:space="preserve">Transaction amount exceeds ₹1,00,000 (Large Value Threshold).</w:t>
      </w:r>
    </w:p>
    <w:p>
      <w:pPr>
        <w:pStyle w:val="ListParagraph"/>
        <w:numPr>
          <w:ilvl w:val="0"/>
          <w:numId w:val="2"/>
        </w:numPr>
      </w:pPr>
      <w:r>
        <w:t xml:space="preserve">The receiving account has been the subject of 3 or more disputes in the last 90 days.</w:t>
      </w:r>
    </w:p>
    <w:p>
      <w:pPr>
        <w:pStyle w:val="ListParagraph"/>
        <w:numPr>
          <w:ilvl w:val="0"/>
          <w:numId w:val="2"/>
        </w:numPr>
      </w:pPr>
      <w:r>
        <w:t xml:space="preserve">The sender has raised more than 5 mistaken-transfer disputes in the last 30 days.</w:t>
      </w:r>
    </w:p>
    <w:p>
      <w:pPr>
        <w:pStyle w:val="ListParagraph"/>
        <w:numPr>
          <w:ilvl w:val="0"/>
          <w:numId w:val="2"/>
        </w:numPr>
      </w:pPr>
      <w:r>
        <w:t xml:space="preserve">The receiving account was opened fewer than 7 days before the disputed transaction.</w:t>
      </w:r>
    </w:p>
    <w:p/>
    <w:p>
      <w:pPr>
        <w:pStyle w:val="Heading1"/>
      </w:pPr>
      <w:r>
        <w:t xml:space="preserve">5. Time Window Rules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D9E2F3" w:val="clear"/>
          </w:tcPr>
          <w:p>
            <w:r>
              <w:rPr>
                <w:b/>
                <w:bCs/>
              </w:rPr>
              <w:t xml:space="preserve">Condition</w:t>
            </w:r>
          </w:p>
        </w:tc>
        <w:tc>
          <w:tcPr>
            <w:tcW w:type="dxa" w:w="4675"/>
            <w:shd w:fill="D9E2F3" w:val="clear"/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4675"/>
          </w:tcPr>
          <w:p>
            <w:r>
              <w:t xml:space="preserve">Within 15 days of transaction</w:t>
            </w:r>
          </w:p>
        </w:tc>
        <w:tc>
          <w:tcPr>
            <w:tcW w:type="dxa" w:w="4675"/>
          </w:tcPr>
          <w:p>
            <w:r>
              <w:t xml:space="preserve">Eligible for standard refund workflow</w:t>
            </w:r>
          </w:p>
        </w:tc>
      </w:tr>
      <w:tr>
        <w:tc>
          <w:tcPr>
            <w:tcW w:type="dxa" w:w="4675"/>
          </w:tcPr>
          <w:p>
            <w:r>
              <w:t xml:space="preserve">15-30 days</w:t>
            </w:r>
          </w:p>
        </w:tc>
        <w:tc>
          <w:tcPr>
            <w:tcW w:type="dxa" w:w="4675"/>
          </w:tcPr>
          <w:p>
            <w:r>
              <w:t xml:space="preserve">Requires manual officer approval regardless of other checks</w:t>
            </w:r>
          </w:p>
        </w:tc>
      </w:tr>
      <w:tr>
        <w:tc>
          <w:tcPr>
            <w:tcW w:type="dxa" w:w="4675"/>
          </w:tcPr>
          <w:p>
            <w:r>
              <w:t xml:space="preserve">Beyond 30 days</w:t>
            </w:r>
          </w:p>
        </w:tc>
        <w:tc>
          <w:tcPr>
            <w:tcW w:type="dxa" w:w="4675"/>
          </w:tcPr>
          <w:p>
            <w:r>
              <w:t xml:space="preserve">Not eligible; customer directed to file a formal grievance</w:t>
            </w:r>
          </w:p>
        </w:tc>
      </w:tr>
    </w:tbl>
    <w:p/>
    <w:p>
      <w:pPr>
        <w:pStyle w:val="Heading1"/>
      </w:pPr>
      <w:r>
        <w:t xml:space="preserve">6. Receiver Response Workflow</w:t>
      </w:r>
    </w:p>
    <w:p>
      <w:pPr>
        <w:pStyle w:val="ListParagraph"/>
        <w:numPr>
          <w:ilvl w:val="0"/>
          <w:numId w:val="2"/>
        </w:numPr>
      </w:pPr>
      <w:r>
        <w:t xml:space="preserve">Once a dispute is verified and eligible, the receiver (Person B) is notified and given 7 days to voluntarily return the funds.</w:t>
      </w:r>
    </w:p>
    <w:p>
      <w:pPr>
        <w:pStyle w:val="ListParagraph"/>
        <w:numPr>
          <w:ilvl w:val="0"/>
          <w:numId w:val="2"/>
        </w:numPr>
      </w:pPr>
      <w:r>
        <w:t xml:space="preserve">If funds are returned within 7 days, the case is marked Resolved and closed.</w:t>
      </w:r>
    </w:p>
    <w:p>
      <w:pPr>
        <w:pStyle w:val="ListParagraph"/>
        <w:numPr>
          <w:ilvl w:val="0"/>
          <w:numId w:val="2"/>
        </w:numPr>
      </w:pPr>
      <w:r>
        <w:t xml:space="preserve">If there is no response or refund within 7 days, the case is escalated to Bank Action (Section 7).</w:t>
      </w:r>
    </w:p>
    <w:p/>
    <w:p>
      <w:pPr>
        <w:pStyle w:val="Heading1"/>
      </w:pPr>
      <w:r>
        <w:t xml:space="preserve">7. Escalation &amp; Bank Action</w:t>
      </w:r>
    </w:p>
    <w:p>
      <w:pPr>
        <w:pStyle w:val="ListParagraph"/>
        <w:numPr>
          <w:ilvl w:val="0"/>
          <w:numId w:val="2"/>
        </w:numPr>
      </w:pPr>
      <w:r>
        <w:t xml:space="preserve">A final notice is sent to the receiver warning of account action.</w:t>
      </w:r>
    </w:p>
    <w:p>
      <w:pPr>
        <w:pStyle w:val="ListParagraph"/>
        <w:numPr>
          <w:ilvl w:val="0"/>
          <w:numId w:val="2"/>
        </w:numPr>
      </w:pPr>
      <w:r>
        <w:t xml:space="preserve">The receiver's account may be frozen pending resolution, where permitted by regulation.</w:t>
      </w:r>
    </w:p>
    <w:p>
      <w:pPr>
        <w:pStyle w:val="ListParagraph"/>
        <w:numPr>
          <w:ilvl w:val="0"/>
          <w:numId w:val="2"/>
        </w:numPr>
      </w:pPr>
      <w:r>
        <w:t xml:space="preserve">If permitted, the disputed amount is deducted from the receiver's account and refunded to the sender directly by the bank.</w:t>
      </w:r>
    </w:p>
    <w:p>
      <w:pPr>
        <w:pStyle w:val="ListParagraph"/>
        <w:numPr>
          <w:ilvl w:val="0"/>
          <w:numId w:val="2"/>
        </w:numPr>
      </w:pPr>
      <w:r>
        <w:t xml:space="preserve">All escalation actions require officer sign-off and are logged for audit.</w:t>
      </w:r>
    </w:p>
    <w:p/>
    <w:p>
      <w:pPr>
        <w:pStyle w:val="Heading1"/>
      </w:pPr>
      <w:r>
        <w:t xml:space="preserve">8. Human-in-the-Loop Requirements</w:t>
      </w:r>
    </w:p>
    <w:p>
      <w:r>
        <w:t xml:space="preserve">Every case flagged under Section 4 (Fraud Indicators) must be reviewed by a bank officer before any refund, notification, or account action is executed. The officer may Approve, Reject, or Request More Information. No automated action bypasses this checkpoint for flagged cases.</w:t>
      </w:r>
    </w:p>
    <w:p/>
    <w:p>
      <w:pPr>
        <w:pStyle w:val="Heading1"/>
      </w:pPr>
      <w:r>
        <w:t xml:space="preserve">9. Data &amp; Audit Requirements</w:t>
      </w:r>
    </w:p>
    <w:p>
      <w:r>
        <w:t xml:space="preserve">Every decision made by the system (approve, reject, escalate, notify) must be logged with a timestamp, the policy clause(s) it relied on, and the officer ID if human review occurred. Logs are retained for a minimum of 3 years.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2026-09-04T11:51:33.496Z</dcterms:created>
  <dcterms:modified xsi:type="dcterms:W3CDTF">2026-09-04T11:51:33.511Z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