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0F7B63"/>
          <w:sz w:val="21"/>
        </w:rPr>
        <w:t>ASSIGNMENT 1 | FINAL IMPLEMENTATION GUIDE</w:t>
      </w:r>
    </w:p>
    <w:p>
      <w:pPr>
        <w:spacing w:before="360" w:after="180"/>
        <w:jc w:val="center"/>
      </w:pPr>
      <w:r>
        <w:rPr>
          <w:rFonts w:ascii="Calibri" w:hAnsi="Calibri"/>
          <w:b/>
          <w:color w:val="0B2B24"/>
          <w:sz w:val="64"/>
        </w:rPr>
        <w:t>JalDrishti</w:t>
      </w:r>
    </w:p>
    <w:p>
      <w:pPr>
        <w:spacing w:after="160"/>
        <w:jc w:val="center"/>
      </w:pPr>
      <w:r>
        <w:rPr>
          <w:rFonts w:ascii="Calibri" w:hAnsi="Calibri"/>
          <w:b/>
          <w:color w:val="0B5C4B"/>
          <w:sz w:val="36"/>
        </w:rPr>
        <w:t>AI-based Village Pond Planning System</w:t>
      </w:r>
    </w:p>
    <w:p>
      <w:pPr>
        <w:spacing w:after="600"/>
        <w:jc w:val="center"/>
      </w:pPr>
      <w:r>
        <w:rPr>
          <w:rFonts w:ascii="Calibri" w:hAnsi="Calibri"/>
          <w:i/>
          <w:color w:val="55756D"/>
          <w:sz w:val="23"/>
        </w:rPr>
        <w:t>Complete design, implementation, algorithms, testing, deployment, and viva reference</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DDF8EE"/>
          </w:tcPr>
          <w:p>
            <w:pPr>
              <w:spacing w:after="60"/>
            </w:pPr>
            <w:r/>
            <w:r>
              <w:rPr>
                <w:rFonts w:ascii="Calibri" w:hAnsi="Calibri"/>
                <w:b/>
                <w:color w:val="0F7B63"/>
                <w:sz w:val="21"/>
              </w:rPr>
              <w:t>DOCUMENT PURPOSE</w:t>
            </w:r>
          </w:p>
          <w:p>
            <w:pPr>
              <w:spacing w:after="0"/>
            </w:pPr>
            <w:r>
              <w:rPr>
                <w:rFonts w:ascii="Calibri" w:hAnsi="Calibri"/>
                <w:b w:val="0"/>
                <w:i w:val="0"/>
                <w:color w:val="0B2B24"/>
                <w:sz w:val="20"/>
              </w:rPr>
              <w:t>A beginner-friendly but technically complete explanation of how the application turns contour or live geospatial evidence into ranked pond-screening options. It documents the deployed release and its limits; it is not a construction drawing or excavation approval.</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center"/>
            <w:shd w:fill="DDF8EE"/>
          </w:tcPr>
          <w:p>
            <w:pPr>
              <w:spacing w:after="0"/>
            </w:pPr>
            <w:r/>
            <w:r>
              <w:rPr>
                <w:rFonts w:ascii="Calibri" w:hAnsi="Calibri"/>
                <w:b/>
                <w:color w:val="0B2B24"/>
                <w:sz w:val="18"/>
              </w:rPr>
              <w:t>Document field</w:t>
            </w:r>
          </w:p>
        </w:tc>
        <w:tc>
          <w:tcPr>
            <w:tcW w:type="dxa" w:w="6660"/>
            <w:tcMar>
              <w:top w:w="80" w:type="dxa"/>
              <w:start w:w="120" w:type="dxa"/>
              <w:bottom w:w="80" w:type="dxa"/>
              <w:end w:w="120" w:type="dxa"/>
            </w:tcMar>
            <w:vAlign w:val="center"/>
            <w:shd w:fill="DDF8EE"/>
          </w:tcPr>
          <w:p>
            <w:pPr>
              <w:spacing w:after="0"/>
            </w:pPr>
            <w:r/>
            <w:r>
              <w:rPr>
                <w:rFonts w:ascii="Calibri" w:hAnsi="Calibri"/>
                <w:b/>
                <w:color w:val="0B2B24"/>
                <w:sz w:val="18"/>
              </w:rPr>
              <w:t>Value</w:t>
            </w:r>
          </w:p>
        </w:tc>
      </w:tr>
      <w:tr>
        <w:tc>
          <w:tcPr>
            <w:tcW w:type="dxa" w:w="2700"/>
          </w:tcPr>
          <w:p>
            <w:pPr>
              <w:spacing w:after="0" w:line="264" w:lineRule="auto"/>
            </w:pPr>
            <w:r/>
            <w:r>
              <w:rPr>
                <w:rFonts w:ascii="Calibri" w:hAnsi="Calibri"/>
                <w:b w:val="0"/>
                <w:i w:val="0"/>
                <w:color w:val="0B2B24"/>
                <w:sz w:val="18"/>
              </w:rPr>
              <w:t>Student</w:t>
            </w:r>
          </w:p>
        </w:tc>
        <w:tc>
          <w:tcPr>
            <w:tcW w:type="dxa" w:w="6660"/>
          </w:tcPr>
          <w:p>
            <w:pPr>
              <w:spacing w:after="0" w:line="264" w:lineRule="auto"/>
            </w:pPr>
            <w:r/>
            <w:r>
              <w:rPr>
                <w:rFonts w:ascii="Calibri" w:hAnsi="Calibri"/>
                <w:b w:val="0"/>
                <w:i w:val="0"/>
                <w:color w:val="0B2B24"/>
                <w:sz w:val="18"/>
              </w:rPr>
              <w:t>Sneha Nagmoti</w:t>
            </w:r>
          </w:p>
        </w:tc>
      </w:tr>
      <w:tr>
        <w:tc>
          <w:tcPr>
            <w:tcW w:type="dxa" w:w="2700"/>
          </w:tcPr>
          <w:p>
            <w:pPr>
              <w:spacing w:after="0" w:line="264" w:lineRule="auto"/>
            </w:pPr>
            <w:r/>
            <w:r>
              <w:rPr>
                <w:rFonts w:ascii="Calibri" w:hAnsi="Calibri"/>
                <w:b w:val="0"/>
                <w:i w:val="0"/>
                <w:color w:val="0B2B24"/>
                <w:sz w:val="18"/>
              </w:rPr>
              <w:t>Course deliverable</w:t>
            </w:r>
          </w:p>
        </w:tc>
        <w:tc>
          <w:tcPr>
            <w:tcW w:type="dxa" w:w="6660"/>
          </w:tcPr>
          <w:p>
            <w:pPr>
              <w:spacing w:after="0" w:line="264" w:lineRule="auto"/>
            </w:pPr>
            <w:r/>
            <w:r>
              <w:rPr>
                <w:rFonts w:ascii="Calibri" w:hAnsi="Calibri"/>
                <w:b w:val="0"/>
                <w:i w:val="0"/>
                <w:color w:val="0B2B24"/>
                <w:sz w:val="18"/>
              </w:rPr>
              <w:t>Assignment 1 - Phase 3 final implementation</w:t>
            </w:r>
          </w:p>
        </w:tc>
      </w:tr>
      <w:tr>
        <w:tc>
          <w:tcPr>
            <w:tcW w:type="dxa" w:w="2700"/>
          </w:tcPr>
          <w:p>
            <w:pPr>
              <w:spacing w:after="0" w:line="264" w:lineRule="auto"/>
            </w:pPr>
            <w:r/>
            <w:r>
              <w:rPr>
                <w:rFonts w:ascii="Calibri" w:hAnsi="Calibri"/>
                <w:b w:val="0"/>
                <w:i w:val="0"/>
                <w:color w:val="0B2B24"/>
                <w:sz w:val="18"/>
              </w:rPr>
              <w:t>Verified release</w:t>
            </w:r>
          </w:p>
        </w:tc>
        <w:tc>
          <w:tcPr>
            <w:tcW w:type="dxa" w:w="6660"/>
          </w:tcPr>
          <w:p>
            <w:pPr>
              <w:spacing w:after="0" w:line="264" w:lineRule="auto"/>
            </w:pPr>
            <w:r/>
            <w:r>
              <w:rPr>
                <w:rFonts w:ascii="Calibri" w:hAnsi="Calibri"/>
                <w:b w:val="0"/>
                <w:i w:val="0"/>
                <w:color w:val="0B2B24"/>
                <w:sz w:val="18"/>
              </w:rPr>
              <w:t>0a385c0</w:t>
            </w:r>
          </w:p>
        </w:tc>
      </w:tr>
      <w:tr>
        <w:tc>
          <w:tcPr>
            <w:tcW w:type="dxa" w:w="2700"/>
          </w:tcPr>
          <w:p>
            <w:pPr>
              <w:spacing w:after="0" w:line="264" w:lineRule="auto"/>
            </w:pPr>
            <w:r/>
            <w:r>
              <w:rPr>
                <w:rFonts w:ascii="Calibri" w:hAnsi="Calibri"/>
                <w:b w:val="0"/>
                <w:i w:val="0"/>
                <w:color w:val="0B2B24"/>
                <w:sz w:val="18"/>
              </w:rPr>
              <w:t>Verification date</w:t>
            </w:r>
          </w:p>
        </w:tc>
        <w:tc>
          <w:tcPr>
            <w:tcW w:type="dxa" w:w="6660"/>
          </w:tcPr>
          <w:p>
            <w:pPr>
              <w:spacing w:after="0" w:line="264" w:lineRule="auto"/>
            </w:pPr>
            <w:r/>
            <w:r>
              <w:rPr>
                <w:rFonts w:ascii="Calibri" w:hAnsi="Calibri"/>
                <w:b w:val="0"/>
                <w:i w:val="0"/>
                <w:color w:val="0B2B24"/>
                <w:sz w:val="18"/>
              </w:rPr>
              <w:t>29 August 2026</w:t>
            </w:r>
          </w:p>
        </w:tc>
      </w:tr>
      <w:tr>
        <w:tc>
          <w:tcPr>
            <w:tcW w:type="dxa" w:w="2700"/>
          </w:tcPr>
          <w:p>
            <w:pPr>
              <w:spacing w:after="0" w:line="264" w:lineRule="auto"/>
            </w:pPr>
            <w:r/>
            <w:r>
              <w:rPr>
                <w:rFonts w:ascii="Calibri" w:hAnsi="Calibri"/>
                <w:b w:val="0"/>
                <w:i w:val="0"/>
                <w:color w:val="0B2B24"/>
                <w:sz w:val="18"/>
              </w:rPr>
              <w:t>Frontend</w:t>
            </w:r>
          </w:p>
        </w:tc>
        <w:tc>
          <w:tcPr>
            <w:tcW w:type="dxa" w:w="6660"/>
          </w:tcPr>
          <w:p>
            <w:pPr>
              <w:spacing w:after="0" w:line="264" w:lineRule="auto"/>
            </w:pPr>
            <w:r/>
            <w:r>
              <w:rPr>
                <w:rFonts w:ascii="Calibri" w:hAnsi="Calibri"/>
                <w:b w:val="0"/>
                <w:i w:val="0"/>
                <w:color w:val="0B2B24"/>
                <w:sz w:val="18"/>
              </w:rPr>
              <w:t>sneha-village-pond-planning-2026.onrender.com</w:t>
            </w:r>
          </w:p>
        </w:tc>
      </w:tr>
      <w:tr>
        <w:tc>
          <w:tcPr>
            <w:tcW w:type="dxa" w:w="2700"/>
          </w:tcPr>
          <w:p>
            <w:pPr>
              <w:spacing w:after="0" w:line="264" w:lineRule="auto"/>
            </w:pPr>
            <w:r/>
            <w:r>
              <w:rPr>
                <w:rFonts w:ascii="Calibri" w:hAnsi="Calibri"/>
                <w:b w:val="0"/>
                <w:i w:val="0"/>
                <w:color w:val="0B2B24"/>
                <w:sz w:val="18"/>
              </w:rPr>
              <w:t>Repository</w:t>
            </w:r>
          </w:p>
        </w:tc>
        <w:tc>
          <w:tcPr>
            <w:tcW w:type="dxa" w:w="6660"/>
          </w:tcPr>
          <w:p>
            <w:pPr>
              <w:spacing w:after="0" w:line="264" w:lineRule="auto"/>
            </w:pPr>
            <w:r/>
            <w:r>
              <w:rPr>
                <w:rFonts w:ascii="Calibri" w:hAnsi="Calibri"/>
                <w:b w:val="0"/>
                <w:i w:val="0"/>
                <w:color w:val="0B2B24"/>
                <w:sz w:val="18"/>
              </w:rPr>
              <w:t>github.com/snehanagmoti/Village-Pond-planning</w:t>
            </w:r>
          </w:p>
        </w:tc>
      </w:tr>
    </w:tbl>
    <w:p>
      <w:pPr>
        <w:spacing w:before="80" w:after="80"/>
      </w:pPr>
    </w:p>
    <w:p>
      <w:r>
        <w:br w:type="page"/>
      </w:r>
    </w:p>
    <w:p>
      <w:pPr>
        <w:pStyle w:val="Heading1"/>
      </w:pPr>
      <w:bookmarkStart w:id="1" w:name="sec_document_control"/>
      <w:r>
        <w:t>Document control and how to use this guide</w:t>
      </w:r>
      <w:bookmarkEnd w:id="1"/>
    </w:p>
    <w:p>
      <w:r>
        <w:rPr>
          <w:rFonts w:ascii="Calibri" w:hAnsi="Calibri"/>
          <w:b w:val="0"/>
          <w:i w:val="0"/>
          <w:color w:val="0B2B24"/>
          <w:sz w:val="22"/>
        </w:rPr>
        <w:t>This guide is written so that a reader with no GIS or hydrology background can follow the system from input to output. Read Sections 1-4 for the big picture, Sections 5-10 for the algorithms, Sections 11-15 for engineering and software details, and the appendices for demonstration and viva preparation.</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FF7DE"/>
          </w:tcPr>
          <w:p>
            <w:pPr>
              <w:spacing w:after="60"/>
            </w:pPr>
            <w:r/>
            <w:r>
              <w:rPr>
                <w:rFonts w:ascii="Calibri" w:hAnsi="Calibri"/>
                <w:b/>
                <w:color w:val="8A6400"/>
                <w:sz w:val="21"/>
              </w:rPr>
              <w:t>ACADEMIC INTEGRITY</w:t>
            </w:r>
          </w:p>
          <w:p>
            <w:pPr>
              <w:spacing w:after="0"/>
            </w:pPr>
            <w:r>
              <w:rPr>
                <w:rFonts w:ascii="Calibri" w:hAnsi="Calibri"/>
                <w:b w:val="0"/>
                <w:i w:val="0"/>
                <w:color w:val="0B2B24"/>
                <w:sz w:val="20"/>
              </w:rPr>
              <w:t>AI-assisted development was used for review, implementation support, testing, and document formatting. The submitted algorithms and measurements were inspected and exercised with automated and production tests. The student remains responsible for understanding and explaining every component.</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center"/>
            <w:shd w:fill="DDF8EE"/>
          </w:tcPr>
          <w:p>
            <w:pPr>
              <w:spacing w:after="0"/>
            </w:pPr>
            <w:r/>
            <w:r>
              <w:rPr>
                <w:rFonts w:ascii="Calibri" w:hAnsi="Calibri"/>
                <w:b/>
                <w:color w:val="0B2B24"/>
                <w:sz w:val="17"/>
              </w:rPr>
              <w:t>Item</w:t>
            </w:r>
          </w:p>
        </w:tc>
        <w:tc>
          <w:tcPr>
            <w:tcW w:type="dxa" w:w="6660"/>
            <w:tcMar>
              <w:top w:w="80" w:type="dxa"/>
              <w:start w:w="120" w:type="dxa"/>
              <w:bottom w:w="80" w:type="dxa"/>
              <w:end w:w="120" w:type="dxa"/>
            </w:tcMar>
            <w:vAlign w:val="center"/>
            <w:shd w:fill="DDF8EE"/>
          </w:tcPr>
          <w:p>
            <w:pPr>
              <w:spacing w:after="0"/>
            </w:pPr>
            <w:r/>
            <w:r>
              <w:rPr>
                <w:rFonts w:ascii="Calibri" w:hAnsi="Calibri"/>
                <w:b/>
                <w:color w:val="0B2B24"/>
                <w:sz w:val="17"/>
              </w:rPr>
              <w:t>Verified state</w:t>
            </w:r>
          </w:p>
        </w:tc>
      </w:tr>
      <w:tr>
        <w:tc>
          <w:tcPr>
            <w:tcW w:type="dxa" w:w="2700"/>
          </w:tcPr>
          <w:p>
            <w:pPr>
              <w:spacing w:after="0" w:line="264" w:lineRule="auto"/>
            </w:pPr>
            <w:r/>
            <w:r>
              <w:rPr>
                <w:rFonts w:ascii="Calibri" w:hAnsi="Calibri"/>
                <w:b w:val="0"/>
                <w:i w:val="0"/>
                <w:color w:val="0B2B24"/>
                <w:sz w:val="17"/>
              </w:rPr>
              <w:t>Scope</w:t>
            </w:r>
          </w:p>
        </w:tc>
        <w:tc>
          <w:tcPr>
            <w:tcW w:type="dxa" w:w="6660"/>
          </w:tcPr>
          <w:p>
            <w:pPr>
              <w:spacing w:after="0" w:line="264" w:lineRule="auto"/>
            </w:pPr>
            <w:r/>
            <w:r>
              <w:rPr>
                <w:rFonts w:ascii="Calibri" w:hAnsi="Calibri"/>
                <w:b w:val="0"/>
                <w:i w:val="0"/>
                <w:color w:val="0B2B24"/>
                <w:sz w:val="17"/>
              </w:rPr>
              <w:t>Code, algorithms, UI, tests, deployment, and documentation</w:t>
            </w:r>
          </w:p>
        </w:tc>
      </w:tr>
      <w:tr>
        <w:tc>
          <w:tcPr>
            <w:tcW w:type="dxa" w:w="2700"/>
          </w:tcPr>
          <w:p>
            <w:pPr>
              <w:spacing w:after="0" w:line="264" w:lineRule="auto"/>
            </w:pPr>
            <w:r/>
            <w:r>
              <w:rPr>
                <w:rFonts w:ascii="Calibri" w:hAnsi="Calibri"/>
                <w:b w:val="0"/>
                <w:i w:val="0"/>
                <w:color w:val="0B2B24"/>
                <w:sz w:val="17"/>
              </w:rPr>
              <w:t>Functional release</w:t>
            </w:r>
          </w:p>
        </w:tc>
        <w:tc>
          <w:tcPr>
            <w:tcW w:type="dxa" w:w="6660"/>
          </w:tcPr>
          <w:p>
            <w:pPr>
              <w:spacing w:after="0" w:line="264" w:lineRule="auto"/>
            </w:pPr>
            <w:r/>
            <w:r>
              <w:rPr>
                <w:rFonts w:ascii="Calibri" w:hAnsi="Calibri"/>
                <w:b w:val="0"/>
                <w:i w:val="0"/>
                <w:color w:val="0B2B24"/>
                <w:sz w:val="17"/>
              </w:rPr>
              <w:t>0a385c0 deployed on both Render services</w:t>
            </w:r>
          </w:p>
        </w:tc>
      </w:tr>
      <w:tr>
        <w:tc>
          <w:tcPr>
            <w:tcW w:type="dxa" w:w="2700"/>
          </w:tcPr>
          <w:p>
            <w:pPr>
              <w:spacing w:after="0" w:line="264" w:lineRule="auto"/>
            </w:pPr>
            <w:r/>
            <w:r>
              <w:rPr>
                <w:rFonts w:ascii="Calibri" w:hAnsi="Calibri"/>
                <w:b w:val="0"/>
                <w:i w:val="0"/>
                <w:color w:val="0B2B24"/>
                <w:sz w:val="17"/>
              </w:rPr>
              <w:t>Backend verification</w:t>
            </w:r>
          </w:p>
        </w:tc>
        <w:tc>
          <w:tcPr>
            <w:tcW w:type="dxa" w:w="6660"/>
          </w:tcPr>
          <w:p>
            <w:pPr>
              <w:spacing w:after="0" w:line="264" w:lineRule="auto"/>
            </w:pPr>
            <w:r/>
            <w:r>
              <w:rPr>
                <w:rFonts w:ascii="Calibri" w:hAnsi="Calibri"/>
                <w:b w:val="0"/>
                <w:i w:val="0"/>
                <w:color w:val="0B2B24"/>
                <w:sz w:val="17"/>
              </w:rPr>
              <w:t>68 tests passed; 88.79% statement coverage; Ruff passed</w:t>
            </w:r>
          </w:p>
        </w:tc>
      </w:tr>
      <w:tr>
        <w:tc>
          <w:tcPr>
            <w:tcW w:type="dxa" w:w="2700"/>
          </w:tcPr>
          <w:p>
            <w:pPr>
              <w:spacing w:after="0" w:line="264" w:lineRule="auto"/>
            </w:pPr>
            <w:r/>
            <w:r>
              <w:rPr>
                <w:rFonts w:ascii="Calibri" w:hAnsi="Calibri"/>
                <w:b w:val="0"/>
                <w:i w:val="0"/>
                <w:color w:val="0B2B24"/>
                <w:sz w:val="17"/>
              </w:rPr>
              <w:t>Frontend verification</w:t>
            </w:r>
          </w:p>
        </w:tc>
        <w:tc>
          <w:tcPr>
            <w:tcW w:type="dxa" w:w="6660"/>
          </w:tcPr>
          <w:p>
            <w:pPr>
              <w:spacing w:after="0" w:line="264" w:lineRule="auto"/>
            </w:pPr>
            <w:r/>
            <w:r>
              <w:rPr>
                <w:rFonts w:ascii="Calibri" w:hAnsi="Calibri"/>
                <w:b w:val="0"/>
                <w:i w:val="0"/>
                <w:color w:val="0B2B24"/>
                <w:sz w:val="17"/>
              </w:rPr>
              <w:t>11 tests passed; Oxlint passed; Vite production build passed</w:t>
            </w:r>
          </w:p>
        </w:tc>
      </w:tr>
      <w:tr>
        <w:tc>
          <w:tcPr>
            <w:tcW w:type="dxa" w:w="2700"/>
          </w:tcPr>
          <w:p>
            <w:pPr>
              <w:spacing w:after="0" w:line="264" w:lineRule="auto"/>
            </w:pPr>
            <w:r/>
            <w:r>
              <w:rPr>
                <w:rFonts w:ascii="Calibri" w:hAnsi="Calibri"/>
                <w:b w:val="0"/>
                <w:i w:val="0"/>
                <w:color w:val="0B2B24"/>
                <w:sz w:val="17"/>
              </w:rPr>
              <w:t>Production contour verification</w:t>
            </w:r>
          </w:p>
        </w:tc>
        <w:tc>
          <w:tcPr>
            <w:tcW w:type="dxa" w:w="6660"/>
          </w:tcPr>
          <w:p>
            <w:pPr>
              <w:spacing w:after="0" w:line="264" w:lineRule="auto"/>
            </w:pPr>
            <w:r/>
            <w:r>
              <w:rPr>
                <w:rFonts w:ascii="Calibri" w:hAnsi="Calibri"/>
                <w:b w:val="0"/>
                <w:i w:val="0"/>
                <w:color w:val="0B2B24"/>
                <w:sz w:val="17"/>
              </w:rPr>
              <w:t>KML, KMZ, automatic, point, region, and invalid-point cases exercised</w:t>
            </w:r>
          </w:p>
        </w:tc>
      </w:tr>
      <w:tr>
        <w:tc>
          <w:tcPr>
            <w:tcW w:type="dxa" w:w="2700"/>
          </w:tcPr>
          <w:p>
            <w:pPr>
              <w:spacing w:after="0" w:line="264" w:lineRule="auto"/>
            </w:pPr>
            <w:r/>
            <w:r>
              <w:rPr>
                <w:rFonts w:ascii="Calibri" w:hAnsi="Calibri"/>
                <w:b w:val="0"/>
                <w:i w:val="0"/>
                <w:color w:val="0B2B24"/>
                <w:sz w:val="17"/>
              </w:rPr>
              <w:t>Design status</w:t>
            </w:r>
          </w:p>
        </w:tc>
        <w:tc>
          <w:tcPr>
            <w:tcW w:type="dxa" w:w="6660"/>
          </w:tcPr>
          <w:p>
            <w:pPr>
              <w:spacing w:after="0" w:line="264" w:lineRule="auto"/>
            </w:pPr>
            <w:r/>
            <w:r>
              <w:rPr>
                <w:rFonts w:ascii="Calibri" w:hAnsi="Calibri"/>
                <w:b w:val="0"/>
                <w:i w:val="0"/>
                <w:color w:val="0B2B24"/>
                <w:sz w:val="17"/>
              </w:rPr>
              <w:t>Screening prototype; field and qualified engineering verification required</w:t>
            </w:r>
          </w:p>
        </w:tc>
      </w:tr>
    </w:tbl>
    <w:p>
      <w:pPr>
        <w:spacing w:before="80" w:after="80"/>
      </w:pPr>
    </w:p>
    <w:p>
      <w:r>
        <w:br w:type="page"/>
      </w:r>
    </w:p>
    <w:p>
      <w:pPr>
        <w:pStyle w:val="Heading1"/>
      </w:pPr>
      <w:bookmarkStart w:id="2" w:name="toc"/>
      <w:r>
        <w:t>Table of contents</w:t>
      </w:r>
      <w:bookmarkEnd w:id="2"/>
    </w:p>
    <w:p>
      <w:pPr>
        <w:spacing w:after="200"/>
      </w:pPr>
      <w:r>
        <w:rPr>
          <w:rFonts w:ascii="Calibri" w:hAnsi="Calibri"/>
          <w:b w:val="0"/>
          <w:i/>
          <w:color w:val="55756D"/>
          <w:sz w:val="19"/>
        </w:rPr>
        <w:t>The entries below are internal links in the editable Word document.</w:t>
      </w:r>
    </w:p>
    <w:p>
      <w:pPr>
        <w:spacing w:after="60"/>
        <w:ind w:left="0"/>
      </w:pPr>
      <w:hyperlink w:anchor="sec_011">
        <w:r>
          <w:rPr>
            <w:rStyle w:val="Hyperlink"/>
          </w:rPr>
          <w:t>1. Abstract</w:t>
        </w:r>
      </w:hyperlink>
    </w:p>
    <w:p>
      <w:pPr>
        <w:spacing w:after="60"/>
        <w:ind w:left="0"/>
      </w:pPr>
      <w:hyperlink w:anchor="sec_012">
        <w:r>
          <w:rPr>
            <w:rStyle w:val="Hyperlink"/>
          </w:rPr>
          <w:t>2. Requirement traceability</w:t>
        </w:r>
      </w:hyperlink>
    </w:p>
    <w:p>
      <w:pPr>
        <w:spacing w:after="60"/>
        <w:ind w:left="0"/>
      </w:pPr>
      <w:hyperlink w:anchor="sec_013">
        <w:r>
          <w:rPr>
            <w:rStyle w:val="Hyperlink"/>
          </w:rPr>
          <w:t>3. System architecture</w:t>
        </w:r>
      </w:hyperlink>
    </w:p>
    <w:p>
      <w:pPr>
        <w:spacing w:after="60"/>
        <w:ind w:left="0"/>
      </w:pPr>
      <w:hyperlink w:anchor="sec_014">
        <w:r>
          <w:rPr>
            <w:rStyle w:val="Hyperlink"/>
          </w:rPr>
          <w:t>4. Phase 2 contour-file analysis</w:t>
        </w:r>
      </w:hyperlink>
    </w:p>
    <w:p>
      <w:pPr>
        <w:spacing w:after="60"/>
        <w:ind w:left="360"/>
      </w:pPr>
      <w:hyperlink w:anchor="sec_015">
        <w:r>
          <w:rPr>
            <w:rStyle w:val="Hyperlink"/>
          </w:rPr>
          <w:t>4.1 Input and validation</w:t>
        </w:r>
      </w:hyperlink>
    </w:p>
    <w:p>
      <w:pPr>
        <w:spacing w:after="60"/>
        <w:ind w:left="360"/>
      </w:pPr>
      <w:hyperlink w:anchor="sec_016">
        <w:r>
          <w:rPr>
            <w:rStyle w:val="Hyperlink"/>
          </w:rPr>
          <w:t>4.2 Terrain reconstruction</w:t>
        </w:r>
      </w:hyperlink>
    </w:p>
    <w:p>
      <w:pPr>
        <w:spacing w:after="60"/>
        <w:ind w:left="360"/>
      </w:pPr>
      <w:hyperlink w:anchor="sec_017">
        <w:r>
          <w:rPr>
            <w:rStyle w:val="Hyperlink"/>
          </w:rPr>
          <w:t>4.3 Hydrology and candidate selection</w:t>
        </w:r>
      </w:hyperlink>
    </w:p>
    <w:p>
      <w:pPr>
        <w:spacing w:after="60"/>
        <w:ind w:left="360"/>
      </w:pPr>
      <w:hyperlink w:anchor="sec_018">
        <w:r>
          <w:rPr>
            <w:rStyle w:val="Hyperlink"/>
          </w:rPr>
          <w:t>4.4 Provided-map result</w:t>
        </w:r>
      </w:hyperlink>
    </w:p>
    <w:p>
      <w:pPr>
        <w:spacing w:after="60"/>
        <w:ind w:left="0"/>
      </w:pPr>
      <w:hyperlink w:anchor="sec_019">
        <w:r>
          <w:rPr>
            <w:rStyle w:val="Hyperlink"/>
          </w:rPr>
          <w:t>5. Location-based elevation and hydrology</w:t>
        </w:r>
      </w:hyperlink>
    </w:p>
    <w:p>
      <w:pPr>
        <w:spacing w:after="60"/>
        <w:ind w:left="0"/>
      </w:pPr>
      <w:hyperlink w:anchor="sec_020">
        <w:r>
          <w:rPr>
            <w:rStyle w:val="Hyperlink"/>
          </w:rPr>
          <w:t>6. Rainfall analysis</w:t>
        </w:r>
      </w:hyperlink>
    </w:p>
    <w:p>
      <w:pPr>
        <w:spacing w:after="60"/>
        <w:ind w:left="0"/>
      </w:pPr>
      <w:hyperlink w:anchor="sec_021">
        <w:r>
          <w:rPr>
            <w:rStyle w:val="Hyperlink"/>
          </w:rPr>
          <w:t>7. Satellite surface screening and land limits</w:t>
        </w:r>
      </w:hyperlink>
    </w:p>
    <w:p>
      <w:pPr>
        <w:spacing w:after="60"/>
        <w:ind w:left="0"/>
      </w:pPr>
      <w:hyperlink w:anchor="sec_022">
        <w:r>
          <w:rPr>
            <w:rStyle w:val="Hyperlink"/>
          </w:rPr>
          <w:t>8. Runoff and pond geometry</w:t>
        </w:r>
      </w:hyperlink>
    </w:p>
    <w:p>
      <w:pPr>
        <w:spacing w:after="60"/>
        <w:ind w:left="0"/>
      </w:pPr>
      <w:hyperlink w:anchor="sec_023">
        <w:r>
          <w:rPr>
            <w:rStyle w:val="Hyperlink"/>
          </w:rPr>
          <w:t>9. Frontend and visualization</w:t>
        </w:r>
      </w:hyperlink>
    </w:p>
    <w:p>
      <w:pPr>
        <w:spacing w:after="60"/>
        <w:ind w:left="0"/>
      </w:pPr>
      <w:hyperlink w:anchor="sec_024">
        <w:r>
          <w:rPr>
            <w:rStyle w:val="Hyperlink"/>
          </w:rPr>
          <w:t>10. API, errors, and security</w:t>
        </w:r>
      </w:hyperlink>
    </w:p>
    <w:p>
      <w:pPr>
        <w:spacing w:after="60"/>
        <w:ind w:left="0"/>
      </w:pPr>
      <w:hyperlink w:anchor="sec_025">
        <w:r>
          <w:rPr>
            <w:rStyle w:val="Hyperlink"/>
          </w:rPr>
          <w:t>11. Reliability and operations</w:t>
        </w:r>
      </w:hyperlink>
    </w:p>
    <w:p>
      <w:pPr>
        <w:spacing w:after="60"/>
        <w:ind w:left="0"/>
      </w:pPr>
      <w:hyperlink w:anchor="sec_026">
        <w:r>
          <w:rPr>
            <w:rStyle w:val="Hyperlink"/>
          </w:rPr>
          <w:t>12. Verification evidence</w:t>
        </w:r>
      </w:hyperlink>
    </w:p>
    <w:p>
      <w:pPr>
        <w:spacing w:after="60"/>
        <w:ind w:left="0"/>
      </w:pPr>
      <w:hyperlink w:anchor="sec_027">
        <w:r>
          <w:rPr>
            <w:rStyle w:val="Hyperlink"/>
          </w:rPr>
          <w:t>13. Deployment and submission</w:t>
        </w:r>
      </w:hyperlink>
    </w:p>
    <w:p>
      <w:pPr>
        <w:spacing w:after="60"/>
        <w:ind w:left="0"/>
      </w:pPr>
      <w:hyperlink w:anchor="sec_028">
        <w:r>
          <w:rPr>
            <w:rStyle w:val="Hyperlink"/>
          </w:rPr>
          <w:t>14. Limitations and required field work</w:t>
        </w:r>
      </w:hyperlink>
    </w:p>
    <w:p>
      <w:pPr>
        <w:spacing w:after="60"/>
        <w:ind w:left="0"/>
      </w:pPr>
      <w:hyperlink w:anchor="sec_029">
        <w:r>
          <w:rPr>
            <w:rStyle w:val="Hyperlink"/>
          </w:rPr>
          <w:t>15. AI-tool usage and academic integrity</w:t>
        </w:r>
      </w:hyperlink>
    </w:p>
    <w:p>
      <w:pPr>
        <w:spacing w:after="60"/>
        <w:ind w:left="0"/>
      </w:pPr>
      <w:hyperlink w:anchor="sec_030">
        <w:r>
          <w:rPr>
            <w:rStyle w:val="Hyperlink"/>
          </w:rPr>
          <w:t>16. Conclusion</w:t>
        </w:r>
      </w:hyperlink>
    </w:p>
    <w:p>
      <w:pPr>
        <w:spacing w:after="60"/>
        <w:ind w:left="0"/>
      </w:pPr>
      <w:hyperlink w:anchor="sec_031">
        <w:r>
          <w:rPr>
            <w:rStyle w:val="Hyperlink"/>
          </w:rPr>
          <w:t>References</w:t>
        </w:r>
      </w:hyperlink>
    </w:p>
    <w:p>
      <w:pPr>
        <w:spacing w:after="60"/>
        <w:ind w:left="0"/>
      </w:pPr>
      <w:hyperlink w:anchor="appendix_algorithms">
        <w:r>
          <w:rPr>
            <w:rStyle w:val="Hyperlink"/>
          </w:rPr>
          <w:t>Appendix A. Algorithms explained from first principles</w:t>
        </w:r>
      </w:hyperlink>
    </w:p>
    <w:p>
      <w:pPr>
        <w:spacing w:after="60"/>
        <w:ind w:left="0"/>
      </w:pPr>
      <w:hyperlink w:anchor="appendix_river">
        <w:r>
          <w:rPr>
            <w:rStyle w:val="Hyperlink"/>
          </w:rPr>
          <w:t>Appendix B. River and water edge cases</w:t>
        </w:r>
      </w:hyperlink>
    </w:p>
    <w:p>
      <w:pPr>
        <w:spacing w:after="60"/>
        <w:ind w:left="0"/>
      </w:pPr>
      <w:hyperlink w:anchor="appendix_outputs">
        <w:r>
          <w:rPr>
            <w:rStyle w:val="Hyperlink"/>
          </w:rPr>
          <w:t>Appendix C. Complete output dictionary</w:t>
        </w:r>
      </w:hyperlink>
    </w:p>
    <w:p>
      <w:pPr>
        <w:spacing w:after="60"/>
        <w:ind w:left="0"/>
      </w:pPr>
      <w:hyperlink w:anchor="appendix_api">
        <w:r>
          <w:rPr>
            <w:rStyle w:val="Hyperlink"/>
          </w:rPr>
          <w:t>Appendix D. API examples and error behavior</w:t>
        </w:r>
      </w:hyperlink>
    </w:p>
    <w:p>
      <w:pPr>
        <w:spacing w:after="60"/>
        <w:ind w:left="0"/>
      </w:pPr>
      <w:hyperlink w:anchor="appendix_manual_test">
        <w:r>
          <w:rPr>
            <w:rStyle w:val="Hyperlink"/>
          </w:rPr>
          <w:t>Appendix E. Manual test script</w:t>
        </w:r>
      </w:hyperlink>
    </w:p>
    <w:p>
      <w:pPr>
        <w:spacing w:after="60"/>
        <w:ind w:left="0"/>
      </w:pPr>
      <w:hyperlink w:anchor="appendix_viva">
        <w:r>
          <w:rPr>
            <w:rStyle w:val="Hyperlink"/>
          </w:rPr>
          <w:t>Appendix F. Viva preparation</w:t>
        </w:r>
      </w:hyperlink>
    </w:p>
    <w:p>
      <w:pPr>
        <w:spacing w:after="60"/>
        <w:ind w:left="0"/>
      </w:pPr>
      <w:hyperlink w:anchor="appendix_glossary">
        <w:r>
          <w:rPr>
            <w:rStyle w:val="Hyperlink"/>
          </w:rPr>
          <w:t>Appendix G. Glossary</w:t>
        </w:r>
      </w:hyperlink>
    </w:p>
    <w:p>
      <w:pPr>
        <w:spacing w:after="60"/>
        <w:ind w:left="0"/>
      </w:pPr>
      <w:hyperlink w:anchor="appendix_submission">
        <w:r>
          <w:rPr>
            <w:rStyle w:val="Hyperlink"/>
          </w:rPr>
          <w:t>Appendix H. Submission links and final checklist</w:t>
        </w:r>
      </w:hyperlink>
    </w:p>
    <w:p>
      <w:pPr>
        <w:pStyle w:val="Heading1"/>
        <w:pageBreakBefore/>
      </w:pPr>
      <w:bookmarkStart w:id="20" w:name="sec_011"/>
      <w:r>
        <w:t>1. Abstract</w:t>
      </w:r>
      <w:bookmarkEnd w:id="20"/>
    </w:p>
    <w:p>
      <w:r>
        <w:rPr>
          <w:rFonts w:ascii="Calibri" w:hAnsi="Calibri"/>
          <w:b w:val="0"/>
          <w:i w:val="0"/>
          <w:color w:val="0B2B24"/>
          <w:sz w:val="22"/>
        </w:rPr>
        <w:t>This project implements a web-based decision-support system for preliminary village pond planning. It provides two connected workflows. The Phase 2 workflow accepts an arbitrary KML/KMZ contour map, reconstructs a terrain grid from the uploaded geometry, identifies a hydrologically strong candidate point, and delineates its contributing catchment. The complete application also supports a location-based workflow that combines satellite imagery, elevation, historical rainfall, surface screening, D8 hydrology, runoff estimation, and approximate pond geometry in an interactive map.</w:t>
      </w:r>
    </w:p>
    <w:p>
      <w:r>
        <w:rPr>
          <w:rFonts w:ascii="Calibri" w:hAnsi="Calibri"/>
          <w:b w:val="0"/>
          <w:i w:val="0"/>
          <w:color w:val="0B2B24"/>
          <w:sz w:val="22"/>
        </w:rPr>
        <w:t>The implementation is deliberately transparent about uncertainty. Results carry source provenance, quality status, limitations, and a screening-only flag. The software does not claim government ownership, legal land availability, surveyed terrain accuracy, or construction safety. Those decisions require cadastral records, field survey, soil and groundwater investigation, qualified engineering design, and statutory approval.</w:t>
      </w:r>
    </w:p>
    <w:p>
      <w:pPr>
        <w:pStyle w:val="Heading1"/>
        <w:pageBreakBefore/>
      </w:pPr>
      <w:bookmarkStart w:id="21" w:name="sec_012"/>
      <w:r>
        <w:t>2. Requirement traceability</w:t>
      </w:r>
      <w:bookmarkEnd w:id="21"/>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trPr>
        <w:tc>
          <w:tcPr>
            <w:tcW w:type="dxa" w:w="3300"/>
            <w:tcMar>
              <w:top w:w="80" w:type="dxa"/>
              <w:start w:w="120" w:type="dxa"/>
              <w:bottom w:w="80" w:type="dxa"/>
              <w:end w:w="120" w:type="dxa"/>
            </w:tcMar>
            <w:vAlign w:val="center"/>
            <w:shd w:fill="DDF8EE"/>
          </w:tcPr>
          <w:p>
            <w:pPr>
              <w:spacing w:after="0"/>
            </w:pPr>
            <w:r/>
            <w:r>
              <w:rPr>
                <w:rFonts w:ascii="Calibri" w:hAnsi="Calibri"/>
                <w:b/>
                <w:color w:val="0B2B24"/>
                <w:sz w:val="17"/>
              </w:rPr>
              <w:t>Assignment requirement</w:t>
            </w:r>
          </w:p>
        </w:tc>
        <w:tc>
          <w:tcPr>
            <w:tcW w:type="dxa" w:w="6060"/>
            <w:tcMar>
              <w:top w:w="80" w:type="dxa"/>
              <w:start w:w="120" w:type="dxa"/>
              <w:bottom w:w="80" w:type="dxa"/>
              <w:end w:w="120" w:type="dxa"/>
            </w:tcMar>
            <w:vAlign w:val="center"/>
            <w:shd w:fill="DDF8EE"/>
          </w:tcPr>
          <w:p>
            <w:pPr>
              <w:spacing w:after="0"/>
            </w:pPr>
            <w:r/>
            <w:r>
              <w:rPr>
                <w:rFonts w:ascii="Calibri" w:hAnsi="Calibri"/>
                <w:b/>
                <w:color w:val="0B2B24"/>
                <w:sz w:val="17"/>
              </w:rPr>
              <w:t>Implemented evidence</w:t>
            </w:r>
          </w:p>
        </w:tc>
      </w:tr>
      <w:tr>
        <w:tc>
          <w:tcPr>
            <w:tcW w:type="dxa" w:w="3300"/>
          </w:tcPr>
          <w:p>
            <w:pPr>
              <w:spacing w:after="0" w:line="264" w:lineRule="auto"/>
            </w:pPr>
            <w:r/>
            <w:r>
              <w:rPr>
                <w:rFonts w:ascii="Calibri" w:hAnsi="Calibri"/>
                <w:b w:val="0"/>
                <w:i w:val="0"/>
                <w:color w:val="0B2B24"/>
                <w:sz w:val="17"/>
              </w:rPr>
              <w:t>Satellite imagery</w:t>
            </w:r>
          </w:p>
        </w:tc>
        <w:tc>
          <w:tcPr>
            <w:tcW w:type="dxa" w:w="6060"/>
          </w:tcPr>
          <w:p>
            <w:pPr>
              <w:spacing w:after="0" w:line="264" w:lineRule="auto"/>
            </w:pPr>
            <w:r/>
            <w:r>
              <w:rPr>
                <w:rFonts w:ascii="Calibri" w:hAnsi="Calibri"/>
                <w:b w:val="0"/>
                <w:i w:val="0"/>
                <w:color w:val="0B2B24"/>
                <w:sz w:val="17"/>
              </w:rPr>
              <w:t>Leaflet satellite base map and bounded imagery mosaic service</w:t>
            </w:r>
          </w:p>
        </w:tc>
      </w:tr>
      <w:tr>
        <w:tc>
          <w:tcPr>
            <w:tcW w:type="dxa" w:w="3300"/>
          </w:tcPr>
          <w:p>
            <w:pPr>
              <w:spacing w:after="0" w:line="264" w:lineRule="auto"/>
            </w:pPr>
            <w:r/>
            <w:r>
              <w:rPr>
                <w:rFonts w:ascii="Calibri" w:hAnsi="Calibri"/>
                <w:b w:val="0"/>
                <w:i w:val="0"/>
                <w:color w:val="0B2B24"/>
                <w:sz w:val="17"/>
              </w:rPr>
              <w:t>Contour visualization</w:t>
            </w:r>
          </w:p>
        </w:tc>
        <w:tc>
          <w:tcPr>
            <w:tcW w:type="dxa" w:w="6060"/>
          </w:tcPr>
          <w:p>
            <w:pPr>
              <w:spacing w:after="0" w:line="264" w:lineRule="auto"/>
            </w:pPr>
            <w:r/>
            <w:r>
              <w:rPr>
                <w:rFonts w:ascii="Calibri" w:hAnsi="Calibri"/>
                <w:b w:val="0"/>
                <w:i w:val="0"/>
                <w:color w:val="0B2B24"/>
                <w:sz w:val="17"/>
              </w:rPr>
              <w:t>Live DEM contour overlays and uploaded contour study boundary</w:t>
            </w:r>
          </w:p>
        </w:tc>
      </w:tr>
      <w:tr>
        <w:tc>
          <w:tcPr>
            <w:tcW w:type="dxa" w:w="3300"/>
          </w:tcPr>
          <w:p>
            <w:pPr>
              <w:spacing w:after="0" w:line="264" w:lineRule="auto"/>
            </w:pPr>
            <w:r/>
            <w:r>
              <w:rPr>
                <w:rFonts w:ascii="Calibri" w:hAnsi="Calibri"/>
                <w:b w:val="0"/>
                <w:i w:val="0"/>
                <w:color w:val="0B2B24"/>
                <w:sz w:val="17"/>
              </w:rPr>
              <w:t>Suitable/available land</w:t>
            </w:r>
          </w:p>
        </w:tc>
        <w:tc>
          <w:tcPr>
            <w:tcW w:type="dxa" w:w="6060"/>
          </w:tcPr>
          <w:p>
            <w:pPr>
              <w:spacing w:after="0" w:line="264" w:lineRule="auto"/>
            </w:pPr>
            <w:r/>
            <w:r>
              <w:rPr>
                <w:rFonts w:ascii="Calibri" w:hAnsi="Calibri"/>
                <w:b w:val="0"/>
                <w:i w:val="0"/>
                <w:color w:val="0B2B24"/>
                <w:sz w:val="17"/>
              </w:rPr>
              <w:t>Conservative bare-surface candidate; ownership explicitly unverified</w:t>
            </w:r>
          </w:p>
        </w:tc>
      </w:tr>
      <w:tr>
        <w:tc>
          <w:tcPr>
            <w:tcW w:type="dxa" w:w="3300"/>
          </w:tcPr>
          <w:p>
            <w:pPr>
              <w:spacing w:after="0" w:line="264" w:lineRule="auto"/>
            </w:pPr>
            <w:r/>
            <w:r>
              <w:rPr>
                <w:rFonts w:ascii="Calibri" w:hAnsi="Calibri"/>
                <w:b w:val="0"/>
                <w:i w:val="0"/>
                <w:color w:val="0B2B24"/>
                <w:sz w:val="17"/>
              </w:rPr>
              <w:t>Catchment area</w:t>
            </w:r>
          </w:p>
        </w:tc>
        <w:tc>
          <w:tcPr>
            <w:tcW w:type="dxa" w:w="6060"/>
          </w:tcPr>
          <w:p>
            <w:pPr>
              <w:spacing w:after="0" w:line="264" w:lineRule="auto"/>
            </w:pPr>
            <w:r/>
            <w:r>
              <w:rPr>
                <w:rFonts w:ascii="Calibri" w:hAnsi="Calibri"/>
                <w:b w:val="0"/>
                <w:i w:val="0"/>
                <w:color w:val="0B2B24"/>
                <w:sz w:val="17"/>
              </w:rPr>
              <w:t>Priority-flood conditioning, D8 routing, reverse catchment traversal, area in ha</w:t>
            </w:r>
          </w:p>
        </w:tc>
      </w:tr>
      <w:tr>
        <w:tc>
          <w:tcPr>
            <w:tcW w:type="dxa" w:w="3300"/>
          </w:tcPr>
          <w:p>
            <w:pPr>
              <w:spacing w:after="0" w:line="264" w:lineRule="auto"/>
            </w:pPr>
            <w:r/>
            <w:r>
              <w:rPr>
                <w:rFonts w:ascii="Calibri" w:hAnsi="Calibri"/>
                <w:b w:val="0"/>
                <w:i w:val="0"/>
                <w:color w:val="0B2B24"/>
                <w:sz w:val="17"/>
              </w:rPr>
              <w:t>Historical rainfall</w:t>
            </w:r>
          </w:p>
        </w:tc>
        <w:tc>
          <w:tcPr>
            <w:tcW w:type="dxa" w:w="6060"/>
          </w:tcPr>
          <w:p>
            <w:pPr>
              <w:spacing w:after="0" w:line="264" w:lineRule="auto"/>
            </w:pPr>
            <w:r/>
            <w:r>
              <w:rPr>
                <w:rFonts w:ascii="Calibri" w:hAnsi="Calibri"/>
                <w:b w:val="0"/>
                <w:i w:val="0"/>
                <w:color w:val="0B2B24"/>
                <w:sz w:val="17"/>
              </w:rPr>
              <w:t>Complete-year Open-Meteo ERA5-Land analysis with a validated NASA POWER fallback</w:t>
            </w:r>
          </w:p>
        </w:tc>
      </w:tr>
      <w:tr>
        <w:tc>
          <w:tcPr>
            <w:tcW w:type="dxa" w:w="3300"/>
          </w:tcPr>
          <w:p>
            <w:pPr>
              <w:spacing w:after="0" w:line="264" w:lineRule="auto"/>
            </w:pPr>
            <w:r/>
            <w:r>
              <w:rPr>
                <w:rFonts w:ascii="Calibri" w:hAnsi="Calibri"/>
                <w:b w:val="0"/>
                <w:i w:val="0"/>
                <w:color w:val="0B2B24"/>
                <w:sz w:val="17"/>
              </w:rPr>
              <w:t>Runoff volume</w:t>
            </w:r>
          </w:p>
        </w:tc>
        <w:tc>
          <w:tcPr>
            <w:tcW w:type="dxa" w:w="6060"/>
          </w:tcPr>
          <w:p>
            <w:pPr>
              <w:spacing w:after="0" w:line="264" w:lineRule="auto"/>
            </w:pPr>
            <w:r/>
            <w:r>
              <w:rPr>
                <w:rFonts w:ascii="Calibri" w:hAnsi="Calibri"/>
                <w:b w:val="0"/>
                <w:i w:val="0"/>
                <w:color w:val="0B2B24"/>
                <w:sz w:val="17"/>
              </w:rPr>
              <w:t>V = C x A x P with visible coefficient and documentary basis</w:t>
            </w:r>
          </w:p>
        </w:tc>
      </w:tr>
      <w:tr>
        <w:tc>
          <w:tcPr>
            <w:tcW w:type="dxa" w:w="3300"/>
          </w:tcPr>
          <w:p>
            <w:pPr>
              <w:spacing w:after="0" w:line="264" w:lineRule="auto"/>
            </w:pPr>
            <w:r/>
            <w:r>
              <w:rPr>
                <w:rFonts w:ascii="Calibri" w:hAnsi="Calibri"/>
                <w:b w:val="0"/>
                <w:i w:val="0"/>
                <w:color w:val="0B2B24"/>
                <w:sz w:val="17"/>
              </w:rPr>
              <w:t>Pond depth/capacity</w:t>
            </w:r>
          </w:p>
        </w:tc>
        <w:tc>
          <w:tcPr>
            <w:tcW w:type="dxa" w:w="6060"/>
          </w:tcPr>
          <w:p>
            <w:pPr>
              <w:spacing w:after="0" w:line="264" w:lineRule="auto"/>
            </w:pPr>
            <w:r/>
            <w:r>
              <w:rPr>
                <w:rFonts w:ascii="Calibri" w:hAnsi="Calibri"/>
                <w:b w:val="0"/>
                <w:i w:val="0"/>
                <w:color w:val="0B2B24"/>
                <w:sz w:val="17"/>
              </w:rPr>
              <w:t>Side-sloped rectangular-frustum screening geometry with freeboard</w:t>
            </w:r>
          </w:p>
        </w:tc>
      </w:tr>
      <w:tr>
        <w:tc>
          <w:tcPr>
            <w:tcW w:type="dxa" w:w="3300"/>
          </w:tcPr>
          <w:p>
            <w:pPr>
              <w:spacing w:after="0" w:line="264" w:lineRule="auto"/>
            </w:pPr>
            <w:r/>
            <w:r>
              <w:rPr>
                <w:rFonts w:ascii="Calibri" w:hAnsi="Calibri"/>
                <w:b w:val="0"/>
                <w:i w:val="0"/>
                <w:color w:val="0B2B24"/>
                <w:sz w:val="17"/>
              </w:rPr>
              <w:t>Selected point and maps</w:t>
            </w:r>
          </w:p>
        </w:tc>
        <w:tc>
          <w:tcPr>
            <w:tcW w:type="dxa" w:w="6060"/>
          </w:tcPr>
          <w:p>
            <w:pPr>
              <w:spacing w:after="0" w:line="264" w:lineRule="auto"/>
            </w:pPr>
            <w:r/>
            <w:r>
              <w:rPr>
                <w:rFonts w:ascii="Calibri" w:hAnsi="Calibri"/>
                <w:b w:val="0"/>
                <w:i w:val="0"/>
                <w:color w:val="0B2B24"/>
                <w:sz w:val="17"/>
              </w:rPr>
              <w:t>Leaflet point, catchment, study area, candidate land and contour layers</w:t>
            </w:r>
          </w:p>
        </w:tc>
      </w:tr>
      <w:tr>
        <w:tc>
          <w:tcPr>
            <w:tcW w:type="dxa" w:w="3300"/>
          </w:tcPr>
          <w:p>
            <w:pPr>
              <w:spacing w:after="0" w:line="264" w:lineRule="auto"/>
            </w:pPr>
            <w:r/>
            <w:r>
              <w:rPr>
                <w:rFonts w:ascii="Calibri" w:hAnsi="Calibri"/>
                <w:b w:val="0"/>
                <w:i w:val="0"/>
                <w:color w:val="0B2B24"/>
                <w:sz w:val="17"/>
              </w:rPr>
              <w:t>User pond-site choice</w:t>
            </w:r>
          </w:p>
        </w:tc>
        <w:tc>
          <w:tcPr>
            <w:tcW w:type="dxa" w:w="6060"/>
          </w:tcPr>
          <w:p>
            <w:pPr>
              <w:spacing w:after="0" w:line="264" w:lineRule="auto"/>
            </w:pPr>
            <w:r/>
            <w:r>
              <w:rPr>
                <w:rFonts w:ascii="Calibri" w:hAnsi="Calibri"/>
                <w:b w:val="0"/>
                <w:i w:val="0"/>
                <w:color w:val="0B2B24"/>
                <w:sz w:val="17"/>
              </w:rPr>
              <w:t>Automatic ranking, validated point selection, or polygon-constrained search</w:t>
            </w:r>
          </w:p>
        </w:tc>
      </w:tr>
      <w:tr>
        <w:tc>
          <w:tcPr>
            <w:tcW w:type="dxa" w:w="3300"/>
          </w:tcPr>
          <w:p>
            <w:pPr>
              <w:spacing w:after="0" w:line="264" w:lineRule="auto"/>
            </w:pPr>
            <w:r/>
            <w:r>
              <w:rPr>
                <w:rFonts w:ascii="Calibri" w:hAnsi="Calibri"/>
                <w:b w:val="0"/>
                <w:i w:val="0"/>
                <w:color w:val="0B2B24"/>
                <w:sz w:val="17"/>
              </w:rPr>
              <w:t>River/water safeguard</w:t>
            </w:r>
          </w:p>
        </w:tc>
        <w:tc>
          <w:tcPr>
            <w:tcW w:type="dxa" w:w="6060"/>
          </w:tcPr>
          <w:p>
            <w:pPr>
              <w:spacing w:after="0" w:line="264" w:lineRule="auto"/>
            </w:pPr>
            <w:r/>
            <w:r>
              <w:rPr>
                <w:rFonts w:ascii="Calibri" w:hAnsi="Calibri"/>
                <w:b w:val="0"/>
                <w:i w:val="0"/>
                <w:color w:val="0B2B24"/>
                <w:sz w:val="17"/>
              </w:rPr>
              <w:t>Detected-water cells and a configurable 60 m buffer are hard-excluded before scoring</w:t>
            </w:r>
          </w:p>
        </w:tc>
      </w:tr>
      <w:tr>
        <w:tc>
          <w:tcPr>
            <w:tcW w:type="dxa" w:w="3300"/>
          </w:tcPr>
          <w:p>
            <w:pPr>
              <w:spacing w:after="0" w:line="264" w:lineRule="auto"/>
            </w:pPr>
            <w:r/>
            <w:r>
              <w:rPr>
                <w:rFonts w:ascii="Calibri" w:hAnsi="Calibri"/>
                <w:b w:val="0"/>
                <w:i w:val="0"/>
                <w:color w:val="0B2B24"/>
                <w:sz w:val="17"/>
              </w:rPr>
              <w:t>KML/KMZ backend route</w:t>
            </w:r>
          </w:p>
        </w:tc>
        <w:tc>
          <w:tcPr>
            <w:tcW w:type="dxa" w:w="6060"/>
          </w:tcPr>
          <w:p>
            <w:pPr>
              <w:spacing w:after="0" w:line="264" w:lineRule="auto"/>
            </w:pPr>
            <w:r/>
            <w:r>
              <w:rPr>
                <w:rFonts w:ascii="Calibri" w:hAnsi="Calibri"/>
                <w:b w:val="0"/>
                <w:i w:val="0"/>
                <w:color w:val="0B2B24"/>
                <w:sz w:val="17"/>
              </w:rPr>
              <w:t>POST /api/analyze-contour plus assignment-compatible aliases</w:t>
            </w:r>
          </w:p>
        </w:tc>
      </w:tr>
      <w:tr>
        <w:tc>
          <w:tcPr>
            <w:tcW w:type="dxa" w:w="3300"/>
          </w:tcPr>
          <w:p>
            <w:pPr>
              <w:spacing w:after="0" w:line="264" w:lineRule="auto"/>
            </w:pPr>
            <w:r/>
            <w:r>
              <w:rPr>
                <w:rFonts w:ascii="Calibri" w:hAnsi="Calibri"/>
                <w:b w:val="0"/>
                <w:i w:val="0"/>
                <w:color w:val="0B2B24"/>
                <w:sz w:val="17"/>
              </w:rPr>
              <w:t>Structured result</w:t>
            </w:r>
          </w:p>
        </w:tc>
        <w:tc>
          <w:tcPr>
            <w:tcW w:type="dxa" w:w="6060"/>
          </w:tcPr>
          <w:p>
            <w:pPr>
              <w:spacing w:after="0" w:line="264" w:lineRule="auto"/>
            </w:pPr>
            <w:r/>
            <w:r>
              <w:rPr>
                <w:rFonts w:ascii="Calibri" w:hAnsi="Calibri"/>
                <w:b w:val="0"/>
                <w:i w:val="0"/>
                <w:color w:val="0B2B24"/>
                <w:sz w:val="17"/>
              </w:rPr>
              <w:t>Strict Pydantic JSON models, stable errors and OpenAPI documentation</w:t>
            </w:r>
          </w:p>
        </w:tc>
      </w:tr>
      <w:tr>
        <w:tc>
          <w:tcPr>
            <w:tcW w:type="dxa" w:w="3300"/>
          </w:tcPr>
          <w:p>
            <w:pPr>
              <w:spacing w:after="0" w:line="264" w:lineRule="auto"/>
            </w:pPr>
            <w:r/>
            <w:r>
              <w:rPr>
                <w:rFonts w:ascii="Calibri" w:hAnsi="Calibri"/>
                <w:b w:val="0"/>
                <w:i w:val="0"/>
                <w:color w:val="0B2B24"/>
                <w:sz w:val="17"/>
              </w:rPr>
              <w:t>Generalized implementation</w:t>
            </w:r>
          </w:p>
        </w:tc>
        <w:tc>
          <w:tcPr>
            <w:tcW w:type="dxa" w:w="6060"/>
          </w:tcPr>
          <w:p>
            <w:pPr>
              <w:spacing w:after="0" w:line="264" w:lineRule="auto"/>
            </w:pPr>
            <w:r/>
            <w:r>
              <w:rPr>
                <w:rFonts w:ascii="Calibri" w:hAnsi="Calibri"/>
                <w:b w:val="0"/>
                <w:i w:val="0"/>
                <w:color w:val="0B2B24"/>
                <w:sz w:val="17"/>
              </w:rPr>
              <w:t>All locations, geometry, elevations and outputs derived from input</w:t>
            </w:r>
          </w:p>
        </w:tc>
      </w:tr>
      <w:tr>
        <w:tc>
          <w:tcPr>
            <w:tcW w:type="dxa" w:w="3300"/>
          </w:tcPr>
          <w:p>
            <w:pPr>
              <w:spacing w:after="0" w:line="264" w:lineRule="auto"/>
            </w:pPr>
            <w:r/>
            <w:r>
              <w:rPr>
                <w:rFonts w:ascii="Calibri" w:hAnsi="Calibri"/>
                <w:b w:val="0"/>
                <w:i w:val="0"/>
                <w:color w:val="0B2B24"/>
                <w:sz w:val="17"/>
              </w:rPr>
              <w:t>Accessible frontend</w:t>
            </w:r>
          </w:p>
        </w:tc>
        <w:tc>
          <w:tcPr>
            <w:tcW w:type="dxa" w:w="6060"/>
          </w:tcPr>
          <w:p>
            <w:pPr>
              <w:spacing w:after="0" w:line="264" w:lineRule="auto"/>
            </w:pPr>
            <w:r/>
            <w:r>
              <w:rPr>
                <w:rFonts w:ascii="Calibri" w:hAnsi="Calibri"/>
                <w:b w:val="0"/>
                <w:i w:val="0"/>
                <w:color w:val="0B2B24"/>
                <w:sz w:val="17"/>
              </w:rPr>
              <w:t>Responsive keyboard-friendly React UI with explicit status/warnings</w:t>
            </w:r>
          </w:p>
        </w:tc>
      </w:tr>
      <w:tr>
        <w:tc>
          <w:tcPr>
            <w:tcW w:type="dxa" w:w="3300"/>
          </w:tcPr>
          <w:p>
            <w:pPr>
              <w:spacing w:after="0" w:line="264" w:lineRule="auto"/>
            </w:pPr>
            <w:r/>
            <w:r>
              <w:rPr>
                <w:rFonts w:ascii="Calibri" w:hAnsi="Calibri"/>
                <w:b w:val="0"/>
                <w:i w:val="0"/>
                <w:color w:val="0B2B24"/>
                <w:sz w:val="17"/>
              </w:rPr>
              <w:t>Installation/API docs</w:t>
            </w:r>
          </w:p>
        </w:tc>
        <w:tc>
          <w:tcPr>
            <w:tcW w:type="dxa" w:w="6060"/>
          </w:tcPr>
          <w:p>
            <w:pPr>
              <w:spacing w:after="0" w:line="264" w:lineRule="auto"/>
            </w:pPr>
            <w:r/>
            <w:r>
              <w:rPr>
                <w:rFonts w:ascii="Calibri" w:hAnsi="Calibri"/>
                <w:b w:val="0"/>
                <w:i w:val="0"/>
                <w:color w:val="0B2B24"/>
                <w:sz w:val="17"/>
              </w:rPr>
              <w:t>README, docs/API.md, docs/DEPLOYMENT.md, Swagger and ReDoc</w:t>
            </w:r>
          </w:p>
        </w:tc>
      </w:tr>
      <w:tr>
        <w:tc>
          <w:tcPr>
            <w:tcW w:type="dxa" w:w="3300"/>
          </w:tcPr>
          <w:p>
            <w:pPr>
              <w:spacing w:after="0" w:line="264" w:lineRule="auto"/>
            </w:pPr>
            <w:r/>
            <w:r>
              <w:rPr>
                <w:rFonts w:ascii="Calibri" w:hAnsi="Calibri"/>
                <w:b w:val="0"/>
                <w:i w:val="0"/>
                <w:color w:val="0B2B24"/>
                <w:sz w:val="17"/>
              </w:rPr>
              <w:t>Testing/code quality</w:t>
            </w:r>
          </w:p>
        </w:tc>
        <w:tc>
          <w:tcPr>
            <w:tcW w:type="dxa" w:w="6060"/>
          </w:tcPr>
          <w:p>
            <w:pPr>
              <w:spacing w:after="0" w:line="264" w:lineRule="auto"/>
            </w:pPr>
            <w:r/>
            <w:r>
              <w:rPr>
                <w:rFonts w:ascii="Calibri" w:hAnsi="Calibri"/>
                <w:b w:val="0"/>
                <w:i w:val="0"/>
                <w:color w:val="0B2B24"/>
                <w:sz w:val="17"/>
              </w:rPr>
              <w:t>Automated unit/API/UI tests, lint, coverage, audits, migrations and builds</w:t>
            </w:r>
          </w:p>
        </w:tc>
      </w:tr>
    </w:tbl>
    <w:p>
      <w:pPr>
        <w:spacing w:before="80" w:after="80"/>
      </w:pPr>
    </w:p>
    <w:p>
      <w:pPr>
        <w:pStyle w:val="Heading1"/>
        <w:pageBreakBefore/>
      </w:pPr>
      <w:bookmarkStart w:id="22" w:name="sec_013"/>
      <w:r>
        <w:t>3. System architecture</w:t>
      </w:r>
      <w:bookmarkEnd w:id="22"/>
    </w:p>
    <w:p>
      <w:pPr>
        <w:keepNext/>
        <w:jc w:val="center"/>
      </w:pPr>
      <w:r>
        <w:drawing>
          <wp:inline xmlns:a="http://schemas.openxmlformats.org/drawingml/2006/main" xmlns:pic="http://schemas.openxmlformats.org/drawingml/2006/picture">
            <wp:extent cx="5760720" cy="3240405"/>
            <wp:docPr id="1" name="Picture 1" descr="Block diagram showing React and Leaflet, FastAPI, contour and live-source services, the shared hydrology core, optional database, and external providers."/>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760720" cy="3240405"/>
                    </a:xfrm>
                    <a:prstGeom prst="rect"/>
                  </pic:spPr>
                </pic:pic>
              </a:graphicData>
            </a:graphic>
          </wp:inline>
        </w:drawing>
      </w:r>
    </w:p>
    <w:p>
      <w:pPr>
        <w:pStyle w:val="Caption"/>
        <w:jc w:val="center"/>
      </w:pPr>
      <w:r>
        <w:t>Figure 1. System architecture and service boundaries</w:t>
      </w:r>
    </w:p>
    <w:p>
      <w:r>
        <w:rPr>
          <w:rFonts w:ascii="Calibri" w:hAnsi="Calibri"/>
          <w:b w:val="0"/>
          <w:i w:val="0"/>
          <w:color w:val="0B2B24"/>
          <w:sz w:val="22"/>
        </w:rPr>
        <w:t>The browser client is a Vite/React single-page application using Leaflet for map display. It sends either a multipart contour upload or a location/radius JSON request to a FastAPI backend. Axios cancellation and a monotonically increasing request sequence prevent stale responses from replacing newer analysis.</w:t>
      </w:r>
    </w:p>
    <w:p>
      <w:r>
        <w:rPr>
          <w:rFonts w:ascii="Calibri" w:hAnsi="Calibri"/>
          <w:b w:val="0"/>
          <w:i w:val="0"/>
          <w:color w:val="0B2B24"/>
          <w:sz w:val="22"/>
        </w:rPr>
        <w:t>FastAPI validates all public contracts with Pydantic and delegates geospatial work to independent services. Uploaded contours pass through a safe parser, terrain-grid reconstruction, and the shared hydrology pipeline. Location analysis uses independent elevation, rainfall, imagery, geocoding, terrain, runoff, and pond modules. CPU-heavy OpenCV and terrain work runs outside the asynchronous event loop.</w:t>
      </w:r>
    </w:p>
    <w:p>
      <w:r>
        <w:rPr>
          <w:rFonts w:ascii="Calibri" w:hAnsi="Calibri"/>
          <w:b w:val="0"/>
          <w:i w:val="0"/>
          <w:color w:val="0B2B24"/>
          <w:sz w:val="22"/>
        </w:rPr>
        <w:t>PostgreSQL history is optional and disabled by default because it stores precise locations. When enabled, history requires an API key, bounded queries, Alembic migrations, and non-default credentials.</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6F8FA"/>
          </w:tcPr>
          <w:p>
            <w:pPr>
              <w:spacing w:after="0" w:line="240" w:lineRule="auto"/>
            </w:pPr>
            <w:r/>
            <w:r>
              <w:rPr>
                <w:rFonts w:ascii="Consolas" w:hAnsi="Consolas"/>
                <w:color w:val="0B2B24"/>
                <w:sz w:val="16"/>
              </w:rPr>
              <w:t>React / Leaflet</w:t>
              <w:br/>
              <w:t xml:space="preserve">  |-- KML/KMZ multipart --&gt; FastAPI --&gt; safe parser --&gt; interpolated DEM</w:t>
              <w:br/>
              <w:t xml:space="preserve">  |                                              `--&gt; D8 catchment JSON</w:t>
              <w:br/>
              <w:t xml:space="preserve">  `-- location + radius --&gt; FastAPI --&gt; elevation + rainfall + imagery</w:t>
              <w:br/>
              <w:t xml:space="preserve">                                                 `--&gt; runoff + pond screen</w:t>
              <w:br/>
              <w:br/>
              <w:t>Optional protected history -------------------------------&gt; PostgreSQL</w:t>
            </w:r>
          </w:p>
        </w:tc>
      </w:tr>
    </w:tbl>
    <w:p>
      <w:pPr>
        <w:spacing w:after="20"/>
      </w:pPr>
    </w:p>
    <w:p>
      <w:pPr>
        <w:pStyle w:val="Heading1"/>
        <w:pageBreakBefore/>
      </w:pPr>
      <w:bookmarkStart w:id="23" w:name="sec_014"/>
      <w:r>
        <w:t>4. Phase 2 contour-file analysis</w:t>
      </w:r>
      <w:bookmarkEnd w:id="23"/>
    </w:p>
    <w:p>
      <w:pPr>
        <w:keepNext/>
        <w:jc w:val="center"/>
      </w:pPr>
      <w:r>
        <w:drawing>
          <wp:inline xmlns:a="http://schemas.openxmlformats.org/drawingml/2006/main" xmlns:pic="http://schemas.openxmlformats.org/drawingml/2006/picture">
            <wp:extent cx="5760720" cy="3240405"/>
            <wp:docPr id="2" name="Picture 2" descr="Comparison of the contour-file and live-location workflows feeding a shared output contract."/>
            <wp:cNvGraphicFramePr>
              <a:graphicFrameLocks noChangeAspect="1"/>
            </wp:cNvGraphicFramePr>
            <a:graphic>
              <a:graphicData uri="http://schemas.openxmlformats.org/drawingml/2006/picture">
                <pic:pic>
                  <pic:nvPicPr>
                    <pic:cNvPr id="0" name="workflow_comparison.png"/>
                    <pic:cNvPicPr/>
                  </pic:nvPicPr>
                  <pic:blipFill>
                    <a:blip r:embed="rId12"/>
                    <a:stretch>
                      <a:fillRect/>
                    </a:stretch>
                  </pic:blipFill>
                  <pic:spPr>
                    <a:xfrm>
                      <a:off x="0" y="0"/>
                      <a:ext cx="5760720" cy="3240405"/>
                    </a:xfrm>
                    <a:prstGeom prst="rect"/>
                  </pic:spPr>
                </pic:pic>
              </a:graphicData>
            </a:graphic>
          </wp:inline>
        </w:drawing>
      </w:r>
    </w:p>
    <w:p>
      <w:pPr>
        <w:pStyle w:val="Caption"/>
        <w:jc w:val="center"/>
      </w:pPr>
      <w:r>
        <w:t>Figure 2. How contour upload and live analysis complement each other</w:t>
      </w:r>
    </w:p>
    <w:p>
      <w:pPr>
        <w:pStyle w:val="Heading2"/>
      </w:pPr>
      <w:bookmarkStart w:id="24" w:name="sec_015"/>
      <w:r>
        <w:t>4.1 Input and validation</w:t>
      </w:r>
      <w:bookmarkEnd w:id="24"/>
    </w:p>
    <w:p>
      <w:r>
        <w:rPr>
          <w:rFonts w:ascii="Calibri" w:hAnsi="Calibri"/>
          <w:b w:val="0"/>
          <w:i w:val="0"/>
          <w:color w:val="0B2B24"/>
          <w:sz w:val="22"/>
        </w:rPr>
        <w:t>The canonical route is POST /api/analyze-contour; the multipart field name is contour_file. Hidden compatibility aliases /api/analyzeContour and /api/findCatchment accept the same request. The route reads at most the configured 15 MiB plus one byte, closes the temporary upload, and runs CPU work in a worker thread.</w:t>
      </w:r>
    </w:p>
    <w:p>
      <w:r>
        <w:rPr>
          <w:rFonts w:ascii="Calibri" w:hAnsi="Calibri"/>
          <w:b w:val="0"/>
          <w:i w:val="0"/>
          <w:color w:val="0B2B24"/>
          <w:sz w:val="22"/>
        </w:rPr>
        <w:t>The parser supports plain KML and KMZ. It obtains a line elevation, in order, from a numeric Placemark name, an elevation-like Data or SimpleData field, or a constant altitude coordinate. It accepts namespace variants and MultiGeometry because it traverses Placemark geometry recursively.</w:t>
      </w:r>
    </w:p>
    <w:p>
      <w:r>
        <w:rPr>
          <w:rFonts w:ascii="Calibri" w:hAnsi="Calibri"/>
          <w:b w:val="0"/>
          <w:i w:val="0"/>
          <w:color w:val="0B2B24"/>
          <w:sz w:val="22"/>
        </w:rPr>
        <w:t>Validation rejects malformed XML, DTD/entity declarations, invalid coordinates, encrypted archives, unsafe compression ratios, too many archive entries, large expanded KMZ content, excessive contour/point counts, fewer than three lines or levels, and less than 0.5 m total relief. An uploaded polygon supplies a study boundary; otherwise a buffered convex hull is derived from the input contours.</w:t>
      </w:r>
    </w:p>
    <w:p>
      <w:pPr>
        <w:pStyle w:val="Heading2"/>
      </w:pPr>
      <w:bookmarkStart w:id="25" w:name="sec_016"/>
      <w:r>
        <w:t>4.2 Terrain reconstruction</w:t>
      </w:r>
      <w:bookmarkEnd w:id="25"/>
    </w:p>
    <w:p>
      <w:r>
        <w:rPr>
          <w:rFonts w:ascii="Calibri" w:hAnsi="Calibri"/>
          <w:b w:val="0"/>
          <w:i w:val="0"/>
          <w:color w:val="0B2B24"/>
          <w:sz w:val="22"/>
        </w:rPr>
        <w:t>KML stores vector isolines rather than a complete elevation raster. The service projects the study extent to a latitude-corrected metric grid. Grid dimensions are selected from input extent and contour interval, then bounded by configuration. Each contour is rasterized into fixed observed cells. Unknown interior cells are initialized from neighboring observations and solved by iterative harmonic interpolation while observed values remain fixed. The result records observed-cell ratio, iteration count, convergence, cell size, and method.</w:t>
      </w:r>
    </w:p>
    <w:p>
      <w:r>
        <w:rPr>
          <w:rFonts w:ascii="Calibri" w:hAnsi="Calibri"/>
          <w:b w:val="0"/>
          <w:i w:val="0"/>
          <w:color w:val="0B2B24"/>
          <w:sz w:val="22"/>
        </w:rPr>
        <w:t>The study boundary masks both interpolation and later hydrology so cells outside the uploaded domain cannot become part of the catchment. Results are always labelled degraded, even on successful convergence, because an interpolated surface is not equivalent to a surveyed DEM.</w:t>
      </w:r>
    </w:p>
    <w:p>
      <w:pPr>
        <w:pStyle w:val="Heading2"/>
      </w:pPr>
      <w:bookmarkStart w:id="26" w:name="sec_017"/>
      <w:r>
        <w:t>4.3 Hydrology and candidate selection</w:t>
      </w:r>
      <w:bookmarkEnd w:id="26"/>
    </w:p>
    <w:p>
      <w:pPr>
        <w:keepNext/>
        <w:jc w:val="center"/>
      </w:pPr>
      <w:r>
        <w:drawing>
          <wp:inline xmlns:a="http://schemas.openxmlformats.org/drawingml/2006/main" xmlns:pic="http://schemas.openxmlformats.org/drawingml/2006/picture">
            <wp:extent cx="5760720" cy="3240405"/>
            <wp:docPr id="3" name="Picture 3" descr="Eight-step flowchart from safe parsing to selected catchment, rainfall, runoff, and pond geometry."/>
            <wp:cNvGraphicFramePr>
              <a:graphicFrameLocks noChangeAspect="1"/>
            </wp:cNvGraphicFramePr>
            <a:graphic>
              <a:graphicData uri="http://schemas.openxmlformats.org/drawingml/2006/picture">
                <pic:pic>
                  <pic:nvPicPr>
                    <pic:cNvPr id="0" name="contour_pipeline.png"/>
                    <pic:cNvPicPr/>
                  </pic:nvPicPr>
                  <pic:blipFill>
                    <a:blip r:embed="rId13"/>
                    <a:stretch>
                      <a:fillRect/>
                    </a:stretch>
                  </pic:blipFill>
                  <pic:spPr>
                    <a:xfrm>
                      <a:off x="0" y="0"/>
                      <a:ext cx="5760720" cy="3240405"/>
                    </a:xfrm>
                    <a:prstGeom prst="rect"/>
                  </pic:spPr>
                </pic:pic>
              </a:graphicData>
            </a:graphic>
          </wp:inline>
        </w:drawing>
      </w:r>
    </w:p>
    <w:p>
      <w:pPr>
        <w:pStyle w:val="Caption"/>
        <w:jc w:val="center"/>
      </w:pPr>
      <w:r>
        <w:t>Figure 3. End-to-end contour upload algorithm</w:t>
      </w:r>
    </w:p>
    <w:p>
      <w:pPr>
        <w:keepNext/>
        <w:jc w:val="center"/>
      </w:pPr>
      <w:r>
        <w:drawing>
          <wp:inline xmlns:a="http://schemas.openxmlformats.org/drawingml/2006/main" xmlns:pic="http://schemas.openxmlformats.org/drawingml/2006/picture">
            <wp:extent cx="5760720" cy="3240405"/>
            <wp:docPr id="4" name="Picture 4" descr="Decision flow showing study boundary, setback, outlet, water buffer, and upstream-catchment checks before ranking."/>
            <wp:cNvGraphicFramePr>
              <a:graphicFrameLocks noChangeAspect="1"/>
            </wp:cNvGraphicFramePr>
            <a:graphic>
              <a:graphicData uri="http://schemas.openxmlformats.org/drawingml/2006/picture">
                <pic:pic>
                  <pic:nvPicPr>
                    <pic:cNvPr id="0" name="safety_gates.png"/>
                    <pic:cNvPicPr/>
                  </pic:nvPicPr>
                  <pic:blipFill>
                    <a:blip r:embed="rId14"/>
                    <a:stretch>
                      <a:fillRect/>
                    </a:stretch>
                  </pic:blipFill>
                  <pic:spPr>
                    <a:xfrm>
                      <a:off x="0" y="0"/>
                      <a:ext cx="5760720" cy="3240405"/>
                    </a:xfrm>
                    <a:prstGeom prst="rect"/>
                  </pic:spPr>
                </pic:pic>
              </a:graphicData>
            </a:graphic>
          </wp:inline>
        </w:drawing>
      </w:r>
    </w:p>
    <w:p>
      <w:pPr>
        <w:pStyle w:val="Caption"/>
        <w:jc w:val="center"/>
      </w:pPr>
      <w:r>
        <w:t>Figure 4. Hard candidate eligibility gates</w:t>
      </w:r>
    </w:p>
    <w:p>
      <w:r>
        <w:rPr>
          <w:rFonts w:ascii="Calibri" w:hAnsi="Calibri"/>
          <w:b w:val="0"/>
          <w:i w:val="0"/>
          <w:color w:val="0B2B24"/>
          <w:sz w:val="22"/>
        </w:rPr>
        <w:t>The shared deterministic pipeline performs:</w:t>
      </w:r>
    </w:p>
    <w:p>
      <w:pPr>
        <w:numPr>
          <w:ilvl w:val="0"/>
          <w:numId w:val="12"/>
        </w:numPr>
        <w:spacing w:after="80" w:line="300" w:lineRule="auto"/>
      </w:pPr>
      <w:r>
        <w:rPr>
          <w:rFonts w:ascii="Calibri" w:hAnsi="Calibri"/>
          <w:b w:val="0"/>
          <w:i w:val="0"/>
          <w:color w:val="0B2B24"/>
          <w:sz w:val="22"/>
        </w:rPr>
        <w:t>finite grid and analysis-mask validation;</w:t>
      </w:r>
    </w:p>
    <w:p>
      <w:pPr>
        <w:numPr>
          <w:ilvl w:val="0"/>
          <w:numId w:val="12"/>
        </w:numPr>
        <w:spacing w:after="80" w:line="300" w:lineRule="auto"/>
      </w:pPr>
      <w:r>
        <w:rPr>
          <w:rFonts w:ascii="Calibri" w:hAnsi="Calibri"/>
          <w:b w:val="0"/>
          <w:i w:val="0"/>
          <w:color w:val="0B2B24"/>
          <w:sz w:val="22"/>
        </w:rPr>
        <w:t>priority-flood depression filling;</w:t>
      </w:r>
    </w:p>
    <w:p>
      <w:pPr>
        <w:numPr>
          <w:ilvl w:val="0"/>
          <w:numId w:val="12"/>
        </w:numPr>
        <w:spacing w:after="80" w:line="300" w:lineRule="auto"/>
      </w:pPr>
      <w:r>
        <w:rPr>
          <w:rFonts w:ascii="Calibri" w:hAnsi="Calibri"/>
          <w:b w:val="0"/>
          <w:i w:val="0"/>
          <w:color w:val="0B2B24"/>
          <w:sz w:val="22"/>
        </w:rPr>
        <w:t>a very small deterministic gradient for equal-elevation flats;</w:t>
      </w:r>
    </w:p>
    <w:p>
      <w:pPr>
        <w:numPr>
          <w:ilvl w:val="0"/>
          <w:numId w:val="12"/>
        </w:numPr>
        <w:spacing w:after="80" w:line="300" w:lineRule="auto"/>
      </w:pPr>
      <w:r>
        <w:rPr>
          <w:rFonts w:ascii="Calibri" w:hAnsi="Calibri"/>
          <w:b w:val="0"/>
          <w:i w:val="0"/>
          <w:color w:val="0B2B24"/>
          <w:sz w:val="22"/>
        </w:rPr>
        <w:t>steepest lower-neighbor D8 flow direction;</w:t>
      </w:r>
    </w:p>
    <w:p>
      <w:pPr>
        <w:numPr>
          <w:ilvl w:val="0"/>
          <w:numId w:val="12"/>
        </w:numPr>
        <w:spacing w:after="80" w:line="300" w:lineRule="auto"/>
      </w:pPr>
      <w:r>
        <w:rPr>
          <w:rFonts w:ascii="Calibri" w:hAnsi="Calibri"/>
          <w:b w:val="0"/>
          <w:i w:val="0"/>
          <w:color w:val="0B2B24"/>
          <w:sz w:val="22"/>
        </w:rPr>
        <w:t>topological upstream flow accumulation;</w:t>
      </w:r>
    </w:p>
    <w:p>
      <w:pPr>
        <w:numPr>
          <w:ilvl w:val="0"/>
          <w:numId w:val="12"/>
        </w:numPr>
        <w:spacing w:after="80" w:line="300" w:lineRule="auto"/>
      </w:pPr>
      <w:r>
        <w:rPr>
          <w:rFonts w:ascii="Calibri" w:hAnsi="Calibri"/>
          <w:b w:val="0"/>
          <w:i w:val="0"/>
          <w:color w:val="0B2B24"/>
          <w:sz w:val="22"/>
        </w:rPr>
        <w:t>local-slope, relative-elevation, analysis-boundary-clearance, and detected- water-clearance calculation;</w:t>
      </w:r>
    </w:p>
    <w:p>
      <w:pPr>
        <w:numPr>
          <w:ilvl w:val="0"/>
          <w:numId w:val="12"/>
        </w:numPr>
        <w:spacing w:after="80" w:line="300" w:lineRule="auto"/>
      </w:pPr>
      <w:r>
        <w:rPr>
          <w:rFonts w:ascii="Calibri" w:hAnsi="Calibri"/>
          <w:b w:val="0"/>
          <w:i w:val="0"/>
          <w:color w:val="0B2B24"/>
          <w:sz w:val="22"/>
        </w:rPr>
        <w:t>hard eligibility filtering that rejects cells outside the study area, inside the configurable boundary or detected-water setbacks, on a terminal outlet, or without a valid upstream land catchment;</w:t>
      </w:r>
    </w:p>
    <w:p>
      <w:pPr>
        <w:numPr>
          <w:ilvl w:val="0"/>
          <w:numId w:val="12"/>
        </w:numPr>
        <w:spacing w:after="80" w:line="300" w:lineRule="auto"/>
      </w:pPr>
      <w:r>
        <w:rPr>
          <w:rFonts w:ascii="Calibri" w:hAnsi="Calibri"/>
          <w:b w:val="0"/>
          <w:i w:val="0"/>
          <w:color w:val="0B2B24"/>
          <w:sz w:val="22"/>
        </w:rPr>
        <w:t>explainable multi-criteria ranking. When water evidence is available, the score uses 52% logarithmic contributing area, 20% local flatness, 10% lower relative elevation, 8% boundary clearance, and 10% water clearance. Without water evidence the normalized weights are 58%, 22%, 11%, and 9%;</w:t>
      </w:r>
    </w:p>
    <w:p>
      <w:pPr>
        <w:numPr>
          <w:ilvl w:val="0"/>
          <w:numId w:val="12"/>
        </w:numPr>
        <w:spacing w:after="80" w:line="300" w:lineRule="auto"/>
      </w:pPr>
      <w:r>
        <w:rPr>
          <w:rFonts w:ascii="Calibri" w:hAnsi="Calibri"/>
          <w:b w:val="0"/>
          <w:i w:val="0"/>
          <w:color w:val="0B2B24"/>
          <w:sz w:val="22"/>
        </w:rPr>
        <w:t>deterministic non-maximum suppression that keeps three alternatives at least 100 m or three grid cells apart;</w:t>
      </w:r>
    </w:p>
    <w:p>
      <w:pPr>
        <w:numPr>
          <w:ilvl w:val="0"/>
          <w:numId w:val="12"/>
        </w:numPr>
        <w:spacing w:after="80" w:line="300" w:lineRule="auto"/>
      </w:pPr>
      <w:r>
        <w:rPr>
          <w:rFonts w:ascii="Calibri" w:hAnsi="Calibri"/>
          <w:b w:val="0"/>
          <w:i w:val="0"/>
          <w:color w:val="0B2B24"/>
          <w:sz w:val="22"/>
        </w:rPr>
        <w:t>selection by the top automatic option, a user point snapped to an eligible grid cell, or the highest-scoring cell inside a user-drawn polygon;</w:t>
      </w:r>
    </w:p>
    <w:p>
      <w:pPr>
        <w:numPr>
          <w:ilvl w:val="0"/>
          <w:numId w:val="12"/>
        </w:numPr>
        <w:spacing w:after="80" w:line="300" w:lineRule="auto"/>
      </w:pPr>
      <w:r>
        <w:rPr>
          <w:rFonts w:ascii="Calibri" w:hAnsi="Calibri"/>
          <w:b w:val="0"/>
          <w:i w:val="0"/>
          <w:color w:val="0B2B24"/>
          <w:sz w:val="22"/>
        </w:rPr>
        <w:t>reverse graph traversal to collect every cell draining to the actually selected candidate, rather than the larger study-area outlet watershed;</w:t>
      </w:r>
    </w:p>
    <w:p>
      <w:pPr>
        <w:numPr>
          <w:ilvl w:val="0"/>
          <w:numId w:val="12"/>
        </w:numPr>
        <w:spacing w:after="80" w:line="300" w:lineRule="auto"/>
      </w:pPr>
      <w:r>
        <w:rPr>
          <w:rFonts w:ascii="Calibri" w:hAnsi="Calibri"/>
          <w:b w:val="0"/>
          <w:i w:val="0"/>
          <w:color w:val="0B2B24"/>
          <w:sz w:val="22"/>
        </w:rPr>
        <w:t>latitude-corrected catchment-area calculation; and</w:t>
      </w:r>
    </w:p>
    <w:p>
      <w:pPr>
        <w:numPr>
          <w:ilvl w:val="0"/>
          <w:numId w:val="12"/>
        </w:numPr>
        <w:spacing w:after="80" w:line="300" w:lineRule="auto"/>
      </w:pPr>
      <w:r>
        <w:rPr>
          <w:rFonts w:ascii="Calibri" w:hAnsi="Calibri"/>
          <w:b w:val="0"/>
          <w:i w:val="0"/>
          <w:color w:val="0B2B24"/>
          <w:sz w:val="22"/>
        </w:rPr>
        <w:t>simplified WGS84 boundary extraction for JSON and Leaflet.</w:t>
      </w:r>
    </w:p>
    <w:p>
      <w:r>
        <w:rPr>
          <w:rFonts w:ascii="Calibri" w:hAnsi="Calibri"/>
          <w:b w:val="0"/>
          <w:i w:val="0"/>
          <w:color w:val="0B2B24"/>
          <w:sz w:val="22"/>
        </w:rPr>
        <w:t>Manual selections pass the same hard safeguards as automatic options. An outside, boundary-setback, outlet, or detected-water point returns a typed 422 error instead of a plausible-looking result. Changing the selected option restarts reverse traversal and therefore recomputes catchment, rainfall-based runoff, capacity, dimensions, and excavation volume for that point.</w:t>
      </w:r>
    </w:p>
    <w:p>
      <w:r>
        <w:rPr>
          <w:rFonts w:ascii="Calibri" w:hAnsi="Calibri"/>
          <w:b w:val="0"/>
          <w:i w:val="0"/>
          <w:color w:val="0B2B24"/>
          <w:sz w:val="22"/>
        </w:rPr>
        <w:t>No sample coordinate, candidate point, catchment boundary, area, or expected elevation is stored in the implementation.</w:t>
      </w:r>
    </w:p>
    <w:p>
      <w:pPr>
        <w:pStyle w:val="Heading2"/>
      </w:pPr>
      <w:bookmarkStart w:id="27" w:name="sec_018"/>
      <w:r>
        <w:t>4.4 Provided-map result</w:t>
      </w:r>
      <w:bookmarkEnd w:id="27"/>
    </w:p>
    <w:p>
      <w:pPr>
        <w:keepNext/>
        <w:jc w:val="center"/>
      </w:pPr>
      <w:r>
        <w:drawing>
          <wp:inline xmlns:a="http://schemas.openxmlformats.org/drawingml/2006/main" xmlns:pic="http://schemas.openxmlformats.org/drawingml/2006/picture">
            <wp:extent cx="5760720" cy="3240405"/>
            <wp:docPr id="5" name="Picture 5" descr="Three grouped bar panels compare suitability, upstream catchment area, and detected-water clearance for the production alternatives."/>
            <wp:cNvGraphicFramePr>
              <a:graphicFrameLocks noChangeAspect="1"/>
            </wp:cNvGraphicFramePr>
            <a:graphic>
              <a:graphicData uri="http://schemas.openxmlformats.org/drawingml/2006/picture">
                <pic:pic>
                  <pic:nvPicPr>
                    <pic:cNvPr id="0" name="production_options.png"/>
                    <pic:cNvPicPr/>
                  </pic:nvPicPr>
                  <pic:blipFill>
                    <a:blip r:embed="rId15"/>
                    <a:stretch>
                      <a:fillRect/>
                    </a:stretch>
                  </pic:blipFill>
                  <pic:spPr>
                    <a:xfrm>
                      <a:off x="0" y="0"/>
                      <a:ext cx="5760720" cy="3240405"/>
                    </a:xfrm>
                    <a:prstGeom prst="rect"/>
                  </pic:spPr>
                </pic:pic>
              </a:graphicData>
            </a:graphic>
          </wp:inline>
        </w:drawing>
      </w:r>
    </w:p>
    <w:p>
      <w:pPr>
        <w:pStyle w:val="Caption"/>
        <w:jc w:val="center"/>
      </w:pPr>
      <w:r>
        <w:t>Figure 5. Three ranked options from the supplied KML</w:t>
      </w:r>
    </w:p>
    <w:p>
      <w:pPr>
        <w:keepNext/>
        <w:jc w:val="center"/>
      </w:pPr>
      <w:r>
        <w:drawing>
          <wp:inline xmlns:a="http://schemas.openxmlformats.org/drawingml/2006/main" xmlns:pic="http://schemas.openxmlformats.org/drawingml/2006/picture">
            <wp:extent cx="5760720" cy="3600450"/>
            <wp:docPr id="6" name="Picture 6" descr="Satellite map displaying uploaded contour extent, reconstructed contours, selected catchment, drainage path, hydrology outlet, and three numbered pond alternatives."/>
            <wp:cNvGraphicFramePr>
              <a:graphicFrameLocks noChangeAspect="1"/>
            </wp:cNvGraphicFramePr>
            <a:graphic>
              <a:graphicData uri="http://schemas.openxmlformats.org/drawingml/2006/picture">
                <pic:pic>
                  <pic:nvPicPr>
                    <pic:cNvPr id="0" name="production-map-expanded.png"/>
                    <pic:cNvPicPr/>
                  </pic:nvPicPr>
                  <pic:blipFill>
                    <a:blip r:embed="rId16"/>
                    <a:stretch>
                      <a:fillRect/>
                    </a:stretch>
                  </pic:blipFill>
                  <pic:spPr>
                    <a:xfrm>
                      <a:off x="0" y="0"/>
                      <a:ext cx="5760720" cy="3600450"/>
                    </a:xfrm>
                    <a:prstGeom prst="rect"/>
                  </pic:spPr>
                </pic:pic>
              </a:graphicData>
            </a:graphic>
          </wp:inline>
        </w:drawing>
      </w:r>
    </w:p>
    <w:p>
      <w:pPr>
        <w:pStyle w:val="Caption"/>
        <w:jc w:val="center"/>
      </w:pPr>
      <w:r>
        <w:t>Figure 6. Expanded production map with panel collapsed</w:t>
      </w:r>
    </w:p>
    <w:p>
      <w:r>
        <w:rPr>
          <w:rFonts w:ascii="Calibri" w:hAnsi="Calibri"/>
          <w:b w:val="0"/>
          <w:i w:val="0"/>
          <w:color w:val="0B2B24"/>
          <w:sz w:val="22"/>
        </w:rPr>
        <w:t>The supplied contours_1m.kml was processed through release 0a385c0 of the deployed service on 29 August 2026. The measured automatic output was:</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trPr>
        <w:tc>
          <w:tcPr>
            <w:tcW w:type="dxa" w:w="3300"/>
            <w:tcMar>
              <w:top w:w="80" w:type="dxa"/>
              <w:start w:w="120" w:type="dxa"/>
              <w:bottom w:w="80" w:type="dxa"/>
              <w:end w:w="120" w:type="dxa"/>
            </w:tcMar>
            <w:vAlign w:val="center"/>
            <w:shd w:fill="DDF8EE"/>
          </w:tcPr>
          <w:p>
            <w:pPr>
              <w:spacing w:after="0"/>
            </w:pPr>
            <w:r/>
            <w:r>
              <w:rPr>
                <w:rFonts w:ascii="Calibri" w:hAnsi="Calibri"/>
                <w:b/>
                <w:color w:val="0B2B24"/>
                <w:sz w:val="17"/>
              </w:rPr>
              <w:t>Metric</w:t>
            </w:r>
          </w:p>
        </w:tc>
        <w:tc>
          <w:tcPr>
            <w:tcW w:type="dxa" w:w="6060"/>
            <w:tcMar>
              <w:top w:w="80" w:type="dxa"/>
              <w:start w:w="120" w:type="dxa"/>
              <w:bottom w:w="80" w:type="dxa"/>
              <w:end w:w="120" w:type="dxa"/>
            </w:tcMar>
            <w:vAlign w:val="center"/>
            <w:shd w:fill="DDF8EE"/>
          </w:tcPr>
          <w:p>
            <w:pPr>
              <w:spacing w:after="0"/>
            </w:pPr>
            <w:r/>
            <w:r>
              <w:rPr>
                <w:rFonts w:ascii="Calibri" w:hAnsi="Calibri"/>
                <w:b/>
                <w:color w:val="0B2B24"/>
                <w:sz w:val="17"/>
              </w:rPr>
              <w:t>Result</w:t>
            </w:r>
          </w:p>
        </w:tc>
      </w:tr>
      <w:tr>
        <w:tc>
          <w:tcPr>
            <w:tcW w:type="dxa" w:w="3300"/>
          </w:tcPr>
          <w:p>
            <w:pPr>
              <w:spacing w:after="0" w:line="264" w:lineRule="auto"/>
            </w:pPr>
            <w:r/>
            <w:r>
              <w:rPr>
                <w:rFonts w:ascii="Calibri" w:hAnsi="Calibri"/>
                <w:b w:val="0"/>
                <w:i w:val="0"/>
                <w:color w:val="0B2B24"/>
                <w:sz w:val="17"/>
              </w:rPr>
              <w:t>Contour LineStrings</w:t>
            </w:r>
          </w:p>
        </w:tc>
        <w:tc>
          <w:tcPr>
            <w:tcW w:type="dxa" w:w="6060"/>
          </w:tcPr>
          <w:p>
            <w:pPr>
              <w:spacing w:after="0" w:line="264" w:lineRule="auto"/>
            </w:pPr>
            <w:r/>
            <w:r>
              <w:rPr>
                <w:rFonts w:ascii="Calibri" w:hAnsi="Calibri"/>
                <w:b w:val="0"/>
                <w:i w:val="0"/>
                <w:color w:val="0B2B24"/>
                <w:sz w:val="17"/>
              </w:rPr>
              <w:t>1,355</w:t>
            </w:r>
          </w:p>
        </w:tc>
      </w:tr>
      <w:tr>
        <w:tc>
          <w:tcPr>
            <w:tcW w:type="dxa" w:w="3300"/>
          </w:tcPr>
          <w:p>
            <w:pPr>
              <w:spacing w:after="0" w:line="264" w:lineRule="auto"/>
            </w:pPr>
            <w:r/>
            <w:r>
              <w:rPr>
                <w:rFonts w:ascii="Calibri" w:hAnsi="Calibri"/>
                <w:b w:val="0"/>
                <w:i w:val="0"/>
                <w:color w:val="0B2B24"/>
                <w:sz w:val="17"/>
              </w:rPr>
              <w:t>Source vertices</w:t>
            </w:r>
          </w:p>
        </w:tc>
        <w:tc>
          <w:tcPr>
            <w:tcW w:type="dxa" w:w="6060"/>
          </w:tcPr>
          <w:p>
            <w:pPr>
              <w:spacing w:after="0" w:line="264" w:lineRule="auto"/>
            </w:pPr>
            <w:r/>
            <w:r>
              <w:rPr>
                <w:rFonts w:ascii="Calibri" w:hAnsi="Calibri"/>
                <w:b w:val="0"/>
                <w:i w:val="0"/>
                <w:color w:val="0B2B24"/>
                <w:sz w:val="17"/>
              </w:rPr>
              <w:t>159,113</w:t>
            </w:r>
          </w:p>
        </w:tc>
      </w:tr>
      <w:tr>
        <w:tc>
          <w:tcPr>
            <w:tcW w:type="dxa" w:w="3300"/>
          </w:tcPr>
          <w:p>
            <w:pPr>
              <w:spacing w:after="0" w:line="264" w:lineRule="auto"/>
            </w:pPr>
            <w:r/>
            <w:r>
              <w:rPr>
                <w:rFonts w:ascii="Calibri" w:hAnsi="Calibri"/>
                <w:b w:val="0"/>
                <w:i w:val="0"/>
                <w:color w:val="0B2B24"/>
                <w:sz w:val="17"/>
              </w:rPr>
              <w:t>Distinct elevation levels</w:t>
            </w:r>
          </w:p>
        </w:tc>
        <w:tc>
          <w:tcPr>
            <w:tcW w:type="dxa" w:w="6060"/>
          </w:tcPr>
          <w:p>
            <w:pPr>
              <w:spacing w:after="0" w:line="264" w:lineRule="auto"/>
            </w:pPr>
            <w:r/>
            <w:r>
              <w:rPr>
                <w:rFonts w:ascii="Calibri" w:hAnsi="Calibri"/>
                <w:b w:val="0"/>
                <w:i w:val="0"/>
                <w:color w:val="0B2B24"/>
                <w:sz w:val="17"/>
              </w:rPr>
              <w:t>32</w:t>
            </w:r>
          </w:p>
        </w:tc>
      </w:tr>
      <w:tr>
        <w:tc>
          <w:tcPr>
            <w:tcW w:type="dxa" w:w="3300"/>
          </w:tcPr>
          <w:p>
            <w:pPr>
              <w:spacing w:after="0" w:line="264" w:lineRule="auto"/>
            </w:pPr>
            <w:r/>
            <w:r>
              <w:rPr>
                <w:rFonts w:ascii="Calibri" w:hAnsi="Calibri"/>
                <w:b w:val="0"/>
                <w:i w:val="0"/>
                <w:color w:val="0B2B24"/>
                <w:sz w:val="17"/>
              </w:rPr>
              <w:t>Elevation range</w:t>
            </w:r>
          </w:p>
        </w:tc>
        <w:tc>
          <w:tcPr>
            <w:tcW w:type="dxa" w:w="6060"/>
          </w:tcPr>
          <w:p>
            <w:pPr>
              <w:spacing w:after="0" w:line="264" w:lineRule="auto"/>
            </w:pPr>
            <w:r/>
            <w:r>
              <w:rPr>
                <w:rFonts w:ascii="Calibri" w:hAnsi="Calibri"/>
                <w:b w:val="0"/>
                <w:i w:val="0"/>
                <w:color w:val="0B2B24"/>
                <w:sz w:val="17"/>
              </w:rPr>
              <w:t>267.0-298.0 m</w:t>
            </w:r>
          </w:p>
        </w:tc>
      </w:tr>
      <w:tr>
        <w:tc>
          <w:tcPr>
            <w:tcW w:type="dxa" w:w="3300"/>
          </w:tcPr>
          <w:p>
            <w:pPr>
              <w:spacing w:after="0" w:line="264" w:lineRule="auto"/>
            </w:pPr>
            <w:r/>
            <w:r>
              <w:rPr>
                <w:rFonts w:ascii="Calibri" w:hAnsi="Calibri"/>
                <w:b w:val="0"/>
                <w:i w:val="0"/>
                <w:color w:val="0B2B24"/>
                <w:sz w:val="17"/>
              </w:rPr>
              <w:t>Median contour interval</w:t>
            </w:r>
          </w:p>
        </w:tc>
        <w:tc>
          <w:tcPr>
            <w:tcW w:type="dxa" w:w="6060"/>
          </w:tcPr>
          <w:p>
            <w:pPr>
              <w:spacing w:after="0" w:line="264" w:lineRule="auto"/>
            </w:pPr>
            <w:r/>
            <w:r>
              <w:rPr>
                <w:rFonts w:ascii="Calibri" w:hAnsi="Calibri"/>
                <w:b w:val="0"/>
                <w:i w:val="0"/>
                <w:color w:val="0B2B24"/>
                <w:sz w:val="17"/>
              </w:rPr>
              <w:t>1.0 m</w:t>
            </w:r>
          </w:p>
        </w:tc>
      </w:tr>
      <w:tr>
        <w:tc>
          <w:tcPr>
            <w:tcW w:type="dxa" w:w="3300"/>
          </w:tcPr>
          <w:p>
            <w:pPr>
              <w:spacing w:after="0" w:line="264" w:lineRule="auto"/>
            </w:pPr>
            <w:r/>
            <w:r>
              <w:rPr>
                <w:rFonts w:ascii="Calibri" w:hAnsi="Calibri"/>
                <w:b w:val="0"/>
                <w:i w:val="0"/>
                <w:color w:val="0B2B24"/>
                <w:sz w:val="17"/>
              </w:rPr>
              <w:t>Analysis grid</w:t>
            </w:r>
          </w:p>
        </w:tc>
        <w:tc>
          <w:tcPr>
            <w:tcW w:type="dxa" w:w="6060"/>
          </w:tcPr>
          <w:p>
            <w:pPr>
              <w:spacing w:after="0" w:line="264" w:lineRule="auto"/>
            </w:pPr>
            <w:r/>
            <w:r>
              <w:rPr>
                <w:rFonts w:ascii="Calibri" w:hAnsi="Calibri"/>
                <w:b w:val="0"/>
                <w:i w:val="0"/>
                <w:color w:val="0B2B24"/>
                <w:sz w:val="17"/>
              </w:rPr>
              <w:t>148 x 181</w:t>
            </w:r>
          </w:p>
        </w:tc>
      </w:tr>
      <w:tr>
        <w:tc>
          <w:tcPr>
            <w:tcW w:type="dxa" w:w="3300"/>
          </w:tcPr>
          <w:p>
            <w:pPr>
              <w:spacing w:after="0" w:line="264" w:lineRule="auto"/>
            </w:pPr>
            <w:r/>
            <w:r>
              <w:rPr>
                <w:rFonts w:ascii="Calibri" w:hAnsi="Calibri"/>
                <w:b w:val="0"/>
                <w:i w:val="0"/>
                <w:color w:val="0B2B24"/>
                <w:sz w:val="17"/>
              </w:rPr>
              <w:t>Cell size</w:t>
            </w:r>
          </w:p>
        </w:tc>
        <w:tc>
          <w:tcPr>
            <w:tcW w:type="dxa" w:w="6060"/>
          </w:tcPr>
          <w:p>
            <w:pPr>
              <w:spacing w:after="0" w:line="264" w:lineRule="auto"/>
            </w:pPr>
            <w:r/>
            <w:r>
              <w:rPr>
                <w:rFonts w:ascii="Calibri" w:hAnsi="Calibri"/>
                <w:b w:val="0"/>
                <w:i w:val="0"/>
                <w:color w:val="0B2B24"/>
                <w:sz w:val="17"/>
              </w:rPr>
              <w:t>18.0 m</w:t>
            </w:r>
          </w:p>
        </w:tc>
      </w:tr>
      <w:tr>
        <w:tc>
          <w:tcPr>
            <w:tcW w:type="dxa" w:w="3300"/>
          </w:tcPr>
          <w:p>
            <w:pPr>
              <w:spacing w:after="0" w:line="264" w:lineRule="auto"/>
            </w:pPr>
            <w:r/>
            <w:r>
              <w:rPr>
                <w:rFonts w:ascii="Calibri" w:hAnsi="Calibri"/>
                <w:b w:val="0"/>
                <w:i w:val="0"/>
                <w:color w:val="0B2B24"/>
                <w:sz w:val="17"/>
              </w:rPr>
              <w:t>Directly observed analysis cells</w:t>
            </w:r>
          </w:p>
        </w:tc>
        <w:tc>
          <w:tcPr>
            <w:tcW w:type="dxa" w:w="6060"/>
          </w:tcPr>
          <w:p>
            <w:pPr>
              <w:spacing w:after="0" w:line="264" w:lineRule="auto"/>
            </w:pPr>
            <w:r/>
            <w:r>
              <w:rPr>
                <w:rFonts w:ascii="Calibri" w:hAnsi="Calibri"/>
                <w:b w:val="0"/>
                <w:i w:val="0"/>
                <w:color w:val="0B2B24"/>
                <w:sz w:val="17"/>
              </w:rPr>
              <w:t>85.206%</w:t>
            </w:r>
          </w:p>
        </w:tc>
      </w:tr>
      <w:tr>
        <w:tc>
          <w:tcPr>
            <w:tcW w:type="dxa" w:w="3300"/>
          </w:tcPr>
          <w:p>
            <w:pPr>
              <w:spacing w:after="0" w:line="264" w:lineRule="auto"/>
            </w:pPr>
            <w:r/>
            <w:r>
              <w:rPr>
                <w:rFonts w:ascii="Calibri" w:hAnsi="Calibri"/>
                <w:b w:val="0"/>
                <w:i w:val="0"/>
                <w:color w:val="0B2B24"/>
                <w:sz w:val="17"/>
              </w:rPr>
              <w:t>Harmonic iterations</w:t>
            </w:r>
          </w:p>
        </w:tc>
        <w:tc>
          <w:tcPr>
            <w:tcW w:type="dxa" w:w="6060"/>
          </w:tcPr>
          <w:p>
            <w:pPr>
              <w:spacing w:after="0" w:line="264" w:lineRule="auto"/>
            </w:pPr>
            <w:r/>
            <w:r>
              <w:rPr>
                <w:rFonts w:ascii="Calibri" w:hAnsi="Calibri"/>
                <w:b w:val="0"/>
                <w:i w:val="0"/>
                <w:color w:val="0B2B24"/>
                <w:sz w:val="17"/>
              </w:rPr>
              <w:t>31, converged</w:t>
            </w:r>
          </w:p>
        </w:tc>
      </w:tr>
      <w:tr>
        <w:tc>
          <w:tcPr>
            <w:tcW w:type="dxa" w:w="3300"/>
          </w:tcPr>
          <w:p>
            <w:pPr>
              <w:spacing w:after="0" w:line="264" w:lineRule="auto"/>
            </w:pPr>
            <w:r/>
            <w:r>
              <w:rPr>
                <w:rFonts w:ascii="Calibri" w:hAnsi="Calibri"/>
                <w:b w:val="0"/>
                <w:i w:val="0"/>
                <w:color w:val="0B2B24"/>
                <w:sz w:val="17"/>
              </w:rPr>
              <w:t>Candidate coordinate</w:t>
            </w:r>
          </w:p>
        </w:tc>
        <w:tc>
          <w:tcPr>
            <w:tcW w:type="dxa" w:w="6060"/>
          </w:tcPr>
          <w:p>
            <w:pPr>
              <w:spacing w:after="0" w:line="264" w:lineRule="auto"/>
            </w:pPr>
            <w:r/>
            <w:r>
              <w:rPr>
                <w:rFonts w:ascii="Calibri" w:hAnsi="Calibri"/>
                <w:b w:val="0"/>
                <w:i w:val="0"/>
                <w:color w:val="0B2B24"/>
                <w:sz w:val="17"/>
              </w:rPr>
              <w:t>21.244025, 81.288000</w:t>
            </w:r>
          </w:p>
        </w:tc>
      </w:tr>
      <w:tr>
        <w:tc>
          <w:tcPr>
            <w:tcW w:type="dxa" w:w="3300"/>
          </w:tcPr>
          <w:p>
            <w:pPr>
              <w:spacing w:after="0" w:line="264" w:lineRule="auto"/>
            </w:pPr>
            <w:r/>
            <w:r>
              <w:rPr>
                <w:rFonts w:ascii="Calibri" w:hAnsi="Calibri"/>
                <w:b w:val="0"/>
                <w:i w:val="0"/>
                <w:color w:val="0B2B24"/>
                <w:sz w:val="17"/>
              </w:rPr>
              <w:t>Candidate interpolated elevation</w:t>
            </w:r>
          </w:p>
        </w:tc>
        <w:tc>
          <w:tcPr>
            <w:tcW w:type="dxa" w:w="6060"/>
          </w:tcPr>
          <w:p>
            <w:pPr>
              <w:spacing w:after="0" w:line="264" w:lineRule="auto"/>
            </w:pPr>
            <w:r/>
            <w:r>
              <w:rPr>
                <w:rFonts w:ascii="Calibri" w:hAnsi="Calibri"/>
                <w:b w:val="0"/>
                <w:i w:val="0"/>
                <w:color w:val="0B2B24"/>
                <w:sz w:val="17"/>
              </w:rPr>
              <w:t>270.0 m</w:t>
            </w:r>
          </w:p>
        </w:tc>
      </w:tr>
      <w:tr>
        <w:tc>
          <w:tcPr>
            <w:tcW w:type="dxa" w:w="3300"/>
          </w:tcPr>
          <w:p>
            <w:pPr>
              <w:spacing w:after="0" w:line="264" w:lineRule="auto"/>
            </w:pPr>
            <w:r/>
            <w:r>
              <w:rPr>
                <w:rFonts w:ascii="Calibri" w:hAnsi="Calibri"/>
                <w:b w:val="0"/>
                <w:i w:val="0"/>
                <w:color w:val="0B2B24"/>
                <w:sz w:val="17"/>
              </w:rPr>
              <w:t>Candidate suitability</w:t>
            </w:r>
          </w:p>
        </w:tc>
        <w:tc>
          <w:tcPr>
            <w:tcW w:type="dxa" w:w="6060"/>
          </w:tcPr>
          <w:p>
            <w:pPr>
              <w:spacing w:after="0" w:line="264" w:lineRule="auto"/>
            </w:pPr>
            <w:r/>
            <w:r>
              <w:rPr>
                <w:rFonts w:ascii="Calibri" w:hAnsi="Calibri"/>
                <w:b w:val="0"/>
                <w:i w:val="0"/>
                <w:color w:val="0B2B24"/>
                <w:sz w:val="17"/>
              </w:rPr>
              <w:t>95.54 / 100</w:t>
            </w:r>
          </w:p>
        </w:tc>
      </w:tr>
      <w:tr>
        <w:tc>
          <w:tcPr>
            <w:tcW w:type="dxa" w:w="3300"/>
          </w:tcPr>
          <w:p>
            <w:pPr>
              <w:spacing w:after="0" w:line="264" w:lineRule="auto"/>
            </w:pPr>
            <w:r/>
            <w:r>
              <w:rPr>
                <w:rFonts w:ascii="Calibri" w:hAnsi="Calibri"/>
                <w:b w:val="0"/>
                <w:i w:val="0"/>
                <w:color w:val="0B2B24"/>
                <w:sz w:val="17"/>
              </w:rPr>
              <w:t>Local slope</w:t>
            </w:r>
          </w:p>
        </w:tc>
        <w:tc>
          <w:tcPr>
            <w:tcW w:type="dxa" w:w="6060"/>
          </w:tcPr>
          <w:p>
            <w:pPr>
              <w:spacing w:after="0" w:line="264" w:lineRule="auto"/>
            </w:pPr>
            <w:r/>
            <w:r>
              <w:rPr>
                <w:rFonts w:ascii="Calibri" w:hAnsi="Calibri"/>
                <w:b w:val="0"/>
                <w:i w:val="0"/>
                <w:color w:val="0B2B24"/>
                <w:sz w:val="17"/>
              </w:rPr>
              <w:t>2.899%</w:t>
            </w:r>
          </w:p>
        </w:tc>
      </w:tr>
      <w:tr>
        <w:tc>
          <w:tcPr>
            <w:tcW w:type="dxa" w:w="3300"/>
          </w:tcPr>
          <w:p>
            <w:pPr>
              <w:spacing w:after="0" w:line="264" w:lineRule="auto"/>
            </w:pPr>
            <w:r/>
            <w:r>
              <w:rPr>
                <w:rFonts w:ascii="Calibri" w:hAnsi="Calibri"/>
                <w:b w:val="0"/>
                <w:i w:val="0"/>
                <w:color w:val="0B2B24"/>
                <w:sz w:val="17"/>
              </w:rPr>
              <w:t>Boundary / detected-water clearance</w:t>
            </w:r>
          </w:p>
        </w:tc>
        <w:tc>
          <w:tcPr>
            <w:tcW w:type="dxa" w:w="6060"/>
          </w:tcPr>
          <w:p>
            <w:pPr>
              <w:spacing w:after="0" w:line="264" w:lineRule="auto"/>
            </w:pPr>
            <w:r/>
            <w:r>
              <w:rPr>
                <w:rFonts w:ascii="Calibri" w:hAnsi="Calibri"/>
                <w:b w:val="0"/>
                <w:i w:val="0"/>
                <w:color w:val="0B2B24"/>
                <w:sz w:val="17"/>
              </w:rPr>
              <w:t>467.99 m / 334.35 m</w:t>
            </w:r>
          </w:p>
        </w:tc>
      </w:tr>
      <w:tr>
        <w:tc>
          <w:tcPr>
            <w:tcW w:type="dxa" w:w="3300"/>
          </w:tcPr>
          <w:p>
            <w:pPr>
              <w:spacing w:after="0" w:line="264" w:lineRule="auto"/>
            </w:pPr>
            <w:r/>
            <w:r>
              <w:rPr>
                <w:rFonts w:ascii="Calibri" w:hAnsi="Calibri"/>
                <w:b w:val="0"/>
                <w:i w:val="0"/>
                <w:color w:val="0B2B24"/>
                <w:sz w:val="17"/>
              </w:rPr>
              <w:t>Modelled catchment</w:t>
            </w:r>
          </w:p>
        </w:tc>
        <w:tc>
          <w:tcPr>
            <w:tcW w:type="dxa" w:w="6060"/>
          </w:tcPr>
          <w:p>
            <w:pPr>
              <w:spacing w:after="0" w:line="264" w:lineRule="auto"/>
            </w:pPr>
            <w:r/>
            <w:r>
              <w:rPr>
                <w:rFonts w:ascii="Calibri" w:hAnsi="Calibri"/>
                <w:b w:val="0"/>
                <w:i w:val="0"/>
                <w:color w:val="0B2B24"/>
                <w:sz w:val="17"/>
              </w:rPr>
              <w:t>3,529,523.47 m² / 352.9523 ha</w:t>
            </w:r>
          </w:p>
        </w:tc>
      </w:tr>
      <w:tr>
        <w:tc>
          <w:tcPr>
            <w:tcW w:type="dxa" w:w="3300"/>
          </w:tcPr>
          <w:p>
            <w:pPr>
              <w:spacing w:after="0" w:line="264" w:lineRule="auto"/>
            </w:pPr>
            <w:r/>
            <w:r>
              <w:rPr>
                <w:rFonts w:ascii="Calibri" w:hAnsi="Calibri"/>
                <w:b w:val="0"/>
                <w:i w:val="0"/>
                <w:color w:val="0B2B24"/>
                <w:sz w:val="17"/>
              </w:rPr>
              <w:t>Catchment cells</w:t>
            </w:r>
          </w:p>
        </w:tc>
        <w:tc>
          <w:tcPr>
            <w:tcW w:type="dxa" w:w="6060"/>
          </w:tcPr>
          <w:p>
            <w:pPr>
              <w:spacing w:after="0" w:line="264" w:lineRule="auto"/>
            </w:pPr>
            <w:r/>
            <w:r>
              <w:rPr>
                <w:rFonts w:ascii="Calibri" w:hAnsi="Calibri"/>
                <w:b w:val="0"/>
                <w:i w:val="0"/>
                <w:color w:val="0B2B24"/>
                <w:sz w:val="17"/>
              </w:rPr>
              <w:t>10,894</w:t>
            </w:r>
          </w:p>
        </w:tc>
      </w:tr>
      <w:tr>
        <w:tc>
          <w:tcPr>
            <w:tcW w:type="dxa" w:w="3300"/>
          </w:tcPr>
          <w:p>
            <w:pPr>
              <w:spacing w:after="0" w:line="264" w:lineRule="auto"/>
            </w:pPr>
            <w:r/>
            <w:r>
              <w:rPr>
                <w:rFonts w:ascii="Calibri" w:hAnsi="Calibri"/>
                <w:b w:val="0"/>
                <w:i w:val="0"/>
                <w:color w:val="0B2B24"/>
                <w:sz w:val="17"/>
              </w:rPr>
              <w:t>Catchment share of study grid</w:t>
            </w:r>
          </w:p>
        </w:tc>
        <w:tc>
          <w:tcPr>
            <w:tcW w:type="dxa" w:w="6060"/>
          </w:tcPr>
          <w:p>
            <w:pPr>
              <w:spacing w:after="0" w:line="264" w:lineRule="auto"/>
            </w:pPr>
            <w:r/>
            <w:r>
              <w:rPr>
                <w:rFonts w:ascii="Calibri" w:hAnsi="Calibri"/>
                <w:b w:val="0"/>
                <w:i w:val="0"/>
                <w:color w:val="0B2B24"/>
                <w:sz w:val="17"/>
              </w:rPr>
              <w:t>41.752%</w:t>
            </w:r>
          </w:p>
        </w:tc>
      </w:tr>
      <w:tr>
        <w:tc>
          <w:tcPr>
            <w:tcW w:type="dxa" w:w="3300"/>
          </w:tcPr>
          <w:p>
            <w:pPr>
              <w:spacing w:after="0" w:line="264" w:lineRule="auto"/>
            </w:pPr>
            <w:r/>
            <w:r>
              <w:rPr>
                <w:rFonts w:ascii="Calibri" w:hAnsi="Calibri"/>
                <w:b w:val="0"/>
                <w:i w:val="0"/>
                <w:color w:val="0B2B24"/>
                <w:sz w:val="17"/>
              </w:rPr>
              <w:t>Historical rainfall</w:t>
            </w:r>
          </w:p>
        </w:tc>
        <w:tc>
          <w:tcPr>
            <w:tcW w:type="dxa" w:w="6060"/>
          </w:tcPr>
          <w:p>
            <w:pPr>
              <w:spacing w:after="0" w:line="264" w:lineRule="auto"/>
            </w:pPr>
            <w:r/>
            <w:r>
              <w:rPr>
                <w:rFonts w:ascii="Calibri" w:hAnsi="Calibri"/>
                <w:b w:val="0"/>
                <w:i w:val="0"/>
                <w:color w:val="0B2B24"/>
                <w:sz w:val="17"/>
              </w:rPr>
              <w:t>1,280.13 mm/year, 35 valid years</w:t>
            </w:r>
          </w:p>
        </w:tc>
      </w:tr>
      <w:tr>
        <w:tc>
          <w:tcPr>
            <w:tcW w:type="dxa" w:w="3300"/>
          </w:tcPr>
          <w:p>
            <w:pPr>
              <w:spacing w:after="0" w:line="264" w:lineRule="auto"/>
            </w:pPr>
            <w:r/>
            <w:r>
              <w:rPr>
                <w:rFonts w:ascii="Calibri" w:hAnsi="Calibri"/>
                <w:b w:val="0"/>
                <w:i w:val="0"/>
                <w:color w:val="0B2B24"/>
                <w:sz w:val="17"/>
              </w:rPr>
              <w:t>Screening runoff volume</w:t>
            </w:r>
          </w:p>
        </w:tc>
        <w:tc>
          <w:tcPr>
            <w:tcW w:type="dxa" w:w="6060"/>
          </w:tcPr>
          <w:p>
            <w:pPr>
              <w:spacing w:after="0" w:line="264" w:lineRule="auto"/>
            </w:pPr>
            <w:r/>
            <w:r>
              <w:rPr>
                <w:rFonts w:ascii="Calibri" w:hAnsi="Calibri"/>
                <w:b w:val="0"/>
                <w:i w:val="0"/>
                <w:color w:val="0B2B24"/>
                <w:sz w:val="17"/>
              </w:rPr>
              <w:t>1,355,474.66 m³/year at C = 0.30</w:t>
            </w:r>
          </w:p>
        </w:tc>
      </w:tr>
      <w:tr>
        <w:tc>
          <w:tcPr>
            <w:tcW w:type="dxa" w:w="3300"/>
          </w:tcPr>
          <w:p>
            <w:pPr>
              <w:spacing w:after="0" w:line="264" w:lineRule="auto"/>
            </w:pPr>
            <w:r/>
            <w:r>
              <w:rPr>
                <w:rFonts w:ascii="Calibri" w:hAnsi="Calibri"/>
                <w:b w:val="0"/>
                <w:i w:val="0"/>
                <w:color w:val="0B2B24"/>
                <w:sz w:val="17"/>
              </w:rPr>
              <w:t>Preliminary pond capacity</w:t>
            </w:r>
          </w:p>
        </w:tc>
        <w:tc>
          <w:tcPr>
            <w:tcW w:type="dxa" w:w="6060"/>
          </w:tcPr>
          <w:p>
            <w:pPr>
              <w:spacing w:after="0" w:line="264" w:lineRule="auto"/>
            </w:pPr>
            <w:r/>
            <w:r>
              <w:rPr>
                <w:rFonts w:ascii="Calibri" w:hAnsi="Calibri"/>
                <w:b w:val="0"/>
                <w:i w:val="0"/>
                <w:color w:val="0B2B24"/>
                <w:sz w:val="17"/>
              </w:rPr>
              <w:t>1,084,379.73 m³</w:t>
            </w:r>
          </w:p>
        </w:tc>
      </w:tr>
      <w:tr>
        <w:tc>
          <w:tcPr>
            <w:tcW w:type="dxa" w:w="3300"/>
          </w:tcPr>
          <w:p>
            <w:pPr>
              <w:spacing w:after="0" w:line="264" w:lineRule="auto"/>
            </w:pPr>
            <w:r/>
            <w:r>
              <w:rPr>
                <w:rFonts w:ascii="Calibri" w:hAnsi="Calibri"/>
                <w:b w:val="0"/>
                <w:i w:val="0"/>
                <w:color w:val="0B2B24"/>
                <w:sz w:val="17"/>
              </w:rPr>
              <w:t>Preliminary excavation volume</w:t>
            </w:r>
          </w:p>
        </w:tc>
        <w:tc>
          <w:tcPr>
            <w:tcW w:type="dxa" w:w="6060"/>
          </w:tcPr>
          <w:p>
            <w:pPr>
              <w:spacing w:after="0" w:line="264" w:lineRule="auto"/>
            </w:pPr>
            <w:r/>
            <w:r>
              <w:rPr>
                <w:rFonts w:ascii="Calibri" w:hAnsi="Calibri"/>
                <w:b w:val="0"/>
                <w:i w:val="0"/>
                <w:color w:val="0B2B24"/>
                <w:sz w:val="17"/>
              </w:rPr>
              <w:t>1,224,734.67 m³</w:t>
            </w:r>
          </w:p>
        </w:tc>
      </w:tr>
      <w:tr>
        <w:tc>
          <w:tcPr>
            <w:tcW w:type="dxa" w:w="3300"/>
          </w:tcPr>
          <w:p>
            <w:pPr>
              <w:spacing w:after="0" w:line="264" w:lineRule="auto"/>
            </w:pPr>
            <w:r/>
            <w:r>
              <w:rPr>
                <w:rFonts w:ascii="Calibri" w:hAnsi="Calibri"/>
                <w:b w:val="0"/>
                <w:i w:val="0"/>
                <w:color w:val="0B2B24"/>
                <w:sz w:val="17"/>
              </w:rPr>
              <w:t>Production API time</w:t>
            </w:r>
          </w:p>
        </w:tc>
        <w:tc>
          <w:tcPr>
            <w:tcW w:type="dxa" w:w="6060"/>
          </w:tcPr>
          <w:p>
            <w:pPr>
              <w:spacing w:after="0" w:line="264" w:lineRule="auto"/>
            </w:pPr>
            <w:r/>
            <w:r>
              <w:rPr>
                <w:rFonts w:ascii="Calibri" w:hAnsi="Calibri"/>
                <w:b w:val="0"/>
                <w:i w:val="0"/>
                <w:color w:val="0B2B24"/>
                <w:sz w:val="17"/>
              </w:rPr>
              <w:t>12.47 s, HTTP 200</w:t>
            </w:r>
          </w:p>
        </w:tc>
      </w:tr>
    </w:tbl>
    <w:p>
      <w:pPr>
        <w:spacing w:before="80" w:after="80"/>
      </w:pPr>
    </w:p>
    <w:p>
      <w:r>
        <w:rPr>
          <w:rFonts w:ascii="Calibri" w:hAnsi="Calibri"/>
          <w:b w:val="0"/>
          <w:i w:val="0"/>
          <w:color w:val="0B2B24"/>
          <w:sz w:val="22"/>
        </w:rPr>
        <w:t>The three returned alternatives were:</w:t>
      </w:r>
    </w:p>
    <w:tbl>
      <w:tblPr>
        <w:tblStyle w:val="TableGrid"/>
        <w:tblW w:type="dxa" w:w="9360"/>
        <w:jc w:val="left"/>
        <w:tblLayout w:type="fixed"/>
        <w:tblLook w:firstColumn="1" w:firstRow="1" w:lastColumn="0" w:lastRow="0" w:noHBand="0" w:noVBand="1" w:val="04A0"/>
        <w:tblInd w:w="120" w:type="dxa"/>
      </w:tblPr>
      <w:tblGrid>
        <w:gridCol w:w="1560"/>
        <w:gridCol w:w="1560"/>
        <w:gridCol w:w="1560"/>
        <w:gridCol w:w="1560"/>
        <w:gridCol w:w="1560"/>
        <w:gridCol w:w="1560"/>
      </w:tblGrid>
      <w:tr>
        <w:trPr>
          <w:tblHeader w:val="true"/>
        </w:trPr>
        <w:tc>
          <w:tcPr>
            <w:tcW w:type="dxa" w:w="1560"/>
            <w:tcMar>
              <w:top w:w="80" w:type="dxa"/>
              <w:start w:w="120" w:type="dxa"/>
              <w:bottom w:w="80" w:type="dxa"/>
              <w:end w:w="120" w:type="dxa"/>
            </w:tcMar>
            <w:vAlign w:val="center"/>
            <w:shd w:fill="DDF8EE"/>
          </w:tcPr>
          <w:p>
            <w:pPr>
              <w:spacing w:after="0"/>
            </w:pPr>
            <w:r/>
            <w:r>
              <w:rPr>
                <w:rFonts w:ascii="Calibri" w:hAnsi="Calibri"/>
                <w:b/>
                <w:color w:val="0B2B24"/>
                <w:sz w:val="17"/>
              </w:rPr>
              <w:t>Rank</w:t>
            </w:r>
          </w:p>
        </w:tc>
        <w:tc>
          <w:tcPr>
            <w:tcW w:type="dxa" w:w="1560"/>
            <w:tcMar>
              <w:top w:w="80" w:type="dxa"/>
              <w:start w:w="120" w:type="dxa"/>
              <w:bottom w:w="80" w:type="dxa"/>
              <w:end w:w="120" w:type="dxa"/>
            </w:tcMar>
            <w:vAlign w:val="center"/>
            <w:shd w:fill="DDF8EE"/>
          </w:tcPr>
          <w:p>
            <w:pPr>
              <w:spacing w:after="0"/>
            </w:pPr>
            <w:r/>
            <w:r>
              <w:rPr>
                <w:rFonts w:ascii="Calibri" w:hAnsi="Calibri"/>
                <w:b/>
                <w:color w:val="0B2B24"/>
                <w:sz w:val="17"/>
              </w:rPr>
              <w:t>Coordinate</w:t>
            </w:r>
          </w:p>
        </w:tc>
        <w:tc>
          <w:tcPr>
            <w:tcW w:type="dxa" w:w="1560"/>
            <w:tcMar>
              <w:top w:w="80" w:type="dxa"/>
              <w:start w:w="120" w:type="dxa"/>
              <w:bottom w:w="80" w:type="dxa"/>
              <w:end w:w="120" w:type="dxa"/>
            </w:tcMar>
            <w:vAlign w:val="center"/>
            <w:shd w:fill="DDF8EE"/>
          </w:tcPr>
          <w:p>
            <w:pPr>
              <w:spacing w:after="0"/>
            </w:pPr>
            <w:r/>
            <w:r>
              <w:rPr>
                <w:rFonts w:ascii="Calibri" w:hAnsi="Calibri"/>
                <w:b/>
                <w:color w:val="0B2B24"/>
                <w:sz w:val="17"/>
              </w:rPr>
              <w:t>Score</w:t>
            </w:r>
          </w:p>
        </w:tc>
        <w:tc>
          <w:tcPr>
            <w:tcW w:type="dxa" w:w="1560"/>
            <w:tcMar>
              <w:top w:w="80" w:type="dxa"/>
              <w:start w:w="120" w:type="dxa"/>
              <w:bottom w:w="80" w:type="dxa"/>
              <w:end w:w="120" w:type="dxa"/>
            </w:tcMar>
            <w:vAlign w:val="center"/>
            <w:shd w:fill="DDF8EE"/>
          </w:tcPr>
          <w:p>
            <w:pPr>
              <w:spacing w:after="0"/>
            </w:pPr>
            <w:r/>
            <w:r>
              <w:rPr>
                <w:rFonts w:ascii="Calibri" w:hAnsi="Calibri"/>
                <w:b/>
                <w:color w:val="0B2B24"/>
                <w:sz w:val="17"/>
              </w:rPr>
              <w:t>Upstream area</w:t>
            </w:r>
          </w:p>
        </w:tc>
        <w:tc>
          <w:tcPr>
            <w:tcW w:type="dxa" w:w="1560"/>
            <w:tcMar>
              <w:top w:w="80" w:type="dxa"/>
              <w:start w:w="120" w:type="dxa"/>
              <w:bottom w:w="80" w:type="dxa"/>
              <w:end w:w="120" w:type="dxa"/>
            </w:tcMar>
            <w:vAlign w:val="center"/>
            <w:shd w:fill="DDF8EE"/>
          </w:tcPr>
          <w:p>
            <w:pPr>
              <w:spacing w:after="0"/>
            </w:pPr>
            <w:r/>
            <w:r>
              <w:rPr>
                <w:rFonts w:ascii="Calibri" w:hAnsi="Calibri"/>
                <w:b/>
                <w:color w:val="0B2B24"/>
                <w:sz w:val="17"/>
              </w:rPr>
              <w:t>Slope</w:t>
            </w:r>
          </w:p>
        </w:tc>
        <w:tc>
          <w:tcPr>
            <w:tcW w:type="dxa" w:w="1560"/>
            <w:tcMar>
              <w:top w:w="80" w:type="dxa"/>
              <w:start w:w="120" w:type="dxa"/>
              <w:bottom w:w="80" w:type="dxa"/>
              <w:end w:w="120" w:type="dxa"/>
            </w:tcMar>
            <w:vAlign w:val="center"/>
            <w:shd w:fill="DDF8EE"/>
          </w:tcPr>
          <w:p>
            <w:pPr>
              <w:spacing w:after="0"/>
            </w:pPr>
            <w:r/>
            <w:r>
              <w:rPr>
                <w:rFonts w:ascii="Calibri" w:hAnsi="Calibri"/>
                <w:b/>
                <w:color w:val="0B2B24"/>
                <w:sz w:val="17"/>
              </w:rPr>
              <w:t>Water clearance</w:t>
            </w:r>
          </w:p>
        </w:tc>
      </w:tr>
      <w:tr>
        <w:tc>
          <w:tcPr>
            <w:tcW w:type="dxa" w:w="1560"/>
          </w:tcPr>
          <w:p>
            <w:pPr>
              <w:spacing w:after="0" w:line="264" w:lineRule="auto"/>
            </w:pPr>
            <w:r/>
            <w:r>
              <w:rPr>
                <w:rFonts w:ascii="Calibri" w:hAnsi="Calibri"/>
                <w:b w:val="0"/>
                <w:i w:val="0"/>
                <w:color w:val="0B2B24"/>
                <w:sz w:val="17"/>
              </w:rPr>
              <w:t>1</w:t>
            </w:r>
          </w:p>
        </w:tc>
        <w:tc>
          <w:tcPr>
            <w:tcW w:type="dxa" w:w="1560"/>
          </w:tcPr>
          <w:p>
            <w:pPr>
              <w:spacing w:after="0" w:line="264" w:lineRule="auto"/>
            </w:pPr>
            <w:r/>
            <w:r>
              <w:rPr>
                <w:rFonts w:ascii="Calibri" w:hAnsi="Calibri"/>
                <w:b w:val="0"/>
                <w:i w:val="0"/>
                <w:color w:val="0B2B24"/>
                <w:sz w:val="17"/>
              </w:rPr>
              <w:t>21.244025, 81.288000</w:t>
            </w:r>
          </w:p>
        </w:tc>
        <w:tc>
          <w:tcPr>
            <w:tcW w:type="dxa" w:w="1560"/>
          </w:tcPr>
          <w:p>
            <w:pPr>
              <w:spacing w:after="0" w:line="264" w:lineRule="auto"/>
            </w:pPr>
            <w:r/>
            <w:r>
              <w:rPr>
                <w:rFonts w:ascii="Calibri" w:hAnsi="Calibri"/>
                <w:b w:val="0"/>
                <w:i w:val="0"/>
                <w:color w:val="0B2B24"/>
                <w:sz w:val="17"/>
              </w:rPr>
              <w:t>95.54</w:t>
            </w:r>
          </w:p>
        </w:tc>
        <w:tc>
          <w:tcPr>
            <w:tcW w:type="dxa" w:w="1560"/>
          </w:tcPr>
          <w:p>
            <w:pPr>
              <w:spacing w:after="0" w:line="264" w:lineRule="auto"/>
            </w:pPr>
            <w:r/>
            <w:r>
              <w:rPr>
                <w:rFonts w:ascii="Calibri" w:hAnsi="Calibri"/>
                <w:b w:val="0"/>
                <w:i w:val="0"/>
                <w:color w:val="0B2B24"/>
                <w:sz w:val="17"/>
              </w:rPr>
              <w:t>352.9523 ha</w:t>
            </w:r>
          </w:p>
        </w:tc>
        <w:tc>
          <w:tcPr>
            <w:tcW w:type="dxa" w:w="1560"/>
          </w:tcPr>
          <w:p>
            <w:pPr>
              <w:spacing w:after="0" w:line="264" w:lineRule="auto"/>
            </w:pPr>
            <w:r/>
            <w:r>
              <w:rPr>
                <w:rFonts w:ascii="Calibri" w:hAnsi="Calibri"/>
                <w:b w:val="0"/>
                <w:i w:val="0"/>
                <w:color w:val="0B2B24"/>
                <w:sz w:val="17"/>
              </w:rPr>
              <w:t>2.899%</w:t>
            </w:r>
          </w:p>
        </w:tc>
        <w:tc>
          <w:tcPr>
            <w:tcW w:type="dxa" w:w="1560"/>
          </w:tcPr>
          <w:p>
            <w:pPr>
              <w:spacing w:after="0" w:line="264" w:lineRule="auto"/>
            </w:pPr>
            <w:r/>
            <w:r>
              <w:rPr>
                <w:rFonts w:ascii="Calibri" w:hAnsi="Calibri"/>
                <w:b w:val="0"/>
                <w:i w:val="0"/>
                <w:color w:val="0B2B24"/>
                <w:sz w:val="17"/>
              </w:rPr>
              <w:t>334.35 m</w:t>
            </w:r>
          </w:p>
        </w:tc>
      </w:tr>
      <w:tr>
        <w:tc>
          <w:tcPr>
            <w:tcW w:type="dxa" w:w="1560"/>
          </w:tcPr>
          <w:p>
            <w:pPr>
              <w:spacing w:after="0" w:line="264" w:lineRule="auto"/>
            </w:pPr>
            <w:r/>
            <w:r>
              <w:rPr>
                <w:rFonts w:ascii="Calibri" w:hAnsi="Calibri"/>
                <w:b w:val="0"/>
                <w:i w:val="0"/>
                <w:color w:val="0B2B24"/>
                <w:sz w:val="17"/>
              </w:rPr>
              <w:t>2</w:t>
            </w:r>
          </w:p>
        </w:tc>
        <w:tc>
          <w:tcPr>
            <w:tcW w:type="dxa" w:w="1560"/>
          </w:tcPr>
          <w:p>
            <w:pPr>
              <w:spacing w:after="0" w:line="264" w:lineRule="auto"/>
            </w:pPr>
            <w:r/>
            <w:r>
              <w:rPr>
                <w:rFonts w:ascii="Calibri" w:hAnsi="Calibri"/>
                <w:b w:val="0"/>
                <w:i w:val="0"/>
                <w:color w:val="0B2B24"/>
                <w:sz w:val="17"/>
              </w:rPr>
              <w:t>21.242893, 81.286959</w:t>
            </w:r>
          </w:p>
        </w:tc>
        <w:tc>
          <w:tcPr>
            <w:tcW w:type="dxa" w:w="1560"/>
          </w:tcPr>
          <w:p>
            <w:pPr>
              <w:spacing w:after="0" w:line="264" w:lineRule="auto"/>
            </w:pPr>
            <w:r/>
            <w:r>
              <w:rPr>
                <w:rFonts w:ascii="Calibri" w:hAnsi="Calibri"/>
                <w:b w:val="0"/>
                <w:i w:val="0"/>
                <w:color w:val="0B2B24"/>
                <w:sz w:val="17"/>
              </w:rPr>
              <w:t>95.16</w:t>
            </w:r>
          </w:p>
        </w:tc>
        <w:tc>
          <w:tcPr>
            <w:tcW w:type="dxa" w:w="1560"/>
          </w:tcPr>
          <w:p>
            <w:pPr>
              <w:spacing w:after="0" w:line="264" w:lineRule="auto"/>
            </w:pPr>
            <w:r/>
            <w:r>
              <w:rPr>
                <w:rFonts w:ascii="Calibri" w:hAnsi="Calibri"/>
                <w:b w:val="0"/>
                <w:i w:val="0"/>
                <w:color w:val="0B2B24"/>
                <w:sz w:val="17"/>
              </w:rPr>
              <w:t>381.4633 ha</w:t>
            </w:r>
          </w:p>
        </w:tc>
        <w:tc>
          <w:tcPr>
            <w:tcW w:type="dxa" w:w="1560"/>
          </w:tcPr>
          <w:p>
            <w:pPr>
              <w:spacing w:after="0" w:line="264" w:lineRule="auto"/>
            </w:pPr>
            <w:r/>
            <w:r>
              <w:rPr>
                <w:rFonts w:ascii="Calibri" w:hAnsi="Calibri"/>
                <w:b w:val="0"/>
                <w:i w:val="0"/>
                <w:color w:val="0B2B24"/>
                <w:sz w:val="17"/>
              </w:rPr>
              <w:t>2.777%</w:t>
            </w:r>
          </w:p>
        </w:tc>
        <w:tc>
          <w:tcPr>
            <w:tcW w:type="dxa" w:w="1560"/>
          </w:tcPr>
          <w:p>
            <w:pPr>
              <w:spacing w:after="0" w:line="264" w:lineRule="auto"/>
            </w:pPr>
            <w:r/>
            <w:r>
              <w:rPr>
                <w:rFonts w:ascii="Calibri" w:hAnsi="Calibri"/>
                <w:b w:val="0"/>
                <w:i w:val="0"/>
                <w:color w:val="0B2B24"/>
                <w:sz w:val="17"/>
              </w:rPr>
              <w:t>262.63 m</w:t>
            </w:r>
          </w:p>
        </w:tc>
      </w:tr>
      <w:tr>
        <w:tc>
          <w:tcPr>
            <w:tcW w:type="dxa" w:w="1560"/>
          </w:tcPr>
          <w:p>
            <w:pPr>
              <w:spacing w:after="0" w:line="264" w:lineRule="auto"/>
            </w:pPr>
            <w:r/>
            <w:r>
              <w:rPr>
                <w:rFonts w:ascii="Calibri" w:hAnsi="Calibri"/>
                <w:b w:val="0"/>
                <w:i w:val="0"/>
                <w:color w:val="0B2B24"/>
                <w:sz w:val="17"/>
              </w:rPr>
              <w:t>3</w:t>
            </w:r>
          </w:p>
        </w:tc>
        <w:tc>
          <w:tcPr>
            <w:tcW w:type="dxa" w:w="1560"/>
          </w:tcPr>
          <w:p>
            <w:pPr>
              <w:spacing w:after="0" w:line="264" w:lineRule="auto"/>
            </w:pPr>
            <w:r/>
            <w:r>
              <w:rPr>
                <w:rFonts w:ascii="Calibri" w:hAnsi="Calibri"/>
                <w:b w:val="0"/>
                <w:i w:val="0"/>
                <w:color w:val="0B2B24"/>
                <w:sz w:val="17"/>
              </w:rPr>
              <w:t>21.245156, 81.289215</w:t>
            </w:r>
          </w:p>
        </w:tc>
        <w:tc>
          <w:tcPr>
            <w:tcW w:type="dxa" w:w="1560"/>
          </w:tcPr>
          <w:p>
            <w:pPr>
              <w:spacing w:after="0" w:line="264" w:lineRule="auto"/>
            </w:pPr>
            <w:r/>
            <w:r>
              <w:rPr>
                <w:rFonts w:ascii="Calibri" w:hAnsi="Calibri"/>
                <w:b w:val="0"/>
                <w:i w:val="0"/>
                <w:color w:val="0B2B24"/>
                <w:sz w:val="17"/>
              </w:rPr>
              <w:t>95.04</w:t>
            </w:r>
          </w:p>
        </w:tc>
        <w:tc>
          <w:tcPr>
            <w:tcW w:type="dxa" w:w="1560"/>
          </w:tcPr>
          <w:p>
            <w:pPr>
              <w:spacing w:after="0" w:line="264" w:lineRule="auto"/>
            </w:pPr>
            <w:r/>
            <w:r>
              <w:rPr>
                <w:rFonts w:ascii="Calibri" w:hAnsi="Calibri"/>
                <w:b w:val="0"/>
                <w:i w:val="0"/>
                <w:color w:val="0B2B24"/>
                <w:sz w:val="17"/>
              </w:rPr>
              <w:t>301.1143 ha</w:t>
            </w:r>
          </w:p>
        </w:tc>
        <w:tc>
          <w:tcPr>
            <w:tcW w:type="dxa" w:w="1560"/>
          </w:tcPr>
          <w:p>
            <w:pPr>
              <w:spacing w:after="0" w:line="264" w:lineRule="auto"/>
            </w:pPr>
            <w:r/>
            <w:r>
              <w:rPr>
                <w:rFonts w:ascii="Calibri" w:hAnsi="Calibri"/>
                <w:b w:val="0"/>
                <w:i w:val="0"/>
                <w:color w:val="0B2B24"/>
                <w:sz w:val="17"/>
              </w:rPr>
              <w:t>2.777%</w:t>
            </w:r>
          </w:p>
        </w:tc>
        <w:tc>
          <w:tcPr>
            <w:tcW w:type="dxa" w:w="1560"/>
          </w:tcPr>
          <w:p>
            <w:pPr>
              <w:spacing w:after="0" w:line="264" w:lineRule="auto"/>
            </w:pPr>
            <w:r/>
            <w:r>
              <w:rPr>
                <w:rFonts w:ascii="Calibri" w:hAnsi="Calibri"/>
                <w:b w:val="0"/>
                <w:i w:val="0"/>
                <w:color w:val="0B2B24"/>
                <w:sz w:val="17"/>
              </w:rPr>
              <w:t>435.54 m</w:t>
            </w:r>
          </w:p>
        </w:tc>
      </w:tr>
    </w:tbl>
    <w:p>
      <w:pPr>
        <w:spacing w:before="80" w:after="80"/>
      </w:pPr>
    </w:p>
    <w:p>
      <w:r>
        <w:rPr>
          <w:rFonts w:ascii="Calibri" w:hAnsi="Calibri"/>
          <w:b w:val="0"/>
          <w:i w:val="0"/>
          <w:color w:val="0B2B24"/>
          <w:sz w:val="22"/>
        </w:rPr>
        <w:t>Selecting option 3 as a point produced the exact 301.1143 ha upstream catchment, 1,156,396.32 m³/year runoff, and 925,117.06 m³ capacity. Restricting the search to a small polygon around option 2 selected that point and produced 381.4633 ha, 1,464,967.75 m³/year runoff, and 1,171,974.20 m³ capacity. This proves that each output is recomputed for the selected point rather than copied from the automatic result. A KMZ created from the same KML produced an identical automatic result. An outside manual point returned HTTP 422 with invalid_contour_selection.</w:t>
      </w:r>
    </w:p>
    <w:p>
      <w:r>
        <w:rPr>
          <w:rFonts w:ascii="Calibri" w:hAnsi="Calibri"/>
          <w:b w:val="0"/>
          <w:i w:val="0"/>
          <w:color w:val="0B2B24"/>
          <w:sz w:val="22"/>
        </w:rPr>
        <w:t>Production satellite screening detected 0.33% water-like pixels and applied the 60 m hard exclusion before ranking. A separate deterministic synthetic-river test placed the water mask over the otherwise best KML candidate and verified that the point was rejected as inside the exclusion buffer.</w:t>
      </w:r>
    </w:p>
    <w:p>
      <w:r>
        <w:rPr>
          <w:rFonts w:ascii="Calibri" w:hAnsi="Calibri"/>
          <w:b w:val="0"/>
          <w:i w:val="0"/>
          <w:color w:val="0B2B24"/>
          <w:sz w:val="22"/>
        </w:rPr>
        <w:t>These figures demonstrate the working algorithm on the provided map; they are not a field-verified pond recommendation.</w:t>
      </w:r>
    </w:p>
    <w:p>
      <w:pPr>
        <w:pStyle w:val="Heading1"/>
        <w:pageBreakBefore/>
      </w:pPr>
      <w:bookmarkStart w:id="28" w:name="sec_019"/>
      <w:r>
        <w:t>5. Location-based elevation and hydrology</w:t>
      </w:r>
      <w:bookmarkEnd w:id="28"/>
    </w:p>
    <w:p>
      <w:r>
        <w:rPr>
          <w:rFonts w:ascii="Calibri" w:hAnsi="Calibri"/>
          <w:b w:val="0"/>
          <w:i w:val="0"/>
          <w:color w:val="0B2B24"/>
          <w:sz w:val="22"/>
        </w:rPr>
        <w:t>The location workflow requests WGS84 elevation points through Open-Meteo. The documented source is Copernicus DEM 2021 GLO-90. Grid density is radius-aware and targets approximately 90 m cells, subject to configured limits. The public API path is capped at 23 x 23 locations to remain below its public request allowance; the response is marked degraded when this cap is coarser than the target.</w:t>
      </w:r>
    </w:p>
    <w:p>
      <w:r>
        <w:rPr>
          <w:rFonts w:ascii="Calibri" w:hAnsi="Calibri"/>
          <w:b w:val="0"/>
          <w:i w:val="0"/>
          <w:color w:val="0B2B24"/>
          <w:sz w:val="22"/>
        </w:rPr>
        <w:t>If the point API fails or returns insufficient coverage, the backend uses a bounded Terrain Tiles fallback rather than fabricating elevations. The fallback downloads only the required HTTPS Terrarium PNG tiles and validates tile count, response size, media type, dimensions, channels, decoded elevation range, and coverage. Terrarium values are decoded as (red x 256 + green + blue / 256) - 32768. The result identifies the AWS Open Data/Tilezen source, reports its own resolution, and is always marked degraded.</w:t>
      </w:r>
    </w:p>
    <w:p>
      <w:r>
        <w:rPr>
          <w:rFonts w:ascii="Calibri" w:hAnsi="Calibri"/>
          <w:b w:val="0"/>
          <w:i w:val="0"/>
          <w:color w:val="0B2B24"/>
          <w:sz w:val="22"/>
        </w:rPr>
        <w:t>Every batch is checked for matching length, numeric range, finite coverage, and final shape. The system does not fill a failed batch with synthetic terrain. A small percentage of isolated missing cells can be locally interpolated, while larger missing regions make elevation unavailable.</w:t>
      </w:r>
    </w:p>
    <w:p>
      <w:r>
        <w:rPr>
          <w:rFonts w:ascii="Calibri" w:hAnsi="Calibri"/>
          <w:b w:val="0"/>
          <w:i w:val="0"/>
          <w:color w:val="0B2B24"/>
          <w:sz w:val="22"/>
        </w:rPr>
        <w:t>Priority-flood, D8, accumulation, catchment traversal, area calculation, and boundary extraction match the contour workflow. A radius is the half-width of the square grid, not proof that the full upstream catchment lies inside it. Roads, culverts, irrigation channels, breached embankments, structures, and DEM vertical error can materially change real drainage.</w:t>
      </w:r>
    </w:p>
    <w:p>
      <w:pPr>
        <w:pStyle w:val="Heading1"/>
        <w:pageBreakBefore/>
      </w:pPr>
      <w:bookmarkStart w:id="29" w:name="sec_020"/>
      <w:r>
        <w:t>6. Rainfall analysis</w:t>
      </w:r>
      <w:bookmarkEnd w:id="29"/>
    </w:p>
    <w:p>
      <w:pPr>
        <w:keepNext/>
        <w:jc w:val="center"/>
      </w:pPr>
      <w:r>
        <w:drawing>
          <wp:inline xmlns:a="http://schemas.openxmlformats.org/drawingml/2006/main" xmlns:pic="http://schemas.openxmlformats.org/drawingml/2006/picture">
            <wp:extent cx="5760720" cy="3240405"/>
            <wp:docPr id="7" name="Picture 7" descr="Bar chart of monthly climatological rainfall with annual mean and valid-year count."/>
            <wp:cNvGraphicFramePr>
              <a:graphicFrameLocks noChangeAspect="1"/>
            </wp:cNvGraphicFramePr>
            <a:graphic>
              <a:graphicData uri="http://schemas.openxmlformats.org/drawingml/2006/picture">
                <pic:pic>
                  <pic:nvPicPr>
                    <pic:cNvPr id="0" name="rainfall_climatology.png"/>
                    <pic:cNvPicPr/>
                  </pic:nvPicPr>
                  <pic:blipFill>
                    <a:blip r:embed="rId17"/>
                    <a:stretch>
                      <a:fillRect/>
                    </a:stretch>
                  </pic:blipFill>
                  <pic:spPr>
                    <a:xfrm>
                      <a:off x="0" y="0"/>
                      <a:ext cx="5760720" cy="3240405"/>
                    </a:xfrm>
                    <a:prstGeom prst="rect"/>
                  </pic:spPr>
                </pic:pic>
              </a:graphicData>
            </a:graphic>
          </wp:inline>
        </w:drawing>
      </w:r>
    </w:p>
    <w:p>
      <w:pPr>
        <w:pStyle w:val="Caption"/>
        <w:jc w:val="center"/>
      </w:pPr>
      <w:r>
        <w:t>Figure 7. Historical monthly rainfall at the contour study</w:t>
      </w:r>
    </w:p>
    <w:p>
      <w:r>
        <w:rPr>
          <w:rFonts w:ascii="Calibri" w:hAnsi="Calibri"/>
          <w:b w:val="0"/>
          <w:i w:val="0"/>
          <w:color w:val="0B2B24"/>
          <w:sz w:val="22"/>
        </w:rPr>
        <w:t>The default period is 1991-2025 and the primary model is ERA5-Land through Open-Meteo. When that service is rate-limited or returns insufficient complete years, the backend requests PRECTOTCORR from NASA POWER. The fallback is identified as MERRA-2 corrected precipitation and marked degraded because its 0.5 by 0.625 degree grid is not a village rain gauge.</w:t>
      </w:r>
    </w:p>
    <w:p>
      <w:r>
        <w:rPr>
          <w:rFonts w:ascii="Calibri" w:hAnsi="Calibri"/>
          <w:b w:val="0"/>
          <w:i w:val="0"/>
          <w:color w:val="0B2B24"/>
          <w:sz w:val="22"/>
        </w:rPr>
        <w:t>For both sources, daily non-negative precipitation is grouped by calendar year. Only years containing every expected date are used, so gaps cannot reduce a total as if they were zero rainfall. Response size, sentinel values, date/value alignment, numerical range, complete-year count, and coverage are validated. Monthly means state their contributing complete-year count.</w:t>
      </w:r>
    </w:p>
    <w:p>
      <w:r>
        <w:rPr>
          <w:rFonts w:ascii="Calibri" w:hAnsi="Calibri"/>
          <w:b w:val="0"/>
          <w:i w:val="0"/>
          <w:color w:val="0B2B24"/>
          <w:sz w:val="22"/>
        </w:rPr>
        <w:t>Mean annual rainfall supports screening water yield. It is not a design storm and cannot size a spillway or establish flood safety.</w:t>
      </w:r>
    </w:p>
    <w:p>
      <w:pPr>
        <w:pStyle w:val="Heading1"/>
        <w:pageBreakBefore/>
      </w:pPr>
      <w:bookmarkStart w:id="30" w:name="sec_021"/>
      <w:r>
        <w:t>7. Satellite surface screening and land limits</w:t>
      </w:r>
      <w:bookmarkEnd w:id="30"/>
    </w:p>
    <w:p>
      <w:r>
        <w:rPr>
          <w:rFonts w:ascii="Calibri" w:hAnsi="Calibri"/>
          <w:b w:val="0"/>
          <w:i w:val="0"/>
          <w:color w:val="0B2B24"/>
          <w:sz w:val="22"/>
        </w:rPr>
        <w:t>The imagery service downloads all tiles needed for the selected extent and rejects missing, malformed, blank, low-contrast, or inconsistent images. Zoom is radius-aware to bound network work and memory. Provider name, retrieval time, approximate resolution, source status, and terms link are returned.</w:t>
      </w:r>
    </w:p>
    <w:p>
      <w:r>
        <w:rPr>
          <w:rFonts w:ascii="Calibri" w:hAnsi="Calibri"/>
          <w:b w:val="0"/>
          <w:i w:val="0"/>
          <w:color w:val="0B2B24"/>
          <w:sz w:val="22"/>
        </w:rPr>
        <w:t>OpenCV screens broad HSV/RGB classes for vegetation, water-like pixels, brown or sandy surface, and low-saturation surface. Morphological cleanup removes small noise. The largest qualifying region becomes a bare-surface candidate, and candidate placement is restricted to its intersection with the modelled catchment. Water is treated differently from an ordinary score: detected water and a configurable 60 m metric buffer are removed from the candidate mask before ranking in both workflows. Candidate cards report their measured clearance from detected water.</w:t>
      </w:r>
    </w:p>
    <w:p>
      <w:r>
        <w:rPr>
          <w:rFonts w:ascii="Calibri" w:hAnsi="Calibri"/>
          <w:b w:val="0"/>
          <w:i w:val="0"/>
          <w:color w:val="0B2B24"/>
          <w:sz w:val="22"/>
        </w:rPr>
        <w:t>Satellite color cannot prove government ownership, legal availability, soil, rock, crops, seasonal water, utilities, protected status, or excavation suitability. It can also miss a narrow, muddy, shaded, seasonal, cloud-covered, or recently shifted river. Therefore the UI and API never describe this polygon as verified government land and never treat water non-detection as proof that a river is absent. Cadastral, hydrography, field, and engineering verification are mandatory.</w:t>
      </w:r>
    </w:p>
    <w:p>
      <w:pPr>
        <w:pStyle w:val="Heading1"/>
        <w:pageBreakBefore/>
      </w:pPr>
      <w:bookmarkStart w:id="31" w:name="sec_022"/>
      <w:r>
        <w:t>8. Runoff and pond geometry</w:t>
      </w:r>
      <w:bookmarkEnd w:id="31"/>
    </w:p>
    <w:p>
      <w:r>
        <w:rPr>
          <w:rFonts w:ascii="Calibri" w:hAnsi="Calibri"/>
          <w:b w:val="0"/>
          <w:i w:val="0"/>
          <w:color w:val="0B2B24"/>
          <w:sz w:val="22"/>
        </w:rPr>
        <w:t>Annual screening water yield is:</w:t>
      </w:r>
    </w:p>
    <w:p>
      <w:r>
        <w:rPr>
          <w:rFonts w:ascii="Calibri" w:hAnsi="Calibri"/>
          <w:b w:val="0"/>
          <w:i w:val="0"/>
          <w:color w:val="0B2B24"/>
          <w:sz w:val="22"/>
        </w:rPr>
        <w:t>V = C x A x P</w:t>
      </w:r>
    </w:p>
    <w:p>
      <w:r>
        <w:rPr>
          <w:rFonts w:ascii="Calibri" w:hAnsi="Calibri"/>
          <w:b w:val="0"/>
          <w:i w:val="0"/>
          <w:color w:val="0B2B24"/>
          <w:sz w:val="22"/>
        </w:rPr>
        <w:t>where V is cubic metres per year, C is a documented runoff coefficient, A is modelled catchment area in square metres, and P is mean annual rainfall in metres. The system does not infer C from image color. If the coefficient or its basis is absent, runoff and pond geometry are unavailable rather than guessed.</w:t>
      </w:r>
    </w:p>
    <w:p>
      <w:r>
        <w:rPr>
          <w:rFonts w:ascii="Calibri" w:hAnsi="Calibri"/>
          <w:b w:val="0"/>
          <w:i w:val="0"/>
          <w:color w:val="0B2B24"/>
          <w:sz w:val="22"/>
        </w:rPr>
        <w:t>The hosted course demo labels C = 0.30 as a demonstration scenario so the complete calculation path can be shown. It is not a site-approved coefficient and must be replaced for real work. Peak flow is separate and remains absent until an approved design rainfall intensity is configured:</w:t>
      </w:r>
    </w:p>
    <w:p>
      <w:r>
        <w:rPr>
          <w:rFonts w:ascii="Calibri" w:hAnsi="Calibri"/>
          <w:b w:val="0"/>
          <w:i w:val="0"/>
          <w:color w:val="0B2B24"/>
          <w:sz w:val="22"/>
        </w:rPr>
        <w:t>Q = C x i x A / 3.6</w:t>
      </w:r>
    </w:p>
    <w:p>
      <w:r>
        <w:rPr>
          <w:rFonts w:ascii="Calibri" w:hAnsi="Calibri"/>
          <w:b w:val="0"/>
          <w:i w:val="0"/>
          <w:color w:val="0B2B24"/>
          <w:sz w:val="22"/>
        </w:rPr>
        <w:t>for area in square kilometres and intensity in millimetres per hour.</w:t>
      </w:r>
    </w:p>
    <w:p>
      <w:r>
        <w:rPr>
          <w:rFonts w:ascii="Calibri" w:hAnsi="Calibri"/>
          <w:b w:val="0"/>
          <w:i w:val="0"/>
          <w:color w:val="0B2B24"/>
          <w:sz w:val="22"/>
        </w:rPr>
        <w:t>Pond capacity uses rectangular-frustum geometry with configurable length/width ratio, side slope, water depth, freeboard, and capture efficiency. Capacity is measured to water level; excavation volume and crest dimensions include freeboard. The footprint is constrained by candidate area and no geometry is returned if even the minimum cross-section cannot fit.</w:t>
      </w:r>
    </w:p>
    <w:p>
      <w:r>
        <w:rPr>
          <w:rFonts w:ascii="Calibri" w:hAnsi="Calibri"/>
          <w:b w:val="0"/>
          <w:i w:val="0"/>
          <w:color w:val="0B2B24"/>
          <w:sz w:val="22"/>
        </w:rPr>
        <w:t>The module does not design an inlet, outlet, spillway, bund, liner, sediment forebay, ramp, fencing, slope stabilization, or construction sequence.</w:t>
      </w:r>
    </w:p>
    <w:p>
      <w:pPr>
        <w:pStyle w:val="Heading1"/>
        <w:pageBreakBefore/>
      </w:pPr>
      <w:bookmarkStart w:id="32" w:name="sec_023"/>
      <w:r>
        <w:t>9. Frontend and visualization</w:t>
      </w:r>
      <w:bookmarkEnd w:id="32"/>
    </w:p>
    <w:p>
      <w:pPr>
        <w:keepNext/>
        <w:jc w:val="center"/>
      </w:pPr>
      <w:r>
        <w:drawing>
          <wp:inline xmlns:a="http://schemas.openxmlformats.org/drawingml/2006/main" xmlns:pic="http://schemas.openxmlformats.org/drawingml/2006/picture">
            <wp:extent cx="5760720" cy="3600450"/>
            <wp:docPr id="8" name="Picture 8" descr="Full application view with India satellite map and the responsive live-analysis panel."/>
            <wp:cNvGraphicFramePr>
              <a:graphicFrameLocks noChangeAspect="1"/>
            </wp:cNvGraphicFramePr>
            <a:graphic>
              <a:graphicData uri="http://schemas.openxmlformats.org/drawingml/2006/picture">
                <pic:pic>
                  <pic:nvPicPr>
                    <pic:cNvPr id="0" name="production-home.png"/>
                    <pic:cNvPicPr/>
                  </pic:nvPicPr>
                  <pic:blipFill>
                    <a:blip r:embed="rId18"/>
                    <a:stretch>
                      <a:fillRect/>
                    </a:stretch>
                  </pic:blipFill>
                  <pic:spPr>
                    <a:xfrm>
                      <a:off x="0" y="0"/>
                      <a:ext cx="5760720" cy="3600450"/>
                    </a:xfrm>
                    <a:prstGeom prst="rect"/>
                  </pic:spPr>
                </pic:pic>
              </a:graphicData>
            </a:graphic>
          </wp:inline>
        </w:drawing>
      </w:r>
    </w:p>
    <w:p>
      <w:pPr>
        <w:pStyle w:val="Caption"/>
        <w:jc w:val="center"/>
      </w:pPr>
      <w:r>
        <w:t>Figure 8. Production home and live-analysis interface</w:t>
      </w:r>
    </w:p>
    <w:p>
      <w:pPr>
        <w:keepNext/>
        <w:jc w:val="center"/>
      </w:pPr>
      <w:r>
        <w:drawing>
          <wp:inline xmlns:a="http://schemas.openxmlformats.org/drawingml/2006/main" xmlns:pic="http://schemas.openxmlformats.org/drawingml/2006/picture">
            <wp:extent cx="5760720" cy="3600450"/>
            <wp:docPr id="9" name="Picture 9" descr="Contour upload result showing uploaded extent, reconstructed contour lines, selected catchment, drainage evidence, and numbered alternatives."/>
            <wp:cNvGraphicFramePr>
              <a:graphicFrameLocks noChangeAspect="1"/>
            </wp:cNvGraphicFramePr>
            <a:graphic>
              <a:graphicData uri="http://schemas.openxmlformats.org/drawingml/2006/picture">
                <pic:pic>
                  <pic:nvPicPr>
                    <pic:cNvPr id="0" name="production-contour-result.png"/>
                    <pic:cNvPicPr/>
                  </pic:nvPicPr>
                  <pic:blipFill>
                    <a:blip r:embed="rId19"/>
                    <a:stretch>
                      <a:fillRect/>
                    </a:stretch>
                  </pic:blipFill>
                  <pic:spPr>
                    <a:xfrm>
                      <a:off x="0" y="0"/>
                      <a:ext cx="5760720" cy="3600450"/>
                    </a:xfrm>
                    <a:prstGeom prst="rect"/>
                  </pic:spPr>
                </pic:pic>
              </a:graphicData>
            </a:graphic>
          </wp:inline>
        </w:drawing>
      </w:r>
    </w:p>
    <w:p>
      <w:pPr>
        <w:pStyle w:val="Caption"/>
        <w:jc w:val="center"/>
      </w:pPr>
      <w:r>
        <w:t>Figure 9. Production contour result workspace</w:t>
      </w:r>
    </w:p>
    <w:p>
      <w:r>
        <w:rPr>
          <w:rFonts w:ascii="Calibri" w:hAnsi="Calibri"/>
          <w:b w:val="0"/>
          <w:i w:val="0"/>
          <w:color w:val="0B2B24"/>
          <w:sz w:val="22"/>
        </w:rPr>
        <w:t>The responsive sidebar contains a Phase 2 file uploader plus place search, coordinate entry, radius selection, request start/cancel controls, and reset. For an uploaded contour map, the user can keep automatic ranking, click one eligible map point, or draw a polygon that restricts the search. Ranked option cards can also recompute the result with one action. The entire results panel is collapsible so it does not hide the map.</w:t>
      </w:r>
    </w:p>
    <w:p>
      <w:r>
        <w:rPr>
          <w:rFonts w:ascii="Calibri" w:hAnsi="Calibri"/>
          <w:b w:val="0"/>
          <w:i w:val="0"/>
          <w:color w:val="0B2B24"/>
          <w:sz w:val="22"/>
        </w:rPr>
        <w:t>The map displays satellite imagery and individually toggleable evidence layers. Contour-upload results show reconstructed contour lines, uploaded analysis extent, computed catchment, modelled drainage path, the separate hydrology outlet, and numbered pond alternatives. The legend explicitly explains that the orange outlet is evidence, not a pond recommendation. Location results show the catchment, DEM contours, surface candidate, selected centre, and pond options.</w:t>
      </w:r>
    </w:p>
    <w:p>
      <w:r>
        <w:rPr>
          <w:rFonts w:ascii="Calibri" w:hAnsi="Calibri"/>
          <w:b w:val="0"/>
          <w:i w:val="0"/>
          <w:color w:val="0B2B24"/>
          <w:sz w:val="22"/>
        </w:rPr>
        <w:t>Results include source panels, quality chips, warnings, terrain/hydrology statistics, monthly rainfall chart, land-screening ratios, runoff assumptions, and pond dimensions. Form labels, keyboard focus, high contrast, live regions, text alternatives, reduced-motion support, and responsive breakpoints improve accessibility.</w:t>
      </w:r>
    </w:p>
    <w:p>
      <w:pPr>
        <w:pStyle w:val="Heading1"/>
        <w:pageBreakBefore/>
      </w:pPr>
      <w:bookmarkStart w:id="33" w:name="sec_024"/>
      <w:r>
        <w:t>10. API, errors, and security</w:t>
      </w:r>
      <w:bookmarkEnd w:id="33"/>
    </w:p>
    <w:p>
      <w:r>
        <w:rPr>
          <w:rFonts w:ascii="Calibri" w:hAnsi="Calibri"/>
          <w:b w:val="0"/>
          <w:i w:val="0"/>
          <w:color w:val="0B2B24"/>
          <w:sz w:val="22"/>
        </w:rPr>
        <w:t>FastAPI provides Swagger at /docs, ReDoc at /redoc, and OpenAPI JSON at /openapi.json when enabled. Pydantic rejects unknown fields, non-finite values, unsupported coordinates, invalid radius, and malformed response data. Error payloads use stable codes and safe messages.</w:t>
      </w:r>
    </w:p>
    <w:p>
      <w:r>
        <w:rPr>
          <w:rFonts w:ascii="Calibri" w:hAnsi="Calibri"/>
          <w:b w:val="0"/>
          <w:i w:val="0"/>
          <w:color w:val="0B2B24"/>
          <w:sz w:val="22"/>
        </w:rPr>
        <w:t>Per-scope rate limits protect analysis, contour upload, search, and history. Logs contain a sanitized request ID, method, path, status, and duration, but not exact submitted coordinates or secrets. API responses use no-store and add anti-sniffing, frame, referrer, and permissions headers. CORS and trusted hosts are explicit in deployment. The 15 MiB upload limit is enforced before parsing and at the Nginx boundary.</w:t>
      </w:r>
    </w:p>
    <w:p>
      <w:r>
        <w:rPr>
          <w:rFonts w:ascii="Calibri" w:hAnsi="Calibri"/>
          <w:b w:val="0"/>
          <w:i w:val="0"/>
          <w:color w:val="0B2B24"/>
          <w:sz w:val="22"/>
        </w:rPr>
        <w:t>Secrets remain outside version control. Production configuration rejects wildcard origins/hosts, placeholder geocoding contacts, insecure provider URLs, weak history configuration, unbased runoff values, and unconfirmed provider authorization.</w:t>
      </w:r>
    </w:p>
    <w:p>
      <w:pPr>
        <w:pStyle w:val="Heading1"/>
        <w:pageBreakBefore/>
      </w:pPr>
      <w:bookmarkStart w:id="34" w:name="sec_025"/>
      <w:r>
        <w:t>11. Reliability and operations</w:t>
      </w:r>
      <w:bookmarkEnd w:id="34"/>
    </w:p>
    <w:p>
      <w:r>
        <w:rPr>
          <w:rFonts w:ascii="Calibri" w:hAnsi="Calibri"/>
          <w:b w:val="0"/>
          <w:i w:val="0"/>
          <w:color w:val="0B2B24"/>
          <w:sz w:val="22"/>
        </w:rPr>
        <w:t>External requests share a bounded HTTP connection pool and use timeouts, retries with capped backoff, bounded TTL caching, and source-specific validation. Liveness and readiness are separate. A database outage affects readiness only when history is enabled, and persistence failure does not erase an otherwise valid analysis response.</w:t>
      </w:r>
    </w:p>
    <w:p>
      <w:r>
        <w:rPr>
          <w:rFonts w:ascii="Calibri" w:hAnsi="Calibri"/>
          <w:b w:val="0"/>
          <w:i w:val="0"/>
          <w:color w:val="0B2B24"/>
          <w:sz w:val="22"/>
        </w:rPr>
        <w:t>The backend and Nginx containers run as non-root users with health checks and restart policies. Docker Compose keeps the API and PostgreSQL off public host ports and exposes the frontend proxy on 8080. The Render Blueprint provides a free FastAPI service plus a static CDN frontend with cache and security headers.</w:t>
      </w:r>
    </w:p>
    <w:p>
      <w:pPr>
        <w:pStyle w:val="Heading1"/>
        <w:pageBreakBefore/>
      </w:pPr>
      <w:bookmarkStart w:id="35" w:name="sec_026"/>
      <w:r>
        <w:t>12. Verification evidence</w:t>
      </w:r>
      <w:bookmarkEnd w:id="35"/>
    </w:p>
    <w:p>
      <w:r>
        <w:rPr>
          <w:rFonts w:ascii="Calibri" w:hAnsi="Calibri"/>
          <w:b w:val="0"/>
          <w:i w:val="0"/>
          <w:color w:val="0B2B24"/>
          <w:sz w:val="22"/>
        </w:rPr>
        <w:t>The final local quality matrix includes:</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trPr>
        <w:tc>
          <w:tcPr>
            <w:tcW w:type="dxa" w:w="3300"/>
            <w:tcMar>
              <w:top w:w="80" w:type="dxa"/>
              <w:start w:w="120" w:type="dxa"/>
              <w:bottom w:w="80" w:type="dxa"/>
              <w:end w:w="120" w:type="dxa"/>
            </w:tcMar>
            <w:vAlign w:val="center"/>
            <w:shd w:fill="DDF8EE"/>
          </w:tcPr>
          <w:p>
            <w:pPr>
              <w:spacing w:after="0"/>
            </w:pPr>
            <w:r/>
            <w:r>
              <w:rPr>
                <w:rFonts w:ascii="Calibri" w:hAnsi="Calibri"/>
                <w:b/>
                <w:color w:val="0B2B24"/>
                <w:sz w:val="17"/>
              </w:rPr>
              <w:t>Gate</w:t>
            </w:r>
          </w:p>
        </w:tc>
        <w:tc>
          <w:tcPr>
            <w:tcW w:type="dxa" w:w="6060"/>
            <w:tcMar>
              <w:top w:w="80" w:type="dxa"/>
              <w:start w:w="120" w:type="dxa"/>
              <w:bottom w:w="80" w:type="dxa"/>
              <w:end w:w="120" w:type="dxa"/>
            </w:tcMar>
            <w:vAlign w:val="center"/>
            <w:shd w:fill="DDF8EE"/>
          </w:tcPr>
          <w:p>
            <w:pPr>
              <w:spacing w:after="0"/>
            </w:pPr>
            <w:r/>
            <w:r>
              <w:rPr>
                <w:rFonts w:ascii="Calibri" w:hAnsi="Calibri"/>
                <w:b/>
                <w:color w:val="0B2B24"/>
                <w:sz w:val="17"/>
              </w:rPr>
              <w:t>Result</w:t>
            </w:r>
          </w:p>
        </w:tc>
      </w:tr>
      <w:tr>
        <w:tc>
          <w:tcPr>
            <w:tcW w:type="dxa" w:w="3300"/>
          </w:tcPr>
          <w:p>
            <w:pPr>
              <w:spacing w:after="0" w:line="264" w:lineRule="auto"/>
            </w:pPr>
            <w:r/>
            <w:r>
              <w:rPr>
                <w:rFonts w:ascii="Calibri" w:hAnsi="Calibri"/>
                <w:b w:val="0"/>
                <w:i w:val="0"/>
                <w:color w:val="0B2B24"/>
                <w:sz w:val="17"/>
              </w:rPr>
              <w:t>Backend Pytest suite</w:t>
            </w:r>
          </w:p>
        </w:tc>
        <w:tc>
          <w:tcPr>
            <w:tcW w:type="dxa" w:w="6060"/>
          </w:tcPr>
          <w:p>
            <w:pPr>
              <w:spacing w:after="0" w:line="264" w:lineRule="auto"/>
            </w:pPr>
            <w:r/>
            <w:r>
              <w:rPr>
                <w:rFonts w:ascii="Calibri" w:hAnsi="Calibri"/>
                <w:b w:val="0"/>
                <w:i w:val="0"/>
                <w:color w:val="0B2B24"/>
                <w:sz w:val="17"/>
              </w:rPr>
              <w:t>68 passed</w:t>
            </w:r>
          </w:p>
        </w:tc>
      </w:tr>
      <w:tr>
        <w:tc>
          <w:tcPr>
            <w:tcW w:type="dxa" w:w="3300"/>
          </w:tcPr>
          <w:p>
            <w:pPr>
              <w:spacing w:after="0" w:line="264" w:lineRule="auto"/>
            </w:pPr>
            <w:r/>
            <w:r>
              <w:rPr>
                <w:rFonts w:ascii="Calibri" w:hAnsi="Calibri"/>
                <w:b w:val="0"/>
                <w:i w:val="0"/>
                <w:color w:val="0B2B24"/>
                <w:sz w:val="17"/>
              </w:rPr>
              <w:t>Backend statement coverage</w:t>
            </w:r>
          </w:p>
        </w:tc>
        <w:tc>
          <w:tcPr>
            <w:tcW w:type="dxa" w:w="6060"/>
          </w:tcPr>
          <w:p>
            <w:pPr>
              <w:spacing w:after="0" w:line="264" w:lineRule="auto"/>
            </w:pPr>
            <w:r/>
            <w:r>
              <w:rPr>
                <w:rFonts w:ascii="Calibri" w:hAnsi="Calibri"/>
                <w:b w:val="0"/>
                <w:i w:val="0"/>
                <w:color w:val="0B2B24"/>
                <w:sz w:val="17"/>
              </w:rPr>
              <w:t>88.79%, above 70% CI threshold</w:t>
            </w:r>
          </w:p>
        </w:tc>
      </w:tr>
      <w:tr>
        <w:tc>
          <w:tcPr>
            <w:tcW w:type="dxa" w:w="3300"/>
          </w:tcPr>
          <w:p>
            <w:pPr>
              <w:spacing w:after="0" w:line="264" w:lineRule="auto"/>
            </w:pPr>
            <w:r/>
            <w:r>
              <w:rPr>
                <w:rFonts w:ascii="Calibri" w:hAnsi="Calibri"/>
                <w:b w:val="0"/>
                <w:i w:val="0"/>
                <w:color w:val="0B2B24"/>
                <w:sz w:val="17"/>
              </w:rPr>
              <w:t>Python Ruff lint</w:t>
            </w:r>
          </w:p>
        </w:tc>
        <w:tc>
          <w:tcPr>
            <w:tcW w:type="dxa" w:w="6060"/>
          </w:tcPr>
          <w:p>
            <w:pPr>
              <w:spacing w:after="0" w:line="264" w:lineRule="auto"/>
            </w:pPr>
            <w:r/>
            <w:r>
              <w:rPr>
                <w:rFonts w:ascii="Calibri" w:hAnsi="Calibri"/>
                <w:b w:val="0"/>
                <w:i w:val="0"/>
                <w:color w:val="0B2B24"/>
                <w:sz w:val="17"/>
              </w:rPr>
              <w:t>Passed</w:t>
            </w:r>
          </w:p>
        </w:tc>
      </w:tr>
      <w:tr>
        <w:tc>
          <w:tcPr>
            <w:tcW w:type="dxa" w:w="3300"/>
          </w:tcPr>
          <w:p>
            <w:pPr>
              <w:spacing w:after="0" w:line="264" w:lineRule="auto"/>
            </w:pPr>
            <w:r/>
            <w:r>
              <w:rPr>
                <w:rFonts w:ascii="Calibri" w:hAnsi="Calibri"/>
                <w:b w:val="0"/>
                <w:i w:val="0"/>
                <w:color w:val="0B2B24"/>
                <w:sz w:val="17"/>
              </w:rPr>
              <w:t>Python dependency consistency</w:t>
            </w:r>
          </w:p>
        </w:tc>
        <w:tc>
          <w:tcPr>
            <w:tcW w:type="dxa" w:w="6060"/>
          </w:tcPr>
          <w:p>
            <w:pPr>
              <w:spacing w:after="0" w:line="264" w:lineRule="auto"/>
            </w:pPr>
            <w:r/>
            <w:r>
              <w:rPr>
                <w:rFonts w:ascii="Calibri" w:hAnsi="Calibri"/>
                <w:b w:val="0"/>
                <w:i w:val="0"/>
                <w:color w:val="0B2B24"/>
                <w:sz w:val="17"/>
              </w:rPr>
              <w:t>pip check passed</w:t>
            </w:r>
          </w:p>
        </w:tc>
      </w:tr>
      <w:tr>
        <w:tc>
          <w:tcPr>
            <w:tcW w:type="dxa" w:w="3300"/>
          </w:tcPr>
          <w:p>
            <w:pPr>
              <w:spacing w:after="0" w:line="264" w:lineRule="auto"/>
            </w:pPr>
            <w:r/>
            <w:r>
              <w:rPr>
                <w:rFonts w:ascii="Calibri" w:hAnsi="Calibri"/>
                <w:b w:val="0"/>
                <w:i w:val="0"/>
                <w:color w:val="0B2B24"/>
                <w:sz w:val="17"/>
              </w:rPr>
              <w:t>Python vulnerability audit</w:t>
            </w:r>
          </w:p>
        </w:tc>
        <w:tc>
          <w:tcPr>
            <w:tcW w:type="dxa" w:w="6060"/>
          </w:tcPr>
          <w:p>
            <w:pPr>
              <w:spacing w:after="0" w:line="264" w:lineRule="auto"/>
            </w:pPr>
            <w:r/>
            <w:r>
              <w:rPr>
                <w:rFonts w:ascii="Calibri" w:hAnsi="Calibri"/>
                <w:b w:val="0"/>
                <w:i w:val="0"/>
                <w:color w:val="0B2B24"/>
                <w:sz w:val="17"/>
              </w:rPr>
              <w:t>0 known vulnerabilities</w:t>
            </w:r>
          </w:p>
        </w:tc>
      </w:tr>
      <w:tr>
        <w:tc>
          <w:tcPr>
            <w:tcW w:type="dxa" w:w="3300"/>
          </w:tcPr>
          <w:p>
            <w:pPr>
              <w:spacing w:after="0" w:line="264" w:lineRule="auto"/>
            </w:pPr>
            <w:r/>
            <w:r>
              <w:rPr>
                <w:rFonts w:ascii="Calibri" w:hAnsi="Calibri"/>
                <w:b w:val="0"/>
                <w:i w:val="0"/>
                <w:color w:val="0B2B24"/>
                <w:sz w:val="17"/>
              </w:rPr>
              <w:t>Frontend Vitest suite</w:t>
            </w:r>
          </w:p>
        </w:tc>
        <w:tc>
          <w:tcPr>
            <w:tcW w:type="dxa" w:w="6060"/>
          </w:tcPr>
          <w:p>
            <w:pPr>
              <w:spacing w:after="0" w:line="264" w:lineRule="auto"/>
            </w:pPr>
            <w:r/>
            <w:r>
              <w:rPr>
                <w:rFonts w:ascii="Calibri" w:hAnsi="Calibri"/>
                <w:b w:val="0"/>
                <w:i w:val="0"/>
                <w:color w:val="0B2B24"/>
                <w:sz w:val="17"/>
              </w:rPr>
              <w:t>11 passed</w:t>
            </w:r>
          </w:p>
        </w:tc>
      </w:tr>
      <w:tr>
        <w:tc>
          <w:tcPr>
            <w:tcW w:type="dxa" w:w="3300"/>
          </w:tcPr>
          <w:p>
            <w:pPr>
              <w:spacing w:after="0" w:line="264" w:lineRule="auto"/>
            </w:pPr>
            <w:r/>
            <w:r>
              <w:rPr>
                <w:rFonts w:ascii="Calibri" w:hAnsi="Calibri"/>
                <w:b w:val="0"/>
                <w:i w:val="0"/>
                <w:color w:val="0B2B24"/>
                <w:sz w:val="17"/>
              </w:rPr>
              <w:t>Frontend Oxlint</w:t>
            </w:r>
          </w:p>
        </w:tc>
        <w:tc>
          <w:tcPr>
            <w:tcW w:type="dxa" w:w="6060"/>
          </w:tcPr>
          <w:p>
            <w:pPr>
              <w:spacing w:after="0" w:line="264" w:lineRule="auto"/>
            </w:pPr>
            <w:r/>
            <w:r>
              <w:rPr>
                <w:rFonts w:ascii="Calibri" w:hAnsi="Calibri"/>
                <w:b w:val="0"/>
                <w:i w:val="0"/>
                <w:color w:val="0B2B24"/>
                <w:sz w:val="17"/>
              </w:rPr>
              <w:t>Passed with 0 warnings</w:t>
            </w:r>
          </w:p>
        </w:tc>
      </w:tr>
      <w:tr>
        <w:tc>
          <w:tcPr>
            <w:tcW w:type="dxa" w:w="3300"/>
          </w:tcPr>
          <w:p>
            <w:pPr>
              <w:spacing w:after="0" w:line="264" w:lineRule="auto"/>
            </w:pPr>
            <w:r/>
            <w:r>
              <w:rPr>
                <w:rFonts w:ascii="Calibri" w:hAnsi="Calibri"/>
                <w:b w:val="0"/>
                <w:i w:val="0"/>
                <w:color w:val="0B2B24"/>
                <w:sz w:val="17"/>
              </w:rPr>
              <w:t>Vite production build</w:t>
            </w:r>
          </w:p>
        </w:tc>
        <w:tc>
          <w:tcPr>
            <w:tcW w:type="dxa" w:w="6060"/>
          </w:tcPr>
          <w:p>
            <w:pPr>
              <w:spacing w:after="0" w:line="264" w:lineRule="auto"/>
            </w:pPr>
            <w:r/>
            <w:r>
              <w:rPr>
                <w:rFonts w:ascii="Calibri" w:hAnsi="Calibri"/>
                <w:b w:val="0"/>
                <w:i w:val="0"/>
                <w:color w:val="0B2B24"/>
                <w:sz w:val="17"/>
              </w:rPr>
              <w:t>Passed</w:t>
            </w:r>
          </w:p>
        </w:tc>
      </w:tr>
      <w:tr>
        <w:tc>
          <w:tcPr>
            <w:tcW w:type="dxa" w:w="3300"/>
          </w:tcPr>
          <w:p>
            <w:pPr>
              <w:spacing w:after="0" w:line="264" w:lineRule="auto"/>
            </w:pPr>
            <w:r/>
            <w:r>
              <w:rPr>
                <w:rFonts w:ascii="Calibri" w:hAnsi="Calibri"/>
                <w:b w:val="0"/>
                <w:i w:val="0"/>
                <w:color w:val="0B2B24"/>
                <w:sz w:val="17"/>
              </w:rPr>
              <w:t>npm high-severity audit</w:t>
            </w:r>
          </w:p>
        </w:tc>
        <w:tc>
          <w:tcPr>
            <w:tcW w:type="dxa" w:w="6060"/>
          </w:tcPr>
          <w:p>
            <w:pPr>
              <w:spacing w:after="0" w:line="264" w:lineRule="auto"/>
            </w:pPr>
            <w:r/>
            <w:r>
              <w:rPr>
                <w:rFonts w:ascii="Calibri" w:hAnsi="Calibri"/>
                <w:b w:val="0"/>
                <w:i w:val="0"/>
                <w:color w:val="0B2B24"/>
                <w:sz w:val="17"/>
              </w:rPr>
              <w:t>0 vulnerabilities</w:t>
            </w:r>
          </w:p>
        </w:tc>
      </w:tr>
      <w:tr>
        <w:tc>
          <w:tcPr>
            <w:tcW w:type="dxa" w:w="3300"/>
          </w:tcPr>
          <w:p>
            <w:pPr>
              <w:spacing w:after="0" w:line="264" w:lineRule="auto"/>
            </w:pPr>
            <w:r/>
            <w:r>
              <w:rPr>
                <w:rFonts w:ascii="Calibri" w:hAnsi="Calibri"/>
                <w:b w:val="0"/>
                <w:i w:val="0"/>
                <w:color w:val="0B2B24"/>
                <w:sz w:val="17"/>
              </w:rPr>
              <w:t>Provided KML direct analysis</w:t>
            </w:r>
          </w:p>
        </w:tc>
        <w:tc>
          <w:tcPr>
            <w:tcW w:type="dxa" w:w="6060"/>
          </w:tcPr>
          <w:p>
            <w:pPr>
              <w:spacing w:after="0" w:line="264" w:lineRule="auto"/>
            </w:pPr>
            <w:r/>
            <w:r>
              <w:rPr>
                <w:rFonts w:ascii="Calibri" w:hAnsi="Calibri"/>
                <w:b w:val="0"/>
                <w:i w:val="0"/>
                <w:color w:val="0B2B24"/>
                <w:sz w:val="17"/>
              </w:rPr>
              <w:t>Passed; automatic, point, region, and synthetic-water cases</w:t>
            </w:r>
          </w:p>
        </w:tc>
      </w:tr>
      <w:tr>
        <w:tc>
          <w:tcPr>
            <w:tcW w:type="dxa" w:w="3300"/>
          </w:tcPr>
          <w:p>
            <w:pPr>
              <w:spacing w:after="0" w:line="264" w:lineRule="auto"/>
            </w:pPr>
            <w:r/>
            <w:r>
              <w:rPr>
                <w:rFonts w:ascii="Calibri" w:hAnsi="Calibri"/>
                <w:b w:val="0"/>
                <w:i w:val="0"/>
                <w:color w:val="0B2B24"/>
                <w:sz w:val="17"/>
              </w:rPr>
              <w:t>Hosted KML automatic upload</w:t>
            </w:r>
          </w:p>
        </w:tc>
        <w:tc>
          <w:tcPr>
            <w:tcW w:type="dxa" w:w="6060"/>
          </w:tcPr>
          <w:p>
            <w:pPr>
              <w:spacing w:after="0" w:line="264" w:lineRule="auto"/>
            </w:pPr>
            <w:r/>
            <w:r>
              <w:rPr>
                <w:rFonts w:ascii="Calibri" w:hAnsi="Calibri"/>
                <w:b w:val="0"/>
                <w:i w:val="0"/>
                <w:color w:val="0B2B24"/>
                <w:sz w:val="17"/>
              </w:rPr>
              <w:t>HTTP 200 in 12.47 s with complete typed response</w:t>
            </w:r>
          </w:p>
        </w:tc>
      </w:tr>
      <w:tr>
        <w:tc>
          <w:tcPr>
            <w:tcW w:type="dxa" w:w="3300"/>
          </w:tcPr>
          <w:p>
            <w:pPr>
              <w:spacing w:after="0" w:line="264" w:lineRule="auto"/>
            </w:pPr>
            <w:r/>
            <w:r>
              <w:rPr>
                <w:rFonts w:ascii="Calibri" w:hAnsi="Calibri"/>
                <w:b w:val="0"/>
                <w:i w:val="0"/>
                <w:color w:val="0B2B24"/>
                <w:sz w:val="17"/>
              </w:rPr>
              <w:t>Hosted manual point selection</w:t>
            </w:r>
          </w:p>
        </w:tc>
        <w:tc>
          <w:tcPr>
            <w:tcW w:type="dxa" w:w="6060"/>
          </w:tcPr>
          <w:p>
            <w:pPr>
              <w:spacing w:after="0" w:line="264" w:lineRule="auto"/>
            </w:pPr>
            <w:r/>
            <w:r>
              <w:rPr>
                <w:rFonts w:ascii="Calibri" w:hAnsi="Calibri"/>
                <w:b w:val="0"/>
                <w:i w:val="0"/>
                <w:color w:val="0B2B24"/>
                <w:sz w:val="17"/>
              </w:rPr>
              <w:t>HTTP 200; catchment recomputed to 301.1143 ha</w:t>
            </w:r>
          </w:p>
        </w:tc>
      </w:tr>
      <w:tr>
        <w:tc>
          <w:tcPr>
            <w:tcW w:type="dxa" w:w="3300"/>
          </w:tcPr>
          <w:p>
            <w:pPr>
              <w:spacing w:after="0" w:line="264" w:lineRule="auto"/>
            </w:pPr>
            <w:r/>
            <w:r>
              <w:rPr>
                <w:rFonts w:ascii="Calibri" w:hAnsi="Calibri"/>
                <w:b w:val="0"/>
                <w:i w:val="0"/>
                <w:color w:val="0B2B24"/>
                <w:sz w:val="17"/>
              </w:rPr>
              <w:t>Hosted region selection</w:t>
            </w:r>
          </w:p>
        </w:tc>
        <w:tc>
          <w:tcPr>
            <w:tcW w:type="dxa" w:w="6060"/>
          </w:tcPr>
          <w:p>
            <w:pPr>
              <w:spacing w:after="0" w:line="264" w:lineRule="auto"/>
            </w:pPr>
            <w:r/>
            <w:r>
              <w:rPr>
                <w:rFonts w:ascii="Calibri" w:hAnsi="Calibri"/>
                <w:b w:val="0"/>
                <w:i w:val="0"/>
                <w:color w:val="0B2B24"/>
                <w:sz w:val="17"/>
              </w:rPr>
              <w:t>HTTP 200; option 2 selected, 381.4633 ha</w:t>
            </w:r>
          </w:p>
        </w:tc>
      </w:tr>
      <w:tr>
        <w:tc>
          <w:tcPr>
            <w:tcW w:type="dxa" w:w="3300"/>
          </w:tcPr>
          <w:p>
            <w:pPr>
              <w:spacing w:after="0" w:line="264" w:lineRule="auto"/>
            </w:pPr>
            <w:r/>
            <w:r>
              <w:rPr>
                <w:rFonts w:ascii="Calibri" w:hAnsi="Calibri"/>
                <w:b w:val="0"/>
                <w:i w:val="0"/>
                <w:color w:val="0B2B24"/>
                <w:sz w:val="17"/>
              </w:rPr>
              <w:t>Hosted KMZ upload</w:t>
            </w:r>
          </w:p>
        </w:tc>
        <w:tc>
          <w:tcPr>
            <w:tcW w:type="dxa" w:w="6060"/>
          </w:tcPr>
          <w:p>
            <w:pPr>
              <w:spacing w:after="0" w:line="264" w:lineRule="auto"/>
            </w:pPr>
            <w:r/>
            <w:r>
              <w:rPr>
                <w:rFonts w:ascii="Calibri" w:hAnsi="Calibri"/>
                <w:b w:val="0"/>
                <w:i w:val="0"/>
                <w:color w:val="0B2B24"/>
                <w:sz w:val="17"/>
              </w:rPr>
              <w:t>HTTP 200; result matched the source KML</w:t>
            </w:r>
          </w:p>
        </w:tc>
      </w:tr>
      <w:tr>
        <w:tc>
          <w:tcPr>
            <w:tcW w:type="dxa" w:w="3300"/>
          </w:tcPr>
          <w:p>
            <w:pPr>
              <w:spacing w:after="0" w:line="264" w:lineRule="auto"/>
            </w:pPr>
            <w:r/>
            <w:r>
              <w:rPr>
                <w:rFonts w:ascii="Calibri" w:hAnsi="Calibri"/>
                <w:b w:val="0"/>
                <w:i w:val="0"/>
                <w:color w:val="0B2B24"/>
                <w:sz w:val="17"/>
              </w:rPr>
              <w:t>Hosted invalid point</w:t>
            </w:r>
          </w:p>
        </w:tc>
        <w:tc>
          <w:tcPr>
            <w:tcW w:type="dxa" w:w="6060"/>
          </w:tcPr>
          <w:p>
            <w:pPr>
              <w:spacing w:after="0" w:line="264" w:lineRule="auto"/>
            </w:pPr>
            <w:r/>
            <w:r>
              <w:rPr>
                <w:rFonts w:ascii="Calibri" w:hAnsi="Calibri"/>
                <w:b w:val="0"/>
                <w:i w:val="0"/>
                <w:color w:val="0B2B24"/>
                <w:sz w:val="17"/>
              </w:rPr>
              <w:t>HTTP 422, typed invalid_contour_selection</w:t>
            </w:r>
          </w:p>
        </w:tc>
      </w:tr>
      <w:tr>
        <w:tc>
          <w:tcPr>
            <w:tcW w:type="dxa" w:w="3300"/>
          </w:tcPr>
          <w:p>
            <w:pPr>
              <w:spacing w:after="0" w:line="264" w:lineRule="auto"/>
            </w:pPr>
            <w:r/>
            <w:r>
              <w:rPr>
                <w:rFonts w:ascii="Calibri" w:hAnsi="Calibri"/>
                <w:b w:val="0"/>
                <w:i w:val="0"/>
                <w:color w:val="0B2B24"/>
                <w:sz w:val="17"/>
              </w:rPr>
              <w:t>OpenAPI schema route</w:t>
            </w:r>
          </w:p>
        </w:tc>
        <w:tc>
          <w:tcPr>
            <w:tcW w:type="dxa" w:w="6060"/>
          </w:tcPr>
          <w:p>
            <w:pPr>
              <w:spacing w:after="0" w:line="264" w:lineRule="auto"/>
            </w:pPr>
            <w:r/>
            <w:r>
              <w:rPr>
                <w:rFonts w:ascii="Calibri" w:hAnsi="Calibri"/>
                <w:b w:val="0"/>
                <w:i w:val="0"/>
                <w:color w:val="0B2B24"/>
                <w:sz w:val="17"/>
              </w:rPr>
              <w:t>Passed</w:t>
            </w:r>
          </w:p>
        </w:tc>
      </w:tr>
      <w:tr>
        <w:tc>
          <w:tcPr>
            <w:tcW w:type="dxa" w:w="3300"/>
          </w:tcPr>
          <w:p>
            <w:pPr>
              <w:spacing w:after="0" w:line="264" w:lineRule="auto"/>
            </w:pPr>
            <w:r/>
            <w:r>
              <w:rPr>
                <w:rFonts w:ascii="Calibri" w:hAnsi="Calibri"/>
                <w:b w:val="0"/>
                <w:i w:val="0"/>
                <w:color w:val="0B2B24"/>
                <w:sz w:val="17"/>
              </w:rPr>
              <w:t>Docker backend build</w:t>
            </w:r>
          </w:p>
        </w:tc>
        <w:tc>
          <w:tcPr>
            <w:tcW w:type="dxa" w:w="6060"/>
          </w:tcPr>
          <w:p>
            <w:pPr>
              <w:spacing w:after="0" w:line="264" w:lineRule="auto"/>
            </w:pPr>
            <w:r/>
            <w:r>
              <w:rPr>
                <w:rFonts w:ascii="Calibri" w:hAnsi="Calibri"/>
                <w:b w:val="0"/>
                <w:i w:val="0"/>
                <w:color w:val="0B2B24"/>
                <w:sz w:val="17"/>
              </w:rPr>
              <w:t>Included in local/CI verification</w:t>
            </w:r>
          </w:p>
        </w:tc>
      </w:tr>
      <w:tr>
        <w:tc>
          <w:tcPr>
            <w:tcW w:type="dxa" w:w="3300"/>
          </w:tcPr>
          <w:p>
            <w:pPr>
              <w:spacing w:after="0" w:line="264" w:lineRule="auto"/>
            </w:pPr>
            <w:r/>
            <w:r>
              <w:rPr>
                <w:rFonts w:ascii="Calibri" w:hAnsi="Calibri"/>
                <w:b w:val="0"/>
                <w:i w:val="0"/>
                <w:color w:val="0B2B24"/>
                <w:sz w:val="17"/>
              </w:rPr>
              <w:t>Docker frontend build</w:t>
            </w:r>
          </w:p>
        </w:tc>
        <w:tc>
          <w:tcPr>
            <w:tcW w:type="dxa" w:w="6060"/>
          </w:tcPr>
          <w:p>
            <w:pPr>
              <w:spacing w:after="0" w:line="264" w:lineRule="auto"/>
            </w:pPr>
            <w:r/>
            <w:r>
              <w:rPr>
                <w:rFonts w:ascii="Calibri" w:hAnsi="Calibri"/>
                <w:b w:val="0"/>
                <w:i w:val="0"/>
                <w:color w:val="0B2B24"/>
                <w:sz w:val="17"/>
              </w:rPr>
              <w:t>Included in local/CI verification</w:t>
            </w:r>
          </w:p>
        </w:tc>
      </w:tr>
      <w:tr>
        <w:tc>
          <w:tcPr>
            <w:tcW w:type="dxa" w:w="3300"/>
          </w:tcPr>
          <w:p>
            <w:pPr>
              <w:spacing w:after="0" w:line="264" w:lineRule="auto"/>
            </w:pPr>
            <w:r/>
            <w:r>
              <w:rPr>
                <w:rFonts w:ascii="Calibri" w:hAnsi="Calibri"/>
                <w:b w:val="0"/>
                <w:i w:val="0"/>
                <w:color w:val="0B2B24"/>
                <w:sz w:val="17"/>
              </w:rPr>
              <w:t>Alembic PostgreSQL migration</w:t>
            </w:r>
          </w:p>
        </w:tc>
        <w:tc>
          <w:tcPr>
            <w:tcW w:type="dxa" w:w="6060"/>
          </w:tcPr>
          <w:p>
            <w:pPr>
              <w:spacing w:after="0" w:line="264" w:lineRule="auto"/>
            </w:pPr>
            <w:r/>
            <w:r>
              <w:rPr>
                <w:rFonts w:ascii="Calibri" w:hAnsi="Calibri"/>
                <w:b w:val="0"/>
                <w:i w:val="0"/>
                <w:color w:val="0B2B24"/>
                <w:sz w:val="17"/>
              </w:rPr>
              <w:t>Included in GitHub Actions</w:t>
            </w:r>
          </w:p>
        </w:tc>
      </w:tr>
      <w:tr>
        <w:tc>
          <w:tcPr>
            <w:tcW w:type="dxa" w:w="3300"/>
          </w:tcPr>
          <w:p>
            <w:pPr>
              <w:spacing w:after="0" w:line="264" w:lineRule="auto"/>
            </w:pPr>
            <w:r/>
            <w:r>
              <w:rPr>
                <w:rFonts w:ascii="Calibri" w:hAnsi="Calibri"/>
                <w:b w:val="0"/>
                <w:i w:val="0"/>
                <w:color w:val="0B2B24"/>
                <w:sz w:val="17"/>
              </w:rPr>
              <w:t>Hosted frontend and security headers</w:t>
            </w:r>
          </w:p>
        </w:tc>
        <w:tc>
          <w:tcPr>
            <w:tcW w:type="dxa" w:w="6060"/>
          </w:tcPr>
          <w:p>
            <w:pPr>
              <w:spacing w:after="0" w:line="264" w:lineRule="auto"/>
            </w:pPr>
            <w:r/>
            <w:r>
              <w:rPr>
                <w:rFonts w:ascii="Calibri" w:hAnsi="Calibri"/>
                <w:b w:val="0"/>
                <w:i w:val="0"/>
                <w:color w:val="0B2B24"/>
                <w:sz w:val="17"/>
              </w:rPr>
              <w:t>HTTP 200; frame, MIME and referrer headers passed</w:t>
            </w:r>
          </w:p>
        </w:tc>
      </w:tr>
      <w:tr>
        <w:tc>
          <w:tcPr>
            <w:tcW w:type="dxa" w:w="3300"/>
          </w:tcPr>
          <w:p>
            <w:pPr>
              <w:spacing w:after="0" w:line="264" w:lineRule="auto"/>
            </w:pPr>
            <w:r/>
            <w:r>
              <w:rPr>
                <w:rFonts w:ascii="Calibri" w:hAnsi="Calibri"/>
                <w:b w:val="0"/>
                <w:i w:val="0"/>
                <w:color w:val="0B2B24"/>
                <w:sz w:val="17"/>
              </w:rPr>
              <w:t>Hosted API readiness and OpenAPI</w:t>
            </w:r>
          </w:p>
        </w:tc>
        <w:tc>
          <w:tcPr>
            <w:tcW w:type="dxa" w:w="6060"/>
          </w:tcPr>
          <w:p>
            <w:pPr>
              <w:spacing w:after="0" w:line="264" w:lineRule="auto"/>
            </w:pPr>
            <w:r/>
            <w:r>
              <w:rPr>
                <w:rFonts w:ascii="Calibri" w:hAnsi="Calibri"/>
                <w:b w:val="0"/>
                <w:i w:val="0"/>
                <w:color w:val="0B2B24"/>
                <w:sz w:val="17"/>
              </w:rPr>
              <w:t>Verified through the deployed service</w:t>
            </w:r>
          </w:p>
        </w:tc>
      </w:tr>
      <w:tr>
        <w:tc>
          <w:tcPr>
            <w:tcW w:type="dxa" w:w="3300"/>
          </w:tcPr>
          <w:p>
            <w:pPr>
              <w:spacing w:after="0" w:line="264" w:lineRule="auto"/>
            </w:pPr>
            <w:r/>
            <w:r>
              <w:rPr>
                <w:rFonts w:ascii="Calibri" w:hAnsi="Calibri"/>
                <w:b w:val="0"/>
                <w:i w:val="0"/>
                <w:color w:val="0B2B24"/>
                <w:sz w:val="17"/>
              </w:rPr>
              <w:t>Hosted 2 km location analysis</w:t>
            </w:r>
          </w:p>
        </w:tc>
        <w:tc>
          <w:tcPr>
            <w:tcW w:type="dxa" w:w="6060"/>
          </w:tcPr>
          <w:p>
            <w:pPr>
              <w:spacing w:after="0" w:line="264" w:lineRule="auto"/>
            </w:pPr>
            <w:r/>
            <w:r>
              <w:rPr>
                <w:rFonts w:ascii="Calibri" w:hAnsi="Calibri"/>
                <w:b w:val="0"/>
                <w:i w:val="0"/>
                <w:color w:val="0B2B24"/>
                <w:sz w:val="17"/>
              </w:rPr>
              <w:t>35 rainfall years; 152.07 ha selected catchment; three pond options</w:t>
            </w:r>
          </w:p>
        </w:tc>
      </w:tr>
    </w:tbl>
    <w:p>
      <w:pPr>
        <w:spacing w:before="80" w:after="80"/>
      </w:pPr>
    </w:p>
    <w:p>
      <w:r>
        <w:rPr>
          <w:rFonts w:ascii="Calibri" w:hAnsi="Calibri"/>
          <w:b w:val="0"/>
          <w:i w:val="0"/>
          <w:color w:val="0B2B24"/>
          <w:sz w:val="22"/>
        </w:rPr>
        <w:t>Backend tests cover contour/KMZ safety, parsing variants, KML route behavior, input limits, D8 flow, accumulation, selected-point catchment traversal, priority-flood, boundary/water masking, option separation, manual point and region validation, runoff equations, frustum sizing, imagery validation, rainfall gaps, upstream failures, response quality, security defaults, rate limiting, health, and privacy defaults. Frontend tests cover explicit search, search validation, rainfall rendering, select-then-confirm analysis, KML upload, ranked options, complete output rendering, and contour-selection interactions.</w:t>
      </w:r>
    </w:p>
    <w:p>
      <w:pPr>
        <w:pStyle w:val="Heading1"/>
        <w:pageBreakBefore/>
      </w:pPr>
      <w:bookmarkStart w:id="36" w:name="sec_027"/>
      <w:r>
        <w:t>13. Deployment and submission</w:t>
      </w:r>
      <w:bookmarkEnd w:id="36"/>
    </w:p>
    <w:p>
      <w:r>
        <w:rPr>
          <w:rFonts w:ascii="Calibri" w:hAnsi="Calibri"/>
          <w:b w:val="0"/>
          <w:i w:val="0"/>
          <w:color w:val="0B2B24"/>
          <w:sz w:val="22"/>
        </w:rPr>
        <w:t>The repository contains render.yaml for repeatable deployment in the Singapore region. Release 0a385c0 was deployed and verified on 29 August 2026:</w:t>
      </w:r>
    </w:p>
    <w:p>
      <w:pPr>
        <w:numPr>
          <w:ilvl w:val="0"/>
          <w:numId w:val="10"/>
        </w:numPr>
        <w:spacing w:after="80" w:line="300" w:lineRule="auto"/>
      </w:pPr>
      <w:r>
        <w:rPr>
          <w:rFonts w:ascii="Calibri" w:hAnsi="Calibri"/>
          <w:b w:val="0"/>
          <w:i w:val="0"/>
          <w:color w:val="0B2B24"/>
          <w:sz w:val="22"/>
        </w:rPr>
        <w:t xml:space="preserve">Frontend: </w:t>
      </w:r>
      <w:hyperlink r:id="rId20">
        <w:r>
          <w:rPr>
            <w:rStyle w:val="Hyperlink"/>
          </w:rPr>
          <w:t>Open link</w:t>
        </w:r>
      </w:hyperlink>
    </w:p>
    <w:p>
      <w:pPr>
        <w:numPr>
          <w:ilvl w:val="0"/>
          <w:numId w:val="10"/>
        </w:numPr>
        <w:spacing w:after="80" w:line="300" w:lineRule="auto"/>
      </w:pPr>
      <w:r>
        <w:rPr>
          <w:rFonts w:ascii="Calibri" w:hAnsi="Calibri"/>
          <w:b w:val="0"/>
          <w:i w:val="0"/>
          <w:color w:val="0B2B24"/>
          <w:sz w:val="22"/>
        </w:rPr>
        <w:t xml:space="preserve">API: </w:t>
      </w:r>
      <w:hyperlink r:id="rId21">
        <w:r>
          <w:rPr>
            <w:rStyle w:val="Hyperlink"/>
          </w:rPr>
          <w:t>Open link</w:t>
        </w:r>
      </w:hyperlink>
    </w:p>
    <w:p>
      <w:pPr>
        <w:numPr>
          <w:ilvl w:val="0"/>
          <w:numId w:val="10"/>
        </w:numPr>
        <w:spacing w:after="80" w:line="300" w:lineRule="auto"/>
      </w:pPr>
      <w:r>
        <w:rPr>
          <w:rFonts w:ascii="Calibri" w:hAnsi="Calibri"/>
          <w:b w:val="0"/>
          <w:i w:val="0"/>
          <w:color w:val="0B2B24"/>
          <w:sz w:val="22"/>
        </w:rPr>
        <w:t xml:space="preserve">API documentation: </w:t>
      </w:r>
      <w:hyperlink r:id="rId22">
        <w:r>
          <w:rPr>
            <w:rStyle w:val="Hyperlink"/>
          </w:rPr>
          <w:t>Open link</w:t>
        </w:r>
      </w:hyperlink>
    </w:p>
    <w:p>
      <w:r>
        <w:rPr>
          <w:rFonts w:ascii="Calibri" w:hAnsi="Calibri"/>
          <w:b w:val="0"/>
          <w:i w:val="0"/>
          <w:color w:val="0B2B24"/>
          <w:sz w:val="22"/>
        </w:rPr>
        <w:t>Free Render web services can sleep after inactivity, so the first API request may require a cold-start wait. The final hosted KML verification processed all 1,355 contours and 159,113 source vertices in 12.47 seconds, returned three ranked and water-screened alternatives, and completed the rainfall, runoff, and pond-geometry branches. Point and region re-selection, KMZ upload, and negative selection rejection were then exercised against the same deployed release.</w:t>
      </w:r>
    </w:p>
    <w:p>
      <w:r>
        <w:rPr>
          <w:rFonts w:ascii="Calibri" w:hAnsi="Calibri"/>
          <w:b w:val="0"/>
          <w:i w:val="0"/>
          <w:color w:val="0B2B24"/>
          <w:sz w:val="22"/>
        </w:rPr>
        <w:t>The final hosted location test also exercised the complete fallback rainfall and pond paths: 35 complete rainfall years, 1,324.2 mm mean annual rainfall, a 152.07 ha catchment upstream of the selected pond option, 604,080 m³ screening runoff, 483,264 m³ capacity, and three spatially separated alternatives. Its degraded quality status and field-verification warnings are intentional and visible to the user. Docker deployment and post-deploy checks are documented separately in docs/DEPLOYMENT.md.</w:t>
      </w:r>
    </w:p>
    <w:p>
      <w:pPr>
        <w:pStyle w:val="Heading1"/>
        <w:pageBreakBefore/>
      </w:pPr>
      <w:bookmarkStart w:id="37" w:name="sec_028"/>
      <w:r>
        <w:t>14. Limitations and required field work</w:t>
      </w:r>
      <w:bookmarkEnd w:id="37"/>
    </w:p>
    <w:p>
      <w:r>
        <w:rPr>
          <w:rFonts w:ascii="Calibri" w:hAnsi="Calibri"/>
          <w:b w:val="0"/>
          <w:i w:val="0"/>
          <w:color w:val="0B2B24"/>
          <w:sz w:val="22"/>
        </w:rPr>
        <w:t>Before any excavation decision, obtain:</w:t>
      </w:r>
    </w:p>
    <w:p>
      <w:pPr>
        <w:numPr>
          <w:ilvl w:val="0"/>
          <w:numId w:val="10"/>
        </w:numPr>
        <w:spacing w:after="80" w:line="300" w:lineRule="auto"/>
      </w:pPr>
      <w:r>
        <w:rPr>
          <w:rFonts w:ascii="Calibri" w:hAnsi="Calibri"/>
          <w:b w:val="0"/>
          <w:i w:val="0"/>
          <w:color w:val="0B2B24"/>
          <w:sz w:val="22"/>
        </w:rPr>
        <w:t>cadastral ownership, easements, consent, and legal land availability;</w:t>
      </w:r>
    </w:p>
    <w:p>
      <w:pPr>
        <w:numPr>
          <w:ilvl w:val="0"/>
          <w:numId w:val="10"/>
        </w:numPr>
        <w:spacing w:after="80" w:line="300" w:lineRule="auto"/>
      </w:pPr>
      <w:r>
        <w:rPr>
          <w:rFonts w:ascii="Calibri" w:hAnsi="Calibri"/>
          <w:b w:val="0"/>
          <w:i w:val="0"/>
          <w:color w:val="0B2B24"/>
          <w:sz w:val="22"/>
        </w:rPr>
        <w:t>total-station, RTK/GNSS, or equivalent terrain and outlet survey;</w:t>
      </w:r>
    </w:p>
    <w:p>
      <w:pPr>
        <w:numPr>
          <w:ilvl w:val="0"/>
          <w:numId w:val="10"/>
        </w:numPr>
        <w:spacing w:after="80" w:line="300" w:lineRule="auto"/>
      </w:pPr>
      <w:r>
        <w:rPr>
          <w:rFonts w:ascii="Calibri" w:hAnsi="Calibri"/>
          <w:b w:val="0"/>
          <w:i w:val="0"/>
          <w:color w:val="0B2B24"/>
          <w:sz w:val="22"/>
        </w:rPr>
        <w:t>soil, infiltration, erodibility, lining, slope stability and geotechnical data;</w:t>
      </w:r>
    </w:p>
    <w:p>
      <w:pPr>
        <w:numPr>
          <w:ilvl w:val="0"/>
          <w:numId w:val="10"/>
        </w:numPr>
        <w:spacing w:after="80" w:line="300" w:lineRule="auto"/>
      </w:pPr>
      <w:r>
        <w:rPr>
          <w:rFonts w:ascii="Calibri" w:hAnsi="Calibri"/>
          <w:b w:val="0"/>
          <w:i w:val="0"/>
          <w:color w:val="0B2B24"/>
          <w:sz w:val="22"/>
        </w:rPr>
        <w:t>groundwater level, recharge objective and downstream-impact assessment;</w:t>
      </w:r>
    </w:p>
    <w:p>
      <w:pPr>
        <w:numPr>
          <w:ilvl w:val="0"/>
          <w:numId w:val="10"/>
        </w:numPr>
        <w:spacing w:after="80" w:line="300" w:lineRule="auto"/>
      </w:pPr>
      <w:r>
        <w:rPr>
          <w:rFonts w:ascii="Calibri" w:hAnsi="Calibri"/>
          <w:b w:val="0"/>
          <w:i w:val="0"/>
          <w:color w:val="0B2B24"/>
          <w:sz w:val="22"/>
        </w:rPr>
        <w:t>approved runoff coefficient and intensity-duration-frequency design rainfall;</w:t>
      </w:r>
    </w:p>
    <w:p>
      <w:pPr>
        <w:numPr>
          <w:ilvl w:val="0"/>
          <w:numId w:val="10"/>
        </w:numPr>
        <w:spacing w:after="80" w:line="300" w:lineRule="auto"/>
      </w:pPr>
      <w:r>
        <w:rPr>
          <w:rFonts w:ascii="Calibri" w:hAnsi="Calibri"/>
          <w:b w:val="0"/>
          <w:i w:val="0"/>
          <w:color w:val="0B2B24"/>
          <w:sz w:val="22"/>
        </w:rPr>
        <w:t>sediment, evaporation, seepage, routing and environmental-release allowances;</w:t>
      </w:r>
    </w:p>
    <w:p>
      <w:pPr>
        <w:numPr>
          <w:ilvl w:val="0"/>
          <w:numId w:val="10"/>
        </w:numPr>
        <w:spacing w:after="80" w:line="300" w:lineRule="auto"/>
      </w:pPr>
      <w:r>
        <w:rPr>
          <w:rFonts w:ascii="Calibri" w:hAnsi="Calibri"/>
          <w:b w:val="0"/>
          <w:i w:val="0"/>
          <w:color w:val="0B2B24"/>
          <w:sz w:val="22"/>
        </w:rPr>
        <w:t>utilities, buildings, roads, crops, ecology, protected areas and water quality;</w:t>
      </w:r>
    </w:p>
    <w:p>
      <w:pPr>
        <w:numPr>
          <w:ilvl w:val="0"/>
          <w:numId w:val="10"/>
        </w:numPr>
        <w:spacing w:after="80" w:line="300" w:lineRule="auto"/>
      </w:pPr>
      <w:r>
        <w:rPr>
          <w:rFonts w:ascii="Calibri" w:hAnsi="Calibri"/>
          <w:b w:val="0"/>
          <w:i w:val="0"/>
          <w:color w:val="0B2B24"/>
          <w:sz w:val="22"/>
        </w:rPr>
        <w:t>detailed civil/geotechnical design, drawings, bill of quantities and approvals.</w:t>
      </w:r>
    </w:p>
    <w:p>
      <w:r>
        <w:rPr>
          <w:rFonts w:ascii="Calibri" w:hAnsi="Calibri"/>
          <w:b w:val="0"/>
          <w:i w:val="0"/>
          <w:color w:val="0B2B24"/>
          <w:sz w:val="22"/>
        </w:rPr>
        <w:t>These limits are part of the result contract and user interface rather than being hidden only in this report.</w:t>
      </w:r>
    </w:p>
    <w:p>
      <w:pPr>
        <w:pStyle w:val="Heading1"/>
        <w:pageBreakBefore/>
      </w:pPr>
      <w:bookmarkStart w:id="38" w:name="sec_029"/>
      <w:r>
        <w:t>15. AI-tool usage and academic integrity</w:t>
      </w:r>
      <w:bookmarkEnd w:id="38"/>
    </w:p>
    <w:p>
      <w:r>
        <w:rPr>
          <w:rFonts w:ascii="Calibri" w:hAnsi="Calibri"/>
          <w:b w:val="0"/>
          <w:i w:val="0"/>
          <w:color w:val="0B2B24"/>
          <w:sz w:val="22"/>
        </w:rPr>
        <w:t>OpenAI Codex was used as an AI-assisted development tool for requirement review, code review, debugging, refactoring suggestions, automated test development, security checks, and documentation formatting. Generated suggestions were not accepted as unverified output: project files were inspected, algorithms were checked against the assignment, tests and audits were executed, failures were corrected, and the supplied KML was processed end to end. The student remains responsible for understanding and explaining every submitted component, including KML parsing, interpolation, D8 hydrology, runoff equations, pond geometry, API contracts, deployment, and limitations.</w:t>
      </w:r>
    </w:p>
    <w:p>
      <w:pPr>
        <w:pStyle w:val="Heading1"/>
        <w:pageBreakBefore/>
      </w:pPr>
      <w:bookmarkStart w:id="39" w:name="sec_030"/>
      <w:r>
        <w:t>16. Conclusion</w:t>
      </w:r>
      <w:bookmarkEnd w:id="39"/>
    </w:p>
    <w:p>
      <w:r>
        <w:rPr>
          <w:rFonts w:ascii="Calibri" w:hAnsi="Calibri"/>
          <w:b w:val="0"/>
          <w:i w:val="0"/>
          <w:color w:val="0B2B24"/>
          <w:sz w:val="22"/>
        </w:rPr>
        <w:t>The completed project satisfies the assignment's software deliverables with a generalized Phase 2 KML/KMZ catchment API, automatic and user-guided pond-site selection, upstream catchment recomputation, detected-river exclusion, historical rainfall, runoff and preliminary pond geometry, an integrated accessible frontend, deployment infrastructure, and a repeatable test matrix. The main design achievement is not only producing a result, but offering traceable alternatives while distinguishing computed screening evidence from facts that require cadastral, survey, environmental, and engineering authority.</w:t>
      </w:r>
    </w:p>
    <w:p>
      <w:pPr>
        <w:pStyle w:val="Heading1"/>
        <w:pageBreakBefore/>
      </w:pPr>
      <w:bookmarkStart w:id="40" w:name="sec_031"/>
      <w:r>
        <w:t>References</w:t>
      </w:r>
      <w:bookmarkEnd w:id="40"/>
    </w:p>
    <w:p>
      <w:pPr>
        <w:numPr>
          <w:ilvl w:val="0"/>
          <w:numId w:val="13"/>
        </w:numPr>
        <w:spacing w:after="80" w:line="300" w:lineRule="auto"/>
      </w:pPr>
      <w:r>
        <w:rPr>
          <w:rFonts w:ascii="Calibri" w:hAnsi="Calibri"/>
          <w:b w:val="0"/>
          <w:i w:val="0"/>
          <w:color w:val="0B2B24"/>
          <w:sz w:val="22"/>
        </w:rPr>
        <w:t xml:space="preserve">Open-Meteo Elevation API: </w:t>
      </w:r>
      <w:hyperlink r:id="rId23">
        <w:r>
          <w:rPr>
            <w:rStyle w:val="Hyperlink"/>
          </w:rPr>
          <w:t>Open link</w:t>
        </w:r>
      </w:hyperlink>
    </w:p>
    <w:p>
      <w:pPr>
        <w:numPr>
          <w:ilvl w:val="0"/>
          <w:numId w:val="13"/>
        </w:numPr>
        <w:spacing w:after="80" w:line="300" w:lineRule="auto"/>
      </w:pPr>
      <w:r>
        <w:rPr>
          <w:rFonts w:ascii="Calibri" w:hAnsi="Calibri"/>
          <w:b w:val="0"/>
          <w:i w:val="0"/>
          <w:color w:val="0B2B24"/>
          <w:sz w:val="22"/>
        </w:rPr>
        <w:t xml:space="preserve">Open-Meteo Historical Weather API: </w:t>
      </w:r>
      <w:hyperlink r:id="rId24">
        <w:r>
          <w:rPr>
            <w:rStyle w:val="Hyperlink"/>
          </w:rPr>
          <w:t>Open link</w:t>
        </w:r>
      </w:hyperlink>
    </w:p>
    <w:p>
      <w:pPr>
        <w:numPr>
          <w:ilvl w:val="0"/>
          <w:numId w:val="13"/>
        </w:numPr>
        <w:spacing w:after="80" w:line="300" w:lineRule="auto"/>
      </w:pPr>
      <w:r>
        <w:rPr>
          <w:rFonts w:ascii="Calibri" w:hAnsi="Calibri"/>
          <w:b w:val="0"/>
          <w:i w:val="0"/>
          <w:color w:val="0B2B24"/>
          <w:sz w:val="22"/>
        </w:rPr>
        <w:t xml:space="preserve">Nominatim Usage Policy: </w:t>
      </w:r>
      <w:hyperlink r:id="rId25">
        <w:r>
          <w:rPr>
            <w:rStyle w:val="Hyperlink"/>
          </w:rPr>
          <w:t>Open link</w:t>
        </w:r>
      </w:hyperlink>
    </w:p>
    <w:p>
      <w:pPr>
        <w:numPr>
          <w:ilvl w:val="0"/>
          <w:numId w:val="13"/>
        </w:numPr>
        <w:spacing w:after="80" w:line="300" w:lineRule="auto"/>
      </w:pPr>
      <w:r>
        <w:rPr>
          <w:rFonts w:ascii="Calibri" w:hAnsi="Calibri"/>
          <w:b w:val="0"/>
          <w:i w:val="0"/>
          <w:color w:val="0B2B24"/>
          <w:sz w:val="22"/>
        </w:rPr>
        <w:t xml:space="preserve">FastAPI documentation: </w:t>
      </w:r>
      <w:hyperlink r:id="rId26">
        <w:r>
          <w:rPr>
            <w:rStyle w:val="Hyperlink"/>
          </w:rPr>
          <w:t>Open link</w:t>
        </w:r>
      </w:hyperlink>
    </w:p>
    <w:p>
      <w:pPr>
        <w:numPr>
          <w:ilvl w:val="0"/>
          <w:numId w:val="13"/>
        </w:numPr>
        <w:spacing w:after="80" w:line="300" w:lineRule="auto"/>
      </w:pPr>
      <w:r>
        <w:rPr>
          <w:rFonts w:ascii="Calibri" w:hAnsi="Calibri"/>
          <w:b w:val="0"/>
          <w:i w:val="0"/>
          <w:color w:val="0B2B24"/>
          <w:sz w:val="22"/>
        </w:rPr>
        <w:t xml:space="preserve">Leaflet documentation: </w:t>
      </w:r>
      <w:hyperlink r:id="rId27">
        <w:r>
          <w:rPr>
            <w:rStyle w:val="Hyperlink"/>
          </w:rPr>
          <w:t>Open link</w:t>
        </w:r>
      </w:hyperlink>
    </w:p>
    <w:p>
      <w:pPr>
        <w:numPr>
          <w:ilvl w:val="0"/>
          <w:numId w:val="13"/>
        </w:numPr>
        <w:spacing w:after="80" w:line="300" w:lineRule="auto"/>
      </w:pPr>
      <w:r>
        <w:rPr>
          <w:rFonts w:ascii="Calibri" w:hAnsi="Calibri"/>
          <w:b w:val="0"/>
          <w:i w:val="0"/>
          <w:color w:val="0B2B24"/>
          <w:sz w:val="22"/>
        </w:rPr>
        <w:t xml:space="preserve">OpenCV documentation: </w:t>
      </w:r>
      <w:hyperlink r:id="rId28">
        <w:r>
          <w:rPr>
            <w:rStyle w:val="Hyperlink"/>
          </w:rPr>
          <w:t>Open link</w:t>
        </w:r>
      </w:hyperlink>
    </w:p>
    <w:p>
      <w:pPr>
        <w:numPr>
          <w:ilvl w:val="0"/>
          <w:numId w:val="13"/>
        </w:numPr>
        <w:spacing w:after="80" w:line="300" w:lineRule="auto"/>
      </w:pPr>
      <w:r>
        <w:rPr>
          <w:rFonts w:ascii="Calibri" w:hAnsi="Calibri"/>
          <w:b w:val="0"/>
          <w:i w:val="0"/>
          <w:color w:val="0B2B24"/>
          <w:sz w:val="22"/>
        </w:rPr>
        <w:t xml:space="preserve">Render Blueprint specification: </w:t>
      </w:r>
      <w:hyperlink r:id="rId29">
        <w:r>
          <w:rPr>
            <w:rStyle w:val="Hyperlink"/>
          </w:rPr>
          <w:t>Open link</w:t>
        </w:r>
      </w:hyperlink>
    </w:p>
    <w:p>
      <w:pPr>
        <w:numPr>
          <w:ilvl w:val="0"/>
          <w:numId w:val="13"/>
        </w:numPr>
        <w:spacing w:after="80" w:line="300" w:lineRule="auto"/>
      </w:pPr>
      <w:r>
        <w:rPr>
          <w:rFonts w:ascii="Calibri" w:hAnsi="Calibri"/>
          <w:b w:val="0"/>
          <w:i w:val="0"/>
          <w:color w:val="0B2B24"/>
          <w:sz w:val="22"/>
        </w:rPr>
        <w:t xml:space="preserve">AWS Open Data Terrain Tiles: </w:t>
      </w:r>
      <w:hyperlink r:id="rId30">
        <w:r>
          <w:rPr>
            <w:rStyle w:val="Hyperlink"/>
          </w:rPr>
          <w:t>Open link</w:t>
        </w:r>
      </w:hyperlink>
    </w:p>
    <w:p>
      <w:pPr>
        <w:numPr>
          <w:ilvl w:val="0"/>
          <w:numId w:val="13"/>
        </w:numPr>
        <w:spacing w:after="80" w:line="300" w:lineRule="auto"/>
      </w:pPr>
      <w:r>
        <w:rPr>
          <w:rFonts w:ascii="Calibri" w:hAnsi="Calibri"/>
          <w:b w:val="0"/>
          <w:i w:val="0"/>
          <w:color w:val="0B2B24"/>
          <w:sz w:val="22"/>
        </w:rPr>
        <w:t xml:space="preserve">Tilezen Terrarium format: </w:t>
      </w:r>
      <w:hyperlink r:id="rId31">
        <w:r>
          <w:rPr>
            <w:rStyle w:val="Hyperlink"/>
          </w:rPr>
          <w:t>Open link</w:t>
        </w:r>
      </w:hyperlink>
    </w:p>
    <w:p>
      <w:pPr>
        <w:numPr>
          <w:ilvl w:val="0"/>
          <w:numId w:val="13"/>
        </w:numPr>
        <w:spacing w:after="80" w:line="300" w:lineRule="auto"/>
      </w:pPr>
      <w:r>
        <w:rPr>
          <w:rFonts w:ascii="Calibri" w:hAnsi="Calibri"/>
          <w:b w:val="0"/>
          <w:i w:val="0"/>
          <w:color w:val="0B2B24"/>
          <w:sz w:val="22"/>
        </w:rPr>
        <w:t xml:space="preserve">NASA POWER Daily API: </w:t>
      </w:r>
      <w:hyperlink r:id="rId32">
        <w:r>
          <w:rPr>
            <w:rStyle w:val="Hyperlink"/>
          </w:rPr>
          <w:t>Open link</w:t>
        </w:r>
      </w:hyperlink>
    </w:p>
    <w:p>
      <w:pPr>
        <w:numPr>
          <w:ilvl w:val="0"/>
          <w:numId w:val="13"/>
        </w:numPr>
        <w:spacing w:after="80" w:line="300" w:lineRule="auto"/>
      </w:pPr>
      <w:r>
        <w:rPr>
          <w:rFonts w:ascii="Calibri" w:hAnsi="Calibri"/>
          <w:b w:val="0"/>
          <w:i w:val="0"/>
          <w:color w:val="0B2B24"/>
          <w:sz w:val="22"/>
        </w:rPr>
        <w:t xml:space="preserve">Barnes et al., Priority-Flood depression filling: </w:t>
      </w:r>
      <w:hyperlink r:id="rId33">
        <w:r>
          <w:rPr>
            <w:rStyle w:val="Hyperlink"/>
          </w:rPr>
          <w:t>Open link</w:t>
        </w:r>
      </w:hyperlink>
    </w:p>
    <w:p>
      <w:pPr>
        <w:numPr>
          <w:ilvl w:val="0"/>
          <w:numId w:val="13"/>
        </w:numPr>
        <w:spacing w:after="80" w:line="300" w:lineRule="auto"/>
      </w:pPr>
      <w:r>
        <w:rPr>
          <w:rFonts w:ascii="Calibri" w:hAnsi="Calibri"/>
          <w:b w:val="0"/>
          <w:i w:val="0"/>
          <w:color w:val="0B2B24"/>
          <w:sz w:val="22"/>
        </w:rPr>
        <w:t xml:space="preserve">O'Callaghan and Mark, D8 drainage networks: </w:t>
      </w:r>
      <w:hyperlink r:id="rId34">
        <w:r>
          <w:rPr>
            <w:rStyle w:val="Hyperlink"/>
          </w:rPr>
          <w:t>Open link</w:t>
        </w:r>
      </w:hyperlink>
    </w:p>
    <w:p>
      <w:pPr>
        <w:numPr>
          <w:ilvl w:val="0"/>
          <w:numId w:val="13"/>
        </w:numPr>
        <w:spacing w:after="80" w:line="300" w:lineRule="auto"/>
      </w:pPr>
      <w:r>
        <w:rPr>
          <w:rFonts w:ascii="Calibri" w:hAnsi="Calibri"/>
          <w:b w:val="0"/>
          <w:i w:val="0"/>
          <w:color w:val="0B2B24"/>
          <w:sz w:val="22"/>
        </w:rPr>
        <w:t xml:space="preserve">OGC KML 2.3 standard: </w:t>
      </w:r>
      <w:hyperlink r:id="rId35">
        <w:r>
          <w:rPr>
            <w:rStyle w:val="Hyperlink"/>
          </w:rPr>
          <w:t>Open link</w:t>
        </w:r>
      </w:hyperlink>
    </w:p>
    <w:p>
      <w:pPr>
        <w:numPr>
          <w:ilvl w:val="0"/>
          <w:numId w:val="13"/>
        </w:numPr>
        <w:spacing w:after="80" w:line="300" w:lineRule="auto"/>
      </w:pPr>
      <w:r>
        <w:rPr>
          <w:rFonts w:ascii="Calibri" w:hAnsi="Calibri"/>
          <w:b w:val="0"/>
          <w:i w:val="0"/>
          <w:color w:val="0B2B24"/>
          <w:sz w:val="22"/>
        </w:rPr>
        <w:t xml:space="preserve">USDA NRCS runoff-volume guidance: </w:t>
      </w:r>
      <w:hyperlink r:id="rId36">
        <w:r>
          <w:rPr>
            <w:rStyle w:val="Hyperlink"/>
          </w:rPr>
          <w:t>Open link</w:t>
        </w:r>
      </w:hyperlink>
    </w:p>
    <w:p>
      <w:pPr>
        <w:pStyle w:val="Heading1"/>
        <w:pageBreakBefore/>
      </w:pPr>
      <w:bookmarkStart w:id="200" w:name="appendix_algorithms"/>
      <w:r>
        <w:t>Appendix A. Algorithms explained from first principles</w:t>
      </w:r>
      <w:bookmarkEnd w:id="200"/>
    </w:p>
    <w:p>
      <w:pPr>
        <w:pStyle w:val="Heading2"/>
      </w:pPr>
      <w:bookmarkStart w:id="201" w:name="appendix_contour_meaning"/>
      <w:r>
        <w:t>A.1 What a contour line means</w:t>
      </w:r>
      <w:bookmarkEnd w:id="201"/>
    </w:p>
    <w:p>
      <w:r>
        <w:rPr>
          <w:rFonts w:ascii="Calibri" w:hAnsi="Calibri"/>
          <w:b w:val="0"/>
          <w:i w:val="0"/>
          <w:color w:val="0B2B24"/>
          <w:sz w:val="22"/>
        </w:rPr>
        <w:t>A contour line connects locations having the same elevation. Lines close together usually mean a steeper surface; lines farther apart usually mean a gentler surface. A KML contour map is still only a set of lines. Water-flow algorithms need an elevation value for every grid cell, so the system first reconstructs the unknown cells between lines.</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DDF8EE"/>
          </w:tcPr>
          <w:p>
            <w:pPr>
              <w:spacing w:after="60"/>
            </w:pPr>
            <w:r/>
            <w:r>
              <w:rPr>
                <w:rFonts w:ascii="Calibri" w:hAnsi="Calibri"/>
                <w:b/>
                <w:color w:val="0F7B63"/>
                <w:sz w:val="21"/>
              </w:rPr>
              <w:t>KML VERSUS KMZ</w:t>
            </w:r>
          </w:p>
          <w:p>
            <w:pPr>
              <w:spacing w:after="0"/>
            </w:pPr>
            <w:r>
              <w:rPr>
                <w:rFonts w:ascii="Calibri" w:hAnsi="Calibri"/>
                <w:b w:val="0"/>
                <w:i w:val="0"/>
                <w:color w:val="0B2B24"/>
                <w:sz w:val="20"/>
              </w:rPr>
              <w:t>KML is readable XML containing placemarks and coordinates. KMZ is a ZIP archive whose main content is KML, commonly named doc.kml. Compressing KML to KMZ changes storage and transfer size; it does not improve terrain accuracy. The deployed API accepts and validates both formats.</w:t>
            </w:r>
          </w:p>
        </w:tc>
      </w:tr>
    </w:tbl>
    <w:p>
      <w:pPr>
        <w:spacing w:after="40"/>
      </w:pPr>
    </w:p>
    <w:p>
      <w:pPr>
        <w:pStyle w:val="Heading2"/>
      </w:pPr>
      <w:bookmarkStart w:id="202" w:name="appendix_interpolation"/>
      <w:r>
        <w:t>A.2 Harmonic interpolation</w:t>
      </w:r>
      <w:bookmarkEnd w:id="202"/>
    </w:p>
    <w:p>
      <w:r>
        <w:rPr>
          <w:rFonts w:ascii="Calibri" w:hAnsi="Calibri"/>
          <w:b w:val="0"/>
          <w:i w:val="0"/>
          <w:color w:val="0B2B24"/>
          <w:sz w:val="22"/>
        </w:rPr>
        <w:t>The rasterized contour cells are fixed observations. Every unknown interior cell is initialized from nearby observations and repeatedly replaced by the mean of valid neighboring cells. The fixed cells never move. Repetition creates a smooth surface that exactly preserves the rasterized contours. The process stops when the maximum update is below tolerance or the iteration limit is reached.</w:t>
      </w:r>
    </w:p>
    <w:p>
      <w:pPr>
        <w:numPr>
          <w:ilvl w:val="0"/>
          <w:numId w:val="10"/>
        </w:numPr>
        <w:spacing w:after="80" w:line="300" w:lineRule="auto"/>
      </w:pPr>
      <w:r>
        <w:rPr>
          <w:rFonts w:ascii="Calibri" w:hAnsi="Calibri"/>
          <w:b w:val="0"/>
          <w:i w:val="0"/>
          <w:color w:val="0B2B24"/>
          <w:sz w:val="22"/>
        </w:rPr>
        <w:t>Why use it: deterministic, bounded, easy to audit, and appropriate for smoothly varying terrain between dense contours.</w:t>
      </w:r>
    </w:p>
    <w:p>
      <w:pPr>
        <w:numPr>
          <w:ilvl w:val="0"/>
          <w:numId w:val="10"/>
        </w:numPr>
        <w:spacing w:after="80" w:line="300" w:lineRule="auto"/>
      </w:pPr>
      <w:r>
        <w:rPr>
          <w:rFonts w:ascii="Calibri" w:hAnsi="Calibri"/>
          <w:b w:val="0"/>
          <w:i w:val="0"/>
          <w:color w:val="0B2B24"/>
          <w:sz w:val="22"/>
        </w:rPr>
        <w:t>What it cannot know: breaks of slope, channels, embankments, and survey errors not represented by the contour geometry.</w:t>
      </w:r>
    </w:p>
    <w:p>
      <w:pPr>
        <w:pStyle w:val="Heading2"/>
      </w:pPr>
      <w:bookmarkStart w:id="203" w:name="appendix_priority_flood"/>
      <w:r>
        <w:t>A.3 Priority-Flood depression conditioning</w:t>
      </w:r>
      <w:bookmarkEnd w:id="203"/>
    </w:p>
    <w:p>
      <w:r>
        <w:rPr>
          <w:rFonts w:ascii="Calibri" w:hAnsi="Calibri"/>
          <w:b w:val="0"/>
          <w:i w:val="0"/>
          <w:color w:val="0B2B24"/>
          <w:sz w:val="22"/>
        </w:rPr>
        <w:t>Digital surfaces often contain one-cell pits caused by sampling or interpolation. A naive D8 router would trap water in those cells. Priority-Flood begins at the analysis boundary and visits cells from low to high elevation using a priority queue. If an unvisited neighbor is lower than the current spill elevation, it is raised only enough to drain. The output is a connected drainage surface, while the report records how much of the grid changed so large corrections remain visible.</w:t>
      </w:r>
    </w:p>
    <w:p>
      <w:pPr>
        <w:pStyle w:val="Heading2"/>
      </w:pPr>
      <w:bookmarkStart w:id="204" w:name="appendix_d8"/>
      <w:r>
        <w:t>A.4 D8 flow direction, accumulation, and reverse catchment</w:t>
      </w:r>
      <w:bookmarkEnd w:id="204"/>
    </w:p>
    <w:p>
      <w:r>
        <w:rPr>
          <w:rFonts w:ascii="Calibri" w:hAnsi="Calibri"/>
          <w:b w:val="0"/>
          <w:i w:val="0"/>
          <w:color w:val="0B2B24"/>
          <w:sz w:val="22"/>
        </w:rPr>
        <w:t>D8 means each cell may drain to one of its eight neighbors. The implementation chooses the lower neighbor with the greatest elevation drop divided by travel distance. Cardinal neighbors are one cell away and diagonal neighbors are √2 cells away. A tiny deterministic gradient resolves perfectly equal flats without random results.</w:t>
      </w:r>
    </w:p>
    <w:p>
      <w:pPr>
        <w:numPr>
          <w:ilvl w:val="0"/>
          <w:numId w:val="14"/>
        </w:numPr>
        <w:spacing w:after="80" w:line="300" w:lineRule="auto"/>
      </w:pPr>
      <w:r>
        <w:rPr>
          <w:rFonts w:ascii="Calibri" w:hAnsi="Calibri"/>
          <w:b w:val="0"/>
          <w:i w:val="0"/>
          <w:color w:val="0B2B24"/>
          <w:sz w:val="22"/>
        </w:rPr>
        <w:t>Flow direction creates a directed graph: each cell has at most one downstream neighbor.</w:t>
      </w:r>
    </w:p>
    <w:p>
      <w:pPr>
        <w:numPr>
          <w:ilvl w:val="0"/>
          <w:numId w:val="14"/>
        </w:numPr>
        <w:spacing w:after="80" w:line="300" w:lineRule="auto"/>
      </w:pPr>
      <w:r>
        <w:rPr>
          <w:rFonts w:ascii="Calibri" w:hAnsi="Calibri"/>
          <w:b w:val="0"/>
          <w:i w:val="0"/>
          <w:color w:val="0B2B24"/>
          <w:sz w:val="22"/>
        </w:rPr>
        <w:t>Topological accumulation starts every valid cell with one contributing cell and passes that total downstream.</w:t>
      </w:r>
    </w:p>
    <w:p>
      <w:pPr>
        <w:numPr>
          <w:ilvl w:val="0"/>
          <w:numId w:val="14"/>
        </w:numPr>
        <w:spacing w:after="80" w:line="300" w:lineRule="auto"/>
      </w:pPr>
      <w:r>
        <w:rPr>
          <w:rFonts w:ascii="Calibri" w:hAnsi="Calibri"/>
          <w:b w:val="0"/>
          <w:i w:val="0"/>
          <w:color w:val="0B2B24"/>
          <w:sz w:val="22"/>
        </w:rPr>
        <w:t>After a pond point is selected, reverse traversal follows upstream links and collects only cells that drain to that point.</w:t>
      </w:r>
    </w:p>
    <w:p>
      <w:pPr>
        <w:numPr>
          <w:ilvl w:val="0"/>
          <w:numId w:val="14"/>
        </w:numPr>
        <w:spacing w:after="80" w:line="300" w:lineRule="auto"/>
      </w:pPr>
      <w:r>
        <w:rPr>
          <w:rFonts w:ascii="Calibri" w:hAnsi="Calibri"/>
          <w:b w:val="0"/>
          <w:i w:val="0"/>
          <w:color w:val="0B2B24"/>
          <w:sz w:val="22"/>
        </w:rPr>
        <w:t>Cell area is corrected for latitude and multiplied by collected-cell count to obtain square metres and hectares.</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FF7DE"/>
          </w:tcPr>
          <w:p>
            <w:pPr>
              <w:spacing w:after="60"/>
            </w:pPr>
            <w:r/>
            <w:r>
              <w:rPr>
                <w:rFonts w:ascii="Calibri" w:hAnsi="Calibri"/>
                <w:b/>
                <w:color w:val="8A6400"/>
                <w:sz w:val="21"/>
              </w:rPr>
              <w:t>THE CRITICAL CORRECTION</w:t>
            </w:r>
          </w:p>
          <w:p>
            <w:pPr>
              <w:spacing w:after="0"/>
            </w:pPr>
            <w:r>
              <w:rPr>
                <w:rFonts w:ascii="Calibri" w:hAnsi="Calibri"/>
                <w:b w:val="0"/>
                <w:i w:val="0"/>
                <w:color w:val="0B2B24"/>
                <w:sz w:val="20"/>
              </w:rPr>
              <w:t>The reported catchment is delineated upstream of the selected pond option, not at the map-edge hydrology outlet. Selecting a different option changes the catchment and therefore changes runoff and pond geometry.</w:t>
            </w:r>
          </w:p>
        </w:tc>
      </w:tr>
    </w:tbl>
    <w:p>
      <w:pPr>
        <w:spacing w:after="40"/>
      </w:pPr>
    </w:p>
    <w:p>
      <w:pPr>
        <w:pStyle w:val="Heading2"/>
      </w:pPr>
      <w:bookmarkStart w:id="205" w:name="appendix_ranking"/>
      <w:r>
        <w:t>A.5 Multi-criteria pond ranking</w:t>
      </w:r>
      <w:bookmarkEnd w:id="205"/>
    </w:p>
    <w:p>
      <w:r>
        <w:rPr>
          <w:rFonts w:ascii="Calibri" w:hAnsi="Calibri"/>
          <w:b w:val="0"/>
          <w:i w:val="0"/>
          <w:color w:val="0B2B24"/>
          <w:sz w:val="22"/>
        </w:rPr>
        <w:t>No single terrain variable is sufficient. A large catchment may be on a steep or unsafe cell; a flat cell may collect almost no water. Therefore the system first applies hard exclusions and then combines normalized evidence. Logarithmic catchment area is used because raw accumulation can span orders of magnitude and would otherwise dominate every other factor.</w:t>
      </w:r>
    </w:p>
    <w:tbl>
      <w:tblPr>
        <w:tblStyle w:val="TableGrid"/>
        <w:tblW w:type="dxa" w:w="9360"/>
        <w:jc w:val="left"/>
        <w:tblLayout w:type="fixed"/>
        <w:tblLook w:firstColumn="1" w:firstRow="1" w:lastColumn="0" w:lastRow="0" w:noHBand="0" w:noVBand="1" w:val="04A0"/>
        <w:tblInd w:w="120" w:type="dxa"/>
      </w:tblPr>
      <w:tblGrid>
        <w:gridCol w:w="2100"/>
        <w:gridCol w:w="1450"/>
        <w:gridCol w:w="1600"/>
        <w:gridCol w:w="4210"/>
      </w:tblGrid>
      <w:tr>
        <w:trPr>
          <w:tblHeader w:val="true"/>
        </w:trPr>
        <w:tc>
          <w:tcPr>
            <w:tcW w:type="dxa" w:w="2100"/>
            <w:tcMar>
              <w:top w:w="80" w:type="dxa"/>
              <w:start w:w="120" w:type="dxa"/>
              <w:bottom w:w="80" w:type="dxa"/>
              <w:end w:w="120" w:type="dxa"/>
            </w:tcMar>
            <w:vAlign w:val="center"/>
            <w:shd w:fill="DDF8EE"/>
          </w:tcPr>
          <w:p>
            <w:pPr>
              <w:spacing w:after="0"/>
            </w:pPr>
            <w:r/>
            <w:r>
              <w:rPr>
                <w:rFonts w:ascii="Calibri" w:hAnsi="Calibri"/>
                <w:b/>
                <w:color w:val="0B2B24"/>
                <w:sz w:val="17"/>
              </w:rPr>
              <w:t>Criterion</w:t>
            </w:r>
          </w:p>
        </w:tc>
        <w:tc>
          <w:tcPr>
            <w:tcW w:type="dxa" w:w="1450"/>
            <w:tcMar>
              <w:top w:w="80" w:type="dxa"/>
              <w:start w:w="120" w:type="dxa"/>
              <w:bottom w:w="80" w:type="dxa"/>
              <w:end w:w="120" w:type="dxa"/>
            </w:tcMar>
            <w:vAlign w:val="center"/>
            <w:shd w:fill="DDF8EE"/>
          </w:tcPr>
          <w:p>
            <w:pPr>
              <w:spacing w:after="0"/>
            </w:pPr>
            <w:r/>
            <w:r>
              <w:rPr>
                <w:rFonts w:ascii="Calibri" w:hAnsi="Calibri"/>
                <w:b/>
                <w:color w:val="0B2B24"/>
                <w:sz w:val="17"/>
              </w:rPr>
              <w:t>With water evidence</w:t>
            </w:r>
          </w:p>
        </w:tc>
        <w:tc>
          <w:tcPr>
            <w:tcW w:type="dxa" w:w="1600"/>
            <w:tcMar>
              <w:top w:w="80" w:type="dxa"/>
              <w:start w:w="120" w:type="dxa"/>
              <w:bottom w:w="80" w:type="dxa"/>
              <w:end w:w="120" w:type="dxa"/>
            </w:tcMar>
            <w:vAlign w:val="center"/>
            <w:shd w:fill="DDF8EE"/>
          </w:tcPr>
          <w:p>
            <w:pPr>
              <w:spacing w:after="0"/>
            </w:pPr>
            <w:r/>
            <w:r>
              <w:rPr>
                <w:rFonts w:ascii="Calibri" w:hAnsi="Calibri"/>
                <w:b/>
                <w:color w:val="0B2B24"/>
                <w:sz w:val="17"/>
              </w:rPr>
              <w:t>Without water evidence</w:t>
            </w:r>
          </w:p>
        </w:tc>
        <w:tc>
          <w:tcPr>
            <w:tcW w:type="dxa" w:w="4210"/>
            <w:tcMar>
              <w:top w:w="80" w:type="dxa"/>
              <w:start w:w="120" w:type="dxa"/>
              <w:bottom w:w="80" w:type="dxa"/>
              <w:end w:w="120" w:type="dxa"/>
            </w:tcMar>
            <w:vAlign w:val="center"/>
            <w:shd w:fill="DDF8EE"/>
          </w:tcPr>
          <w:p>
            <w:pPr>
              <w:spacing w:after="0"/>
            </w:pPr>
            <w:r/>
            <w:r>
              <w:rPr>
                <w:rFonts w:ascii="Calibri" w:hAnsi="Calibri"/>
                <w:b/>
                <w:color w:val="0B2B24"/>
                <w:sz w:val="17"/>
              </w:rPr>
              <w:t>Reason</w:t>
            </w:r>
          </w:p>
        </w:tc>
      </w:tr>
      <w:tr>
        <w:tc>
          <w:tcPr>
            <w:tcW w:type="dxa" w:w="2100"/>
          </w:tcPr>
          <w:p>
            <w:pPr>
              <w:spacing w:after="0" w:line="264" w:lineRule="auto"/>
            </w:pPr>
            <w:r/>
            <w:r>
              <w:rPr>
                <w:rFonts w:ascii="Calibri" w:hAnsi="Calibri"/>
                <w:b w:val="0"/>
                <w:i w:val="0"/>
                <w:color w:val="0B2B24"/>
                <w:sz w:val="17"/>
              </w:rPr>
              <w:t>Log upstream area</w:t>
            </w:r>
          </w:p>
        </w:tc>
        <w:tc>
          <w:tcPr>
            <w:tcW w:type="dxa" w:w="1450"/>
          </w:tcPr>
          <w:p>
            <w:pPr>
              <w:spacing w:after="0" w:line="264" w:lineRule="auto"/>
            </w:pPr>
            <w:r/>
            <w:r>
              <w:rPr>
                <w:rFonts w:ascii="Calibri" w:hAnsi="Calibri"/>
                <w:b w:val="0"/>
                <w:i w:val="0"/>
                <w:color w:val="0B2B24"/>
                <w:sz w:val="17"/>
              </w:rPr>
              <w:t>52%</w:t>
            </w:r>
          </w:p>
        </w:tc>
        <w:tc>
          <w:tcPr>
            <w:tcW w:type="dxa" w:w="1600"/>
          </w:tcPr>
          <w:p>
            <w:pPr>
              <w:spacing w:after="0" w:line="264" w:lineRule="auto"/>
            </w:pPr>
            <w:r/>
            <w:r>
              <w:rPr>
                <w:rFonts w:ascii="Calibri" w:hAnsi="Calibri"/>
                <w:b w:val="0"/>
                <w:i w:val="0"/>
                <w:color w:val="0B2B24"/>
                <w:sz w:val="17"/>
              </w:rPr>
              <w:t>58%</w:t>
            </w:r>
          </w:p>
        </w:tc>
        <w:tc>
          <w:tcPr>
            <w:tcW w:type="dxa" w:w="4210"/>
          </w:tcPr>
          <w:p>
            <w:pPr>
              <w:spacing w:after="0" w:line="264" w:lineRule="auto"/>
            </w:pPr>
            <w:r/>
            <w:r>
              <w:rPr>
                <w:rFonts w:ascii="Calibri" w:hAnsi="Calibri"/>
                <w:b w:val="0"/>
                <w:i w:val="0"/>
                <w:color w:val="0B2B24"/>
                <w:sz w:val="17"/>
              </w:rPr>
              <w:t>Favors useful contributing area without letting very large basins overwhelm the score</w:t>
            </w:r>
          </w:p>
        </w:tc>
      </w:tr>
      <w:tr>
        <w:tc>
          <w:tcPr>
            <w:tcW w:type="dxa" w:w="2100"/>
          </w:tcPr>
          <w:p>
            <w:pPr>
              <w:spacing w:after="0" w:line="264" w:lineRule="auto"/>
            </w:pPr>
            <w:r/>
            <w:r>
              <w:rPr>
                <w:rFonts w:ascii="Calibri" w:hAnsi="Calibri"/>
                <w:b w:val="0"/>
                <w:i w:val="0"/>
                <w:color w:val="0B2B24"/>
                <w:sz w:val="17"/>
              </w:rPr>
              <w:t>Local flatness</w:t>
            </w:r>
          </w:p>
        </w:tc>
        <w:tc>
          <w:tcPr>
            <w:tcW w:type="dxa" w:w="1450"/>
          </w:tcPr>
          <w:p>
            <w:pPr>
              <w:spacing w:after="0" w:line="264" w:lineRule="auto"/>
            </w:pPr>
            <w:r/>
            <w:r>
              <w:rPr>
                <w:rFonts w:ascii="Calibri" w:hAnsi="Calibri"/>
                <w:b w:val="0"/>
                <w:i w:val="0"/>
                <w:color w:val="0B2B24"/>
                <w:sz w:val="17"/>
              </w:rPr>
              <w:t>20%</w:t>
            </w:r>
          </w:p>
        </w:tc>
        <w:tc>
          <w:tcPr>
            <w:tcW w:type="dxa" w:w="1600"/>
          </w:tcPr>
          <w:p>
            <w:pPr>
              <w:spacing w:after="0" w:line="264" w:lineRule="auto"/>
            </w:pPr>
            <w:r/>
            <w:r>
              <w:rPr>
                <w:rFonts w:ascii="Calibri" w:hAnsi="Calibri"/>
                <w:b w:val="0"/>
                <w:i w:val="0"/>
                <w:color w:val="0B2B24"/>
                <w:sz w:val="17"/>
              </w:rPr>
              <w:t>22%</w:t>
            </w:r>
          </w:p>
        </w:tc>
        <w:tc>
          <w:tcPr>
            <w:tcW w:type="dxa" w:w="4210"/>
          </w:tcPr>
          <w:p>
            <w:pPr>
              <w:spacing w:after="0" w:line="264" w:lineRule="auto"/>
            </w:pPr>
            <w:r/>
            <w:r>
              <w:rPr>
                <w:rFonts w:ascii="Calibri" w:hAnsi="Calibri"/>
                <w:b w:val="0"/>
                <w:i w:val="0"/>
                <w:color w:val="0B2B24"/>
                <w:sz w:val="17"/>
              </w:rPr>
              <w:t>Favors gentler local terrain for preliminary siting</w:t>
            </w:r>
          </w:p>
        </w:tc>
      </w:tr>
      <w:tr>
        <w:tc>
          <w:tcPr>
            <w:tcW w:type="dxa" w:w="2100"/>
          </w:tcPr>
          <w:p>
            <w:pPr>
              <w:spacing w:after="0" w:line="264" w:lineRule="auto"/>
            </w:pPr>
            <w:r/>
            <w:r>
              <w:rPr>
                <w:rFonts w:ascii="Calibri" w:hAnsi="Calibri"/>
                <w:b w:val="0"/>
                <w:i w:val="0"/>
                <w:color w:val="0B2B24"/>
                <w:sz w:val="17"/>
              </w:rPr>
              <w:t>Lower relative elevation</w:t>
            </w:r>
          </w:p>
        </w:tc>
        <w:tc>
          <w:tcPr>
            <w:tcW w:type="dxa" w:w="1450"/>
          </w:tcPr>
          <w:p>
            <w:pPr>
              <w:spacing w:after="0" w:line="264" w:lineRule="auto"/>
            </w:pPr>
            <w:r/>
            <w:r>
              <w:rPr>
                <w:rFonts w:ascii="Calibri" w:hAnsi="Calibri"/>
                <w:b w:val="0"/>
                <w:i w:val="0"/>
                <w:color w:val="0B2B24"/>
                <w:sz w:val="17"/>
              </w:rPr>
              <w:t>10%</w:t>
            </w:r>
          </w:p>
        </w:tc>
        <w:tc>
          <w:tcPr>
            <w:tcW w:type="dxa" w:w="1600"/>
          </w:tcPr>
          <w:p>
            <w:pPr>
              <w:spacing w:after="0" w:line="264" w:lineRule="auto"/>
            </w:pPr>
            <w:r/>
            <w:r>
              <w:rPr>
                <w:rFonts w:ascii="Calibri" w:hAnsi="Calibri"/>
                <w:b w:val="0"/>
                <w:i w:val="0"/>
                <w:color w:val="0B2B24"/>
                <w:sz w:val="17"/>
              </w:rPr>
              <w:t>11%</w:t>
            </w:r>
          </w:p>
        </w:tc>
        <w:tc>
          <w:tcPr>
            <w:tcW w:type="dxa" w:w="4210"/>
          </w:tcPr>
          <w:p>
            <w:pPr>
              <w:spacing w:after="0" w:line="264" w:lineRule="auto"/>
            </w:pPr>
            <w:r/>
            <w:r>
              <w:rPr>
                <w:rFonts w:ascii="Calibri" w:hAnsi="Calibri"/>
                <w:b w:val="0"/>
                <w:i w:val="0"/>
                <w:color w:val="0B2B24"/>
                <w:sz w:val="17"/>
              </w:rPr>
              <w:t>Prefers natural receiving locations within the study area</w:t>
            </w:r>
          </w:p>
        </w:tc>
      </w:tr>
      <w:tr>
        <w:tc>
          <w:tcPr>
            <w:tcW w:type="dxa" w:w="2100"/>
          </w:tcPr>
          <w:p>
            <w:pPr>
              <w:spacing w:after="0" w:line="264" w:lineRule="auto"/>
            </w:pPr>
            <w:r/>
            <w:r>
              <w:rPr>
                <w:rFonts w:ascii="Calibri" w:hAnsi="Calibri"/>
                <w:b w:val="0"/>
                <w:i w:val="0"/>
                <w:color w:val="0B2B24"/>
                <w:sz w:val="17"/>
              </w:rPr>
              <w:t>Boundary clearance</w:t>
            </w:r>
          </w:p>
        </w:tc>
        <w:tc>
          <w:tcPr>
            <w:tcW w:type="dxa" w:w="1450"/>
          </w:tcPr>
          <w:p>
            <w:pPr>
              <w:spacing w:after="0" w:line="264" w:lineRule="auto"/>
            </w:pPr>
            <w:r/>
            <w:r>
              <w:rPr>
                <w:rFonts w:ascii="Calibri" w:hAnsi="Calibri"/>
                <w:b w:val="0"/>
                <w:i w:val="0"/>
                <w:color w:val="0B2B24"/>
                <w:sz w:val="17"/>
              </w:rPr>
              <w:t>8%</w:t>
            </w:r>
          </w:p>
        </w:tc>
        <w:tc>
          <w:tcPr>
            <w:tcW w:type="dxa" w:w="1600"/>
          </w:tcPr>
          <w:p>
            <w:pPr>
              <w:spacing w:after="0" w:line="264" w:lineRule="auto"/>
            </w:pPr>
            <w:r/>
            <w:r>
              <w:rPr>
                <w:rFonts w:ascii="Calibri" w:hAnsi="Calibri"/>
                <w:b w:val="0"/>
                <w:i w:val="0"/>
                <w:color w:val="0B2B24"/>
                <w:sz w:val="17"/>
              </w:rPr>
              <w:t>9%</w:t>
            </w:r>
          </w:p>
        </w:tc>
        <w:tc>
          <w:tcPr>
            <w:tcW w:type="dxa" w:w="4210"/>
          </w:tcPr>
          <w:p>
            <w:pPr>
              <w:spacing w:after="0" w:line="264" w:lineRule="auto"/>
            </w:pPr>
            <w:r/>
            <w:r>
              <w:rPr>
                <w:rFonts w:ascii="Calibri" w:hAnsi="Calibri"/>
                <w:b w:val="0"/>
                <w:i w:val="0"/>
                <w:color w:val="0B2B24"/>
                <w:sz w:val="17"/>
              </w:rPr>
              <w:t>Reduces truncated or edge-dominated selections</w:t>
            </w:r>
          </w:p>
        </w:tc>
      </w:tr>
      <w:tr>
        <w:tc>
          <w:tcPr>
            <w:tcW w:type="dxa" w:w="2100"/>
          </w:tcPr>
          <w:p>
            <w:pPr>
              <w:spacing w:after="0" w:line="264" w:lineRule="auto"/>
            </w:pPr>
            <w:r/>
            <w:r>
              <w:rPr>
                <w:rFonts w:ascii="Calibri" w:hAnsi="Calibri"/>
                <w:b w:val="0"/>
                <w:i w:val="0"/>
                <w:color w:val="0B2B24"/>
                <w:sz w:val="17"/>
              </w:rPr>
              <w:t>Detected-water clearance</w:t>
            </w:r>
          </w:p>
        </w:tc>
        <w:tc>
          <w:tcPr>
            <w:tcW w:type="dxa" w:w="1450"/>
          </w:tcPr>
          <w:p>
            <w:pPr>
              <w:spacing w:after="0" w:line="264" w:lineRule="auto"/>
            </w:pPr>
            <w:r/>
            <w:r>
              <w:rPr>
                <w:rFonts w:ascii="Calibri" w:hAnsi="Calibri"/>
                <w:b w:val="0"/>
                <w:i w:val="0"/>
                <w:color w:val="0B2B24"/>
                <w:sz w:val="17"/>
              </w:rPr>
              <w:t>10%</w:t>
            </w:r>
          </w:p>
        </w:tc>
        <w:tc>
          <w:tcPr>
            <w:tcW w:type="dxa" w:w="1600"/>
          </w:tcPr>
          <w:p>
            <w:pPr>
              <w:spacing w:after="0" w:line="264" w:lineRule="auto"/>
            </w:pPr>
            <w:r/>
            <w:r>
              <w:rPr>
                <w:rFonts w:ascii="Calibri" w:hAnsi="Calibri"/>
                <w:b w:val="0"/>
                <w:i w:val="0"/>
                <w:color w:val="0B2B24"/>
                <w:sz w:val="17"/>
              </w:rPr>
              <w:t>Not available</w:t>
            </w:r>
          </w:p>
        </w:tc>
        <w:tc>
          <w:tcPr>
            <w:tcW w:type="dxa" w:w="4210"/>
          </w:tcPr>
          <w:p>
            <w:pPr>
              <w:spacing w:after="0" w:line="264" w:lineRule="auto"/>
            </w:pPr>
            <w:r/>
            <w:r>
              <w:rPr>
                <w:rFonts w:ascii="Calibri" w:hAnsi="Calibri"/>
                <w:b w:val="0"/>
                <w:i w:val="0"/>
                <w:color w:val="0B2B24"/>
                <w:sz w:val="17"/>
              </w:rPr>
              <w:t>Rewards separation after the hard 60 m exclusion</w:t>
            </w:r>
          </w:p>
        </w:tc>
      </w:tr>
    </w:tbl>
    <w:p>
      <w:pPr>
        <w:spacing w:before="80" w:after="80"/>
      </w:pPr>
    </w:p>
    <w:p>
      <w:r>
        <w:rPr>
          <w:rFonts w:ascii="Calibri" w:hAnsi="Calibri"/>
          <w:b w:val="0"/>
          <w:i w:val="0"/>
          <w:color w:val="0B2B24"/>
          <w:sz w:val="22"/>
        </w:rPr>
        <w:t>After sorting by score, non-maximum suppression keeps alternatives at least 100 m or three cells apart. This prevents three nearly identical markers from being presented as meaningful choices.</w:t>
      </w:r>
    </w:p>
    <w:p>
      <w:pPr>
        <w:pStyle w:val="Heading1"/>
        <w:pageBreakBefore/>
      </w:pPr>
      <w:bookmarkStart w:id="206" w:name="appendix_river"/>
      <w:r>
        <w:t>Appendix B. River and water edge cases</w:t>
      </w:r>
      <w:bookmarkEnd w:id="206"/>
    </w:p>
    <w:p>
      <w:r>
        <w:rPr>
          <w:rFonts w:ascii="Calibri" w:hAnsi="Calibri"/>
          <w:b w:val="0"/>
          <w:i w:val="0"/>
          <w:color w:val="0B2B24"/>
          <w:sz w:val="22"/>
        </w:rPr>
        <w:t>A pond should not be recommended directly in a river channel. The implementation therefore aligns the satellite water mask to the terrain grid, expands it by a metric buffer, and removes those cells before ranking. Manual point and region modes use the same eligibility mask; they cannot bypass the rule.</w:t>
      </w:r>
    </w:p>
    <w:tbl>
      <w:tblPr>
        <w:tblStyle w:val="TableGrid"/>
        <w:tblW w:type="dxa" w:w="9360"/>
        <w:jc w:val="left"/>
        <w:tblLayout w:type="fixed"/>
        <w:tblLook w:firstColumn="1" w:firstRow="1" w:lastColumn="0" w:lastRow="0" w:noHBand="0" w:noVBand="1" w:val="04A0"/>
        <w:tblInd w:w="120" w:type="dxa"/>
      </w:tblPr>
      <w:tblGrid>
        <w:gridCol w:w="2100"/>
        <w:gridCol w:w="3150"/>
        <w:gridCol w:w="4110"/>
      </w:tblGrid>
      <w:tr>
        <w:trPr>
          <w:tblHeader w:val="true"/>
        </w:trPr>
        <w:tc>
          <w:tcPr>
            <w:tcW w:type="dxa" w:w="2100"/>
            <w:tcMar>
              <w:top w:w="80" w:type="dxa"/>
              <w:start w:w="120" w:type="dxa"/>
              <w:bottom w:w="80" w:type="dxa"/>
              <w:end w:w="120" w:type="dxa"/>
            </w:tcMar>
            <w:vAlign w:val="center"/>
            <w:shd w:fill="DDF8EE"/>
          </w:tcPr>
          <w:p>
            <w:pPr>
              <w:spacing w:after="0"/>
            </w:pPr>
            <w:r/>
            <w:r>
              <w:rPr>
                <w:rFonts w:ascii="Calibri" w:hAnsi="Calibri"/>
                <w:b/>
                <w:color w:val="0B2B24"/>
                <w:sz w:val="17"/>
              </w:rPr>
              <w:t>Edge case</w:t>
            </w:r>
          </w:p>
        </w:tc>
        <w:tc>
          <w:tcPr>
            <w:tcW w:type="dxa" w:w="3150"/>
            <w:tcMar>
              <w:top w:w="80" w:type="dxa"/>
              <w:start w:w="120" w:type="dxa"/>
              <w:bottom w:w="80" w:type="dxa"/>
              <w:end w:w="120" w:type="dxa"/>
            </w:tcMar>
            <w:vAlign w:val="center"/>
            <w:shd w:fill="DDF8EE"/>
          </w:tcPr>
          <w:p>
            <w:pPr>
              <w:spacing w:after="0"/>
            </w:pPr>
            <w:r/>
            <w:r>
              <w:rPr>
                <w:rFonts w:ascii="Calibri" w:hAnsi="Calibri"/>
                <w:b/>
                <w:color w:val="0B2B24"/>
                <w:sz w:val="17"/>
              </w:rPr>
              <w:t>Implemented response</w:t>
            </w:r>
          </w:p>
        </w:tc>
        <w:tc>
          <w:tcPr>
            <w:tcW w:type="dxa" w:w="4110"/>
            <w:tcMar>
              <w:top w:w="80" w:type="dxa"/>
              <w:start w:w="120" w:type="dxa"/>
              <w:bottom w:w="80" w:type="dxa"/>
              <w:end w:w="120" w:type="dxa"/>
            </w:tcMar>
            <w:vAlign w:val="center"/>
            <w:shd w:fill="DDF8EE"/>
          </w:tcPr>
          <w:p>
            <w:pPr>
              <w:spacing w:after="0"/>
            </w:pPr>
            <w:r/>
            <w:r>
              <w:rPr>
                <w:rFonts w:ascii="Calibri" w:hAnsi="Calibri"/>
                <w:b/>
                <w:color w:val="0B2B24"/>
                <w:sz w:val="17"/>
              </w:rPr>
              <w:t>Remaining real-world check</w:t>
            </w:r>
          </w:p>
        </w:tc>
      </w:tr>
      <w:tr>
        <w:tc>
          <w:tcPr>
            <w:tcW w:type="dxa" w:w="2100"/>
          </w:tcPr>
          <w:p>
            <w:pPr>
              <w:spacing w:after="0" w:line="264" w:lineRule="auto"/>
            </w:pPr>
            <w:r/>
            <w:r>
              <w:rPr>
                <w:rFonts w:ascii="Calibri" w:hAnsi="Calibri"/>
                <w:b w:val="0"/>
                <w:i w:val="0"/>
                <w:color w:val="0B2B24"/>
                <w:sz w:val="17"/>
              </w:rPr>
              <w:t>Wide visible river</w:t>
            </w:r>
          </w:p>
        </w:tc>
        <w:tc>
          <w:tcPr>
            <w:tcW w:type="dxa" w:w="3150"/>
          </w:tcPr>
          <w:p>
            <w:pPr>
              <w:spacing w:after="0" w:line="264" w:lineRule="auto"/>
            </w:pPr>
            <w:r/>
            <w:r>
              <w:rPr>
                <w:rFonts w:ascii="Calibri" w:hAnsi="Calibri"/>
                <w:b w:val="0"/>
                <w:i w:val="0"/>
                <w:color w:val="0B2B24"/>
                <w:sz w:val="17"/>
              </w:rPr>
              <w:t>Water pixels and 60 m surroundings are excluded</w:t>
            </w:r>
          </w:p>
        </w:tc>
        <w:tc>
          <w:tcPr>
            <w:tcW w:type="dxa" w:w="4110"/>
          </w:tcPr>
          <w:p>
            <w:pPr>
              <w:spacing w:after="0" w:line="264" w:lineRule="auto"/>
            </w:pPr>
            <w:r/>
            <w:r>
              <w:rPr>
                <w:rFonts w:ascii="Calibri" w:hAnsi="Calibri"/>
                <w:b w:val="0"/>
                <w:i w:val="0"/>
                <w:color w:val="0B2B24"/>
                <w:sz w:val="17"/>
              </w:rPr>
              <w:t>Confirm bankfull width, floodplain, and statutory setback</w:t>
            </w:r>
          </w:p>
        </w:tc>
      </w:tr>
      <w:tr>
        <w:tc>
          <w:tcPr>
            <w:tcW w:type="dxa" w:w="2100"/>
          </w:tcPr>
          <w:p>
            <w:pPr>
              <w:spacing w:after="0" w:line="264" w:lineRule="auto"/>
            </w:pPr>
            <w:r/>
            <w:r>
              <w:rPr>
                <w:rFonts w:ascii="Calibri" w:hAnsi="Calibri"/>
                <w:b w:val="0"/>
                <w:i w:val="0"/>
                <w:color w:val="0B2B24"/>
                <w:sz w:val="17"/>
              </w:rPr>
              <w:t>Narrow or shaded stream</w:t>
            </w:r>
          </w:p>
        </w:tc>
        <w:tc>
          <w:tcPr>
            <w:tcW w:type="dxa" w:w="3150"/>
          </w:tcPr>
          <w:p>
            <w:pPr>
              <w:spacing w:after="0" w:line="264" w:lineRule="auto"/>
            </w:pPr>
            <w:r/>
            <w:r>
              <w:rPr>
                <w:rFonts w:ascii="Calibri" w:hAnsi="Calibri"/>
                <w:b w:val="0"/>
                <w:i w:val="0"/>
                <w:color w:val="0B2B24"/>
                <w:sz w:val="17"/>
              </w:rPr>
              <w:t>Warning states that non-detection is not absence</w:t>
            </w:r>
          </w:p>
        </w:tc>
        <w:tc>
          <w:tcPr>
            <w:tcW w:type="dxa" w:w="4110"/>
          </w:tcPr>
          <w:p>
            <w:pPr>
              <w:spacing w:after="0" w:line="264" w:lineRule="auto"/>
            </w:pPr>
            <w:r/>
            <w:r>
              <w:rPr>
                <w:rFonts w:ascii="Calibri" w:hAnsi="Calibri"/>
                <w:b w:val="0"/>
                <w:i w:val="0"/>
                <w:color w:val="0B2B24"/>
                <w:sz w:val="17"/>
              </w:rPr>
              <w:t>Field walk, hydrography data, and local drainage knowledge</w:t>
            </w:r>
          </w:p>
        </w:tc>
      </w:tr>
      <w:tr>
        <w:tc>
          <w:tcPr>
            <w:tcW w:type="dxa" w:w="2100"/>
          </w:tcPr>
          <w:p>
            <w:pPr>
              <w:spacing w:after="0" w:line="264" w:lineRule="auto"/>
            </w:pPr>
            <w:r/>
            <w:r>
              <w:rPr>
                <w:rFonts w:ascii="Calibri" w:hAnsi="Calibri"/>
                <w:b w:val="0"/>
                <w:i w:val="0"/>
                <w:color w:val="0B2B24"/>
                <w:sz w:val="17"/>
              </w:rPr>
              <w:t>Muddy or seasonal channel</w:t>
            </w:r>
          </w:p>
        </w:tc>
        <w:tc>
          <w:tcPr>
            <w:tcW w:type="dxa" w:w="3150"/>
          </w:tcPr>
          <w:p>
            <w:pPr>
              <w:spacing w:after="0" w:line="264" w:lineRule="auto"/>
            </w:pPr>
            <w:r/>
            <w:r>
              <w:rPr>
                <w:rFonts w:ascii="Calibri" w:hAnsi="Calibri"/>
                <w:b w:val="0"/>
                <w:i w:val="0"/>
                <w:color w:val="0B2B24"/>
                <w:sz w:val="17"/>
              </w:rPr>
              <w:t>May be missed by RGB/HSV colour classification</w:t>
            </w:r>
          </w:p>
        </w:tc>
        <w:tc>
          <w:tcPr>
            <w:tcW w:type="dxa" w:w="4110"/>
          </w:tcPr>
          <w:p>
            <w:pPr>
              <w:spacing w:after="0" w:line="264" w:lineRule="auto"/>
            </w:pPr>
            <w:r/>
            <w:r>
              <w:rPr>
                <w:rFonts w:ascii="Calibri" w:hAnsi="Calibri"/>
                <w:b w:val="0"/>
                <w:i w:val="0"/>
                <w:color w:val="0B2B24"/>
                <w:sz w:val="17"/>
              </w:rPr>
              <w:t>Multi-season imagery and monsoon evidence</w:t>
            </w:r>
          </w:p>
        </w:tc>
      </w:tr>
      <w:tr>
        <w:tc>
          <w:tcPr>
            <w:tcW w:type="dxa" w:w="2100"/>
          </w:tcPr>
          <w:p>
            <w:pPr>
              <w:spacing w:after="0" w:line="264" w:lineRule="auto"/>
            </w:pPr>
            <w:r/>
            <w:r>
              <w:rPr>
                <w:rFonts w:ascii="Calibri" w:hAnsi="Calibri"/>
                <w:b w:val="0"/>
                <w:i w:val="0"/>
                <w:color w:val="0B2B24"/>
                <w:sz w:val="17"/>
              </w:rPr>
              <w:t>Canal, culvert, road drain</w:t>
            </w:r>
          </w:p>
        </w:tc>
        <w:tc>
          <w:tcPr>
            <w:tcW w:type="dxa" w:w="3150"/>
          </w:tcPr>
          <w:p>
            <w:pPr>
              <w:spacing w:after="0" w:line="264" w:lineRule="auto"/>
            </w:pPr>
            <w:r/>
            <w:r>
              <w:rPr>
                <w:rFonts w:ascii="Calibri" w:hAnsi="Calibri"/>
                <w:b w:val="0"/>
                <w:i w:val="0"/>
                <w:color w:val="0B2B24"/>
                <w:sz w:val="17"/>
              </w:rPr>
              <w:t>May alter real flow but not appear in the contour DEM</w:t>
            </w:r>
          </w:p>
        </w:tc>
        <w:tc>
          <w:tcPr>
            <w:tcW w:type="dxa" w:w="4110"/>
          </w:tcPr>
          <w:p>
            <w:pPr>
              <w:spacing w:after="0" w:line="264" w:lineRule="auto"/>
            </w:pPr>
            <w:r/>
            <w:r>
              <w:rPr>
                <w:rFonts w:ascii="Calibri" w:hAnsi="Calibri"/>
                <w:b w:val="0"/>
                <w:i w:val="0"/>
                <w:color w:val="0B2B24"/>
                <w:sz w:val="17"/>
              </w:rPr>
              <w:t>Survey crossings and drainage structures</w:t>
            </w:r>
          </w:p>
        </w:tc>
      </w:tr>
      <w:tr>
        <w:tc>
          <w:tcPr>
            <w:tcW w:type="dxa" w:w="2100"/>
          </w:tcPr>
          <w:p>
            <w:pPr>
              <w:spacing w:after="0" w:line="264" w:lineRule="auto"/>
            </w:pPr>
            <w:r/>
            <w:r>
              <w:rPr>
                <w:rFonts w:ascii="Calibri" w:hAnsi="Calibri"/>
                <w:b w:val="0"/>
                <w:i w:val="0"/>
                <w:color w:val="0B2B24"/>
                <w:sz w:val="17"/>
              </w:rPr>
              <w:t>Point placed on detected water</w:t>
            </w:r>
          </w:p>
        </w:tc>
        <w:tc>
          <w:tcPr>
            <w:tcW w:type="dxa" w:w="3150"/>
          </w:tcPr>
          <w:p>
            <w:pPr>
              <w:spacing w:after="0" w:line="264" w:lineRule="auto"/>
            </w:pPr>
            <w:r/>
            <w:r>
              <w:rPr>
                <w:rFonts w:ascii="Calibri" w:hAnsi="Calibri"/>
                <w:b w:val="0"/>
                <w:i w:val="0"/>
                <w:color w:val="0B2B24"/>
                <w:sz w:val="17"/>
              </w:rPr>
              <w:t>HTTP 422 invalid_contour_selection</w:t>
            </w:r>
          </w:p>
        </w:tc>
        <w:tc>
          <w:tcPr>
            <w:tcW w:type="dxa" w:w="4110"/>
          </w:tcPr>
          <w:p>
            <w:pPr>
              <w:spacing w:after="0" w:line="264" w:lineRule="auto"/>
            </w:pPr>
            <w:r/>
            <w:r>
              <w:rPr>
                <w:rFonts w:ascii="Calibri" w:hAnsi="Calibri"/>
                <w:b w:val="0"/>
                <w:i w:val="0"/>
                <w:color w:val="0B2B24"/>
                <w:sz w:val="17"/>
              </w:rPr>
              <w:t>Do not override without qualified investigation</w:t>
            </w:r>
          </w:p>
        </w:tc>
      </w:tr>
      <w:tr>
        <w:tc>
          <w:tcPr>
            <w:tcW w:type="dxa" w:w="2100"/>
          </w:tcPr>
          <w:p>
            <w:pPr>
              <w:spacing w:after="0" w:line="264" w:lineRule="auto"/>
            </w:pPr>
            <w:r/>
            <w:r>
              <w:rPr>
                <w:rFonts w:ascii="Calibri" w:hAnsi="Calibri"/>
                <w:b w:val="0"/>
                <w:i w:val="0"/>
                <w:color w:val="0B2B24"/>
                <w:sz w:val="17"/>
              </w:rPr>
              <w:t>Region contains water and land</w:t>
            </w:r>
          </w:p>
        </w:tc>
        <w:tc>
          <w:tcPr>
            <w:tcW w:type="dxa" w:w="3150"/>
          </w:tcPr>
          <w:p>
            <w:pPr>
              <w:spacing w:after="0" w:line="264" w:lineRule="auto"/>
            </w:pPr>
            <w:r/>
            <w:r>
              <w:rPr>
                <w:rFonts w:ascii="Calibri" w:hAnsi="Calibri"/>
                <w:b w:val="0"/>
                <w:i w:val="0"/>
                <w:color w:val="0B2B24"/>
                <w:sz w:val="17"/>
              </w:rPr>
              <w:t>Only eligible land cells inside the polygon are ranked</w:t>
            </w:r>
          </w:p>
        </w:tc>
        <w:tc>
          <w:tcPr>
            <w:tcW w:type="dxa" w:w="4110"/>
          </w:tcPr>
          <w:p>
            <w:pPr>
              <w:spacing w:after="0" w:line="264" w:lineRule="auto"/>
            </w:pPr>
            <w:r/>
            <w:r>
              <w:rPr>
                <w:rFonts w:ascii="Calibri" w:hAnsi="Calibri"/>
                <w:b w:val="0"/>
                <w:i w:val="0"/>
                <w:color w:val="0B2B24"/>
                <w:sz w:val="17"/>
              </w:rPr>
              <w:t>Verify the selected parcel and access</w:t>
            </w:r>
          </w:p>
        </w:tc>
      </w:tr>
    </w:tbl>
    <w:p>
      <w:pPr>
        <w:spacing w:before="80" w:after="8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DEAEA"/>
          </w:tcPr>
          <w:p>
            <w:pPr>
              <w:spacing w:after="60"/>
            </w:pPr>
            <w:r/>
            <w:r>
              <w:rPr>
                <w:rFonts w:ascii="Calibri" w:hAnsi="Calibri"/>
                <w:b/>
                <w:color w:val="A13B3B"/>
                <w:sz w:val="21"/>
              </w:rPr>
              <w:t>WHY THE RESULT IS STILL DEGRADED</w:t>
            </w:r>
          </w:p>
          <w:p>
            <w:pPr>
              <w:spacing w:after="0"/>
            </w:pPr>
            <w:r>
              <w:rPr>
                <w:rFonts w:ascii="Calibri" w:hAnsi="Calibri"/>
                <w:b w:val="0"/>
                <w:i w:val="0"/>
                <w:color w:val="0B2B24"/>
                <w:sz w:val="20"/>
              </w:rPr>
              <w:t>A conservative colour mask reduces obvious false positives but cannot establish a legal river boundary or construction clearance. The degraded status is an honest quality label, not a software failure.</w:t>
            </w:r>
          </w:p>
        </w:tc>
      </w:tr>
    </w:tbl>
    <w:p>
      <w:pPr>
        <w:spacing w:after="40"/>
      </w:pPr>
    </w:p>
    <w:p>
      <w:pPr>
        <w:pStyle w:val="Heading1"/>
        <w:pageBreakBefore/>
      </w:pPr>
      <w:bookmarkStart w:id="207" w:name="appendix_outputs"/>
      <w:r>
        <w:t>Appendix C. Complete output dictionary</w:t>
      </w:r>
      <w:bookmarkEnd w:id="207"/>
    </w:p>
    <w:tbl>
      <w:tblPr>
        <w:tblStyle w:val="TableGrid"/>
        <w:tblW w:type="dxa" w:w="9360"/>
        <w:jc w:val="left"/>
        <w:tblLayout w:type="fixed"/>
        <w:tblLook w:firstColumn="1" w:firstRow="1" w:lastColumn="0" w:lastRow="0" w:noHBand="0" w:noVBand="1" w:val="04A0"/>
        <w:tblInd w:w="120" w:type="dxa"/>
      </w:tblPr>
      <w:tblGrid>
        <w:gridCol w:w="2300"/>
        <w:gridCol w:w="2500"/>
        <w:gridCol w:w="4560"/>
      </w:tblGrid>
      <w:tr>
        <w:trPr>
          <w:tblHeader w:val="true"/>
        </w:trPr>
        <w:tc>
          <w:tcPr>
            <w:tcW w:type="dxa" w:w="2300"/>
            <w:tcMar>
              <w:top w:w="80" w:type="dxa"/>
              <w:start w:w="120" w:type="dxa"/>
              <w:bottom w:w="80" w:type="dxa"/>
              <w:end w:w="120" w:type="dxa"/>
            </w:tcMar>
            <w:vAlign w:val="center"/>
            <w:shd w:fill="DDF8EE"/>
          </w:tcPr>
          <w:p>
            <w:pPr>
              <w:spacing w:after="0"/>
            </w:pPr>
            <w:r/>
            <w:r>
              <w:rPr>
                <w:rFonts w:ascii="Calibri" w:hAnsi="Calibri"/>
                <w:b/>
                <w:color w:val="0B2B24"/>
                <w:sz w:val="17"/>
              </w:rPr>
              <w:t>Field</w:t>
            </w:r>
          </w:p>
        </w:tc>
        <w:tc>
          <w:tcPr>
            <w:tcW w:type="dxa" w:w="2500"/>
            <w:tcMar>
              <w:top w:w="80" w:type="dxa"/>
              <w:start w:w="120" w:type="dxa"/>
              <w:bottom w:w="80" w:type="dxa"/>
              <w:end w:w="120" w:type="dxa"/>
            </w:tcMar>
            <w:vAlign w:val="center"/>
            <w:shd w:fill="DDF8EE"/>
          </w:tcPr>
          <w:p>
            <w:pPr>
              <w:spacing w:after="0"/>
            </w:pPr>
            <w:r/>
            <w:r>
              <w:rPr>
                <w:rFonts w:ascii="Calibri" w:hAnsi="Calibri"/>
                <w:b/>
                <w:color w:val="0B2B24"/>
                <w:sz w:val="17"/>
              </w:rPr>
              <w:t>Contents</w:t>
            </w:r>
          </w:p>
        </w:tc>
        <w:tc>
          <w:tcPr>
            <w:tcW w:type="dxa" w:w="4560"/>
            <w:tcMar>
              <w:top w:w="80" w:type="dxa"/>
              <w:start w:w="120" w:type="dxa"/>
              <w:bottom w:w="80" w:type="dxa"/>
              <w:end w:w="120" w:type="dxa"/>
            </w:tcMar>
            <w:vAlign w:val="center"/>
            <w:shd w:fill="DDF8EE"/>
          </w:tcPr>
          <w:p>
            <w:pPr>
              <w:spacing w:after="0"/>
            </w:pPr>
            <w:r/>
            <w:r>
              <w:rPr>
                <w:rFonts w:ascii="Calibri" w:hAnsi="Calibri"/>
                <w:b/>
                <w:color w:val="0B2B24"/>
                <w:sz w:val="17"/>
              </w:rPr>
              <w:t>Meaning</w:t>
            </w:r>
          </w:p>
        </w:tc>
      </w:tr>
      <w:tr>
        <w:tc>
          <w:tcPr>
            <w:tcW w:type="dxa" w:w="2300"/>
          </w:tcPr>
          <w:p>
            <w:pPr>
              <w:spacing w:after="0" w:line="264" w:lineRule="auto"/>
            </w:pPr>
            <w:r/>
            <w:r>
              <w:rPr>
                <w:rFonts w:ascii="Calibri" w:hAnsi="Calibri"/>
                <w:b w:val="0"/>
                <w:i w:val="0"/>
                <w:color w:val="0B2B24"/>
                <w:sz w:val="17"/>
              </w:rPr>
              <w:t>analysis_status</w:t>
            </w:r>
          </w:p>
        </w:tc>
        <w:tc>
          <w:tcPr>
            <w:tcW w:type="dxa" w:w="2500"/>
          </w:tcPr>
          <w:p>
            <w:pPr>
              <w:spacing w:after="0" w:line="264" w:lineRule="auto"/>
            </w:pPr>
            <w:r/>
            <w:r>
              <w:rPr>
                <w:rFonts w:ascii="Calibri" w:hAnsi="Calibri"/>
                <w:b w:val="0"/>
                <w:i w:val="0"/>
                <w:color w:val="0B2B24"/>
                <w:sz w:val="17"/>
              </w:rPr>
              <w:t>reliable / degraded / incomplete</w:t>
            </w:r>
          </w:p>
        </w:tc>
        <w:tc>
          <w:tcPr>
            <w:tcW w:type="dxa" w:w="4560"/>
          </w:tcPr>
          <w:p>
            <w:pPr>
              <w:spacing w:after="0" w:line="264" w:lineRule="auto"/>
            </w:pPr>
            <w:r/>
            <w:r>
              <w:rPr>
                <w:rFonts w:ascii="Calibri" w:hAnsi="Calibri"/>
                <w:b w:val="0"/>
                <w:i w:val="0"/>
                <w:color w:val="0B2B24"/>
                <w:sz w:val="17"/>
              </w:rPr>
              <w:t>Overall evidence status; contour interpolation remains degraded by design</w:t>
            </w:r>
          </w:p>
        </w:tc>
      </w:tr>
      <w:tr>
        <w:tc>
          <w:tcPr>
            <w:tcW w:type="dxa" w:w="2300"/>
          </w:tcPr>
          <w:p>
            <w:pPr>
              <w:spacing w:after="0" w:line="264" w:lineRule="auto"/>
            </w:pPr>
            <w:r/>
            <w:r>
              <w:rPr>
                <w:rFonts w:ascii="Calibri" w:hAnsi="Calibri"/>
                <w:b w:val="0"/>
                <w:i w:val="0"/>
                <w:color w:val="0B2B24"/>
                <w:sz w:val="17"/>
              </w:rPr>
              <w:t>contour_summary</w:t>
            </w:r>
          </w:p>
        </w:tc>
        <w:tc>
          <w:tcPr>
            <w:tcW w:type="dxa" w:w="2500"/>
          </w:tcPr>
          <w:p>
            <w:pPr>
              <w:spacing w:after="0" w:line="264" w:lineRule="auto"/>
            </w:pPr>
            <w:r/>
            <w:r>
              <w:rPr>
                <w:rFonts w:ascii="Calibri" w:hAnsi="Calibri"/>
                <w:b w:val="0"/>
                <w:i w:val="0"/>
                <w:color w:val="0B2B24"/>
                <w:sz w:val="17"/>
              </w:rPr>
              <w:t>counts, range, interval</w:t>
            </w:r>
          </w:p>
        </w:tc>
        <w:tc>
          <w:tcPr>
            <w:tcW w:type="dxa" w:w="4560"/>
          </w:tcPr>
          <w:p>
            <w:pPr>
              <w:spacing w:after="0" w:line="264" w:lineRule="auto"/>
            </w:pPr>
            <w:r/>
            <w:r>
              <w:rPr>
                <w:rFonts w:ascii="Calibri" w:hAnsi="Calibri"/>
                <w:b w:val="0"/>
                <w:i w:val="0"/>
                <w:color w:val="0B2B24"/>
                <w:sz w:val="17"/>
              </w:rPr>
              <w:t>What the KML/KMZ contained and whether it had sufficient terrain evidence</w:t>
            </w:r>
          </w:p>
        </w:tc>
      </w:tr>
      <w:tr>
        <w:tc>
          <w:tcPr>
            <w:tcW w:type="dxa" w:w="2300"/>
          </w:tcPr>
          <w:p>
            <w:pPr>
              <w:spacing w:after="0" w:line="264" w:lineRule="auto"/>
            </w:pPr>
            <w:r/>
            <w:r>
              <w:rPr>
                <w:rFonts w:ascii="Calibri" w:hAnsi="Calibri"/>
                <w:b w:val="0"/>
                <w:i w:val="0"/>
                <w:color w:val="0B2B24"/>
                <w:sz w:val="17"/>
              </w:rPr>
              <w:t>grid</w:t>
            </w:r>
          </w:p>
        </w:tc>
        <w:tc>
          <w:tcPr>
            <w:tcW w:type="dxa" w:w="2500"/>
          </w:tcPr>
          <w:p>
            <w:pPr>
              <w:spacing w:after="0" w:line="264" w:lineRule="auto"/>
            </w:pPr>
            <w:r/>
            <w:r>
              <w:rPr>
                <w:rFonts w:ascii="Calibri" w:hAnsi="Calibri"/>
                <w:b w:val="0"/>
                <w:i w:val="0"/>
                <w:color w:val="0B2B24"/>
                <w:sz w:val="17"/>
              </w:rPr>
              <w:t>rows, columns, cell size, convergence</w:t>
            </w:r>
          </w:p>
        </w:tc>
        <w:tc>
          <w:tcPr>
            <w:tcW w:type="dxa" w:w="4560"/>
          </w:tcPr>
          <w:p>
            <w:pPr>
              <w:spacing w:after="0" w:line="264" w:lineRule="auto"/>
            </w:pPr>
            <w:r/>
            <w:r>
              <w:rPr>
                <w:rFonts w:ascii="Calibri" w:hAnsi="Calibri"/>
                <w:b w:val="0"/>
                <w:i w:val="0"/>
                <w:color w:val="0B2B24"/>
                <w:sz w:val="17"/>
              </w:rPr>
              <w:t>Quality and resolution of the reconstructed surface</w:t>
            </w:r>
          </w:p>
        </w:tc>
      </w:tr>
      <w:tr>
        <w:tc>
          <w:tcPr>
            <w:tcW w:type="dxa" w:w="2300"/>
          </w:tcPr>
          <w:p>
            <w:pPr>
              <w:spacing w:after="0" w:line="264" w:lineRule="auto"/>
            </w:pPr>
            <w:r/>
            <w:r>
              <w:rPr>
                <w:rFonts w:ascii="Calibri" w:hAnsi="Calibri"/>
                <w:b w:val="0"/>
                <w:i w:val="0"/>
                <w:color w:val="0B2B24"/>
                <w:sz w:val="17"/>
              </w:rPr>
              <w:t>pond_location</w:t>
            </w:r>
          </w:p>
        </w:tc>
        <w:tc>
          <w:tcPr>
            <w:tcW w:type="dxa" w:w="2500"/>
          </w:tcPr>
          <w:p>
            <w:pPr>
              <w:spacing w:after="0" w:line="264" w:lineRule="auto"/>
            </w:pPr>
            <w:r/>
            <w:r>
              <w:rPr>
                <w:rFonts w:ascii="Calibri" w:hAnsi="Calibri"/>
                <w:b w:val="0"/>
                <w:i w:val="0"/>
                <w:color w:val="0B2B24"/>
                <w:sz w:val="17"/>
              </w:rPr>
              <w:t>coordinate, elevation, slope, score</w:t>
            </w:r>
          </w:p>
        </w:tc>
        <w:tc>
          <w:tcPr>
            <w:tcW w:type="dxa" w:w="4560"/>
          </w:tcPr>
          <w:p>
            <w:pPr>
              <w:spacing w:after="0" w:line="264" w:lineRule="auto"/>
            </w:pPr>
            <w:r/>
            <w:r>
              <w:rPr>
                <w:rFonts w:ascii="Calibri" w:hAnsi="Calibri"/>
                <w:b w:val="0"/>
                <w:i w:val="0"/>
                <w:color w:val="0B2B24"/>
                <w:sz w:val="17"/>
              </w:rPr>
              <w:t>The selected eligible grid cell and how it was chosen</w:t>
            </w:r>
          </w:p>
        </w:tc>
      </w:tr>
      <w:tr>
        <w:tc>
          <w:tcPr>
            <w:tcW w:type="dxa" w:w="2300"/>
          </w:tcPr>
          <w:p>
            <w:pPr>
              <w:spacing w:after="0" w:line="264" w:lineRule="auto"/>
            </w:pPr>
            <w:r/>
            <w:r>
              <w:rPr>
                <w:rFonts w:ascii="Calibri" w:hAnsi="Calibri"/>
                <w:b w:val="0"/>
                <w:i w:val="0"/>
                <w:color w:val="0B2B24"/>
                <w:sz w:val="17"/>
              </w:rPr>
              <w:t>candidate_options</w:t>
            </w:r>
          </w:p>
        </w:tc>
        <w:tc>
          <w:tcPr>
            <w:tcW w:type="dxa" w:w="2500"/>
          </w:tcPr>
          <w:p>
            <w:pPr>
              <w:spacing w:after="0" w:line="264" w:lineRule="auto"/>
            </w:pPr>
            <w:r/>
            <w:r>
              <w:rPr>
                <w:rFonts w:ascii="Calibri" w:hAnsi="Calibri"/>
                <w:b w:val="0"/>
                <w:i w:val="0"/>
                <w:color w:val="0B2B24"/>
                <w:sz w:val="17"/>
              </w:rPr>
              <w:t>ranked array</w:t>
            </w:r>
          </w:p>
        </w:tc>
        <w:tc>
          <w:tcPr>
            <w:tcW w:type="dxa" w:w="4560"/>
          </w:tcPr>
          <w:p>
            <w:pPr>
              <w:spacing w:after="0" w:line="264" w:lineRule="auto"/>
            </w:pPr>
            <w:r/>
            <w:r>
              <w:rPr>
                <w:rFonts w:ascii="Calibri" w:hAnsi="Calibri"/>
                <w:b w:val="0"/>
                <w:i w:val="0"/>
                <w:color w:val="0B2B24"/>
                <w:sz w:val="17"/>
              </w:rPr>
              <w:t>Spatially separated alternatives with upstream area and water clearance</w:t>
            </w:r>
          </w:p>
        </w:tc>
      </w:tr>
      <w:tr>
        <w:tc>
          <w:tcPr>
            <w:tcW w:type="dxa" w:w="2300"/>
          </w:tcPr>
          <w:p>
            <w:pPr>
              <w:spacing w:after="0" w:line="264" w:lineRule="auto"/>
            </w:pPr>
            <w:r/>
            <w:r>
              <w:rPr>
                <w:rFonts w:ascii="Calibri" w:hAnsi="Calibri"/>
                <w:b w:val="0"/>
                <w:i w:val="0"/>
                <w:color w:val="0B2B24"/>
                <w:sz w:val="17"/>
              </w:rPr>
              <w:t>selection</w:t>
            </w:r>
          </w:p>
        </w:tc>
        <w:tc>
          <w:tcPr>
            <w:tcW w:type="dxa" w:w="2500"/>
          </w:tcPr>
          <w:p>
            <w:pPr>
              <w:spacing w:after="0" w:line="264" w:lineRule="auto"/>
            </w:pPr>
            <w:r/>
            <w:r>
              <w:rPr>
                <w:rFonts w:ascii="Calibri" w:hAnsi="Calibri"/>
                <w:b w:val="0"/>
                <w:i w:val="0"/>
                <w:color w:val="0B2B24"/>
                <w:sz w:val="17"/>
              </w:rPr>
              <w:t>automatic / point / region</w:t>
            </w:r>
          </w:p>
        </w:tc>
        <w:tc>
          <w:tcPr>
            <w:tcW w:type="dxa" w:w="4560"/>
          </w:tcPr>
          <w:p>
            <w:pPr>
              <w:spacing w:after="0" w:line="264" w:lineRule="auto"/>
            </w:pPr>
            <w:r/>
            <w:r>
              <w:rPr>
                <w:rFonts w:ascii="Calibri" w:hAnsi="Calibri"/>
                <w:b w:val="0"/>
                <w:i w:val="0"/>
                <w:color w:val="0B2B24"/>
                <w:sz w:val="17"/>
              </w:rPr>
              <w:t>User request, snapped distance, and optional region vertices</w:t>
            </w:r>
          </w:p>
        </w:tc>
      </w:tr>
      <w:tr>
        <w:tc>
          <w:tcPr>
            <w:tcW w:type="dxa" w:w="2300"/>
          </w:tcPr>
          <w:p>
            <w:pPr>
              <w:spacing w:after="0" w:line="264" w:lineRule="auto"/>
            </w:pPr>
            <w:r/>
            <w:r>
              <w:rPr>
                <w:rFonts w:ascii="Calibri" w:hAnsi="Calibri"/>
                <w:b w:val="0"/>
                <w:i w:val="0"/>
                <w:color w:val="0B2B24"/>
                <w:sz w:val="17"/>
              </w:rPr>
              <w:t>outlet_location</w:t>
            </w:r>
          </w:p>
        </w:tc>
        <w:tc>
          <w:tcPr>
            <w:tcW w:type="dxa" w:w="2500"/>
          </w:tcPr>
          <w:p>
            <w:pPr>
              <w:spacing w:after="0" w:line="264" w:lineRule="auto"/>
            </w:pPr>
            <w:r/>
            <w:r>
              <w:rPr>
                <w:rFonts w:ascii="Calibri" w:hAnsi="Calibri"/>
                <w:b w:val="0"/>
                <w:i w:val="0"/>
                <w:color w:val="0B2B24"/>
                <w:sz w:val="17"/>
              </w:rPr>
              <w:t>coordinate</w:t>
            </w:r>
          </w:p>
        </w:tc>
        <w:tc>
          <w:tcPr>
            <w:tcW w:type="dxa" w:w="4560"/>
          </w:tcPr>
          <w:p>
            <w:pPr>
              <w:spacing w:after="0" w:line="264" w:lineRule="auto"/>
            </w:pPr>
            <w:r/>
            <w:r>
              <w:rPr>
                <w:rFonts w:ascii="Calibri" w:hAnsi="Calibri"/>
                <w:b w:val="0"/>
                <w:i w:val="0"/>
                <w:color w:val="0B2B24"/>
                <w:sz w:val="17"/>
              </w:rPr>
              <w:t>Hydrology evidence at the map edge; explicitly not a pond recommendation</w:t>
            </w:r>
          </w:p>
        </w:tc>
      </w:tr>
      <w:tr>
        <w:tc>
          <w:tcPr>
            <w:tcW w:type="dxa" w:w="2300"/>
          </w:tcPr>
          <w:p>
            <w:pPr>
              <w:spacing w:after="0" w:line="264" w:lineRule="auto"/>
            </w:pPr>
            <w:r/>
            <w:r>
              <w:rPr>
                <w:rFonts w:ascii="Calibri" w:hAnsi="Calibri"/>
                <w:b w:val="0"/>
                <w:i w:val="0"/>
                <w:color w:val="0B2B24"/>
                <w:sz w:val="17"/>
              </w:rPr>
              <w:t>catchment</w:t>
            </w:r>
          </w:p>
        </w:tc>
        <w:tc>
          <w:tcPr>
            <w:tcW w:type="dxa" w:w="2500"/>
          </w:tcPr>
          <w:p>
            <w:pPr>
              <w:spacing w:after="0" w:line="264" w:lineRule="auto"/>
            </w:pPr>
            <w:r/>
            <w:r>
              <w:rPr>
                <w:rFonts w:ascii="Calibri" w:hAnsi="Calibri"/>
                <w:b w:val="0"/>
                <w:i w:val="0"/>
                <w:color w:val="0B2B24"/>
                <w:sz w:val="17"/>
              </w:rPr>
              <w:t>boundary, m², ha, cells</w:t>
            </w:r>
          </w:p>
        </w:tc>
        <w:tc>
          <w:tcPr>
            <w:tcW w:type="dxa" w:w="4560"/>
          </w:tcPr>
          <w:p>
            <w:pPr>
              <w:spacing w:after="0" w:line="264" w:lineRule="auto"/>
            </w:pPr>
            <w:r/>
            <w:r>
              <w:rPr>
                <w:rFonts w:ascii="Calibri" w:hAnsi="Calibri"/>
                <w:b w:val="0"/>
                <w:i w:val="0"/>
                <w:color w:val="0B2B24"/>
                <w:sz w:val="17"/>
              </w:rPr>
              <w:t>Every selected grid cell that drains to the pond point</w:t>
            </w:r>
          </w:p>
        </w:tc>
      </w:tr>
      <w:tr>
        <w:tc>
          <w:tcPr>
            <w:tcW w:type="dxa" w:w="2300"/>
          </w:tcPr>
          <w:p>
            <w:pPr>
              <w:spacing w:after="0" w:line="264" w:lineRule="auto"/>
            </w:pPr>
            <w:r/>
            <w:r>
              <w:rPr>
                <w:rFonts w:ascii="Calibri" w:hAnsi="Calibri"/>
                <w:b w:val="0"/>
                <w:i w:val="0"/>
                <w:color w:val="0B2B24"/>
                <w:sz w:val="17"/>
              </w:rPr>
              <w:t>rainfall_data</w:t>
            </w:r>
          </w:p>
        </w:tc>
        <w:tc>
          <w:tcPr>
            <w:tcW w:type="dxa" w:w="2500"/>
          </w:tcPr>
          <w:p>
            <w:pPr>
              <w:spacing w:after="0" w:line="264" w:lineRule="auto"/>
            </w:pPr>
            <w:r/>
            <w:r>
              <w:rPr>
                <w:rFonts w:ascii="Calibri" w:hAnsi="Calibri"/>
                <w:b w:val="0"/>
                <w:i w:val="0"/>
                <w:color w:val="0B2B24"/>
                <w:sz w:val="17"/>
              </w:rPr>
              <w:t>annual mean + 12 months</w:t>
            </w:r>
          </w:p>
        </w:tc>
        <w:tc>
          <w:tcPr>
            <w:tcW w:type="dxa" w:w="4560"/>
          </w:tcPr>
          <w:p>
            <w:pPr>
              <w:spacing w:after="0" w:line="264" w:lineRule="auto"/>
            </w:pPr>
            <w:r/>
            <w:r>
              <w:rPr>
                <w:rFonts w:ascii="Calibri" w:hAnsi="Calibri"/>
                <w:b w:val="0"/>
                <w:i w:val="0"/>
                <w:color w:val="0B2B24"/>
                <w:sz w:val="17"/>
              </w:rPr>
              <w:t>Complete-year climatology and valid-year counts</w:t>
            </w:r>
          </w:p>
        </w:tc>
      </w:tr>
      <w:tr>
        <w:tc>
          <w:tcPr>
            <w:tcW w:type="dxa" w:w="2300"/>
          </w:tcPr>
          <w:p>
            <w:pPr>
              <w:spacing w:after="0" w:line="264" w:lineRule="auto"/>
            </w:pPr>
            <w:r/>
            <w:r>
              <w:rPr>
                <w:rFonts w:ascii="Calibri" w:hAnsi="Calibri"/>
                <w:b w:val="0"/>
                <w:i w:val="0"/>
                <w:color w:val="0B2B24"/>
                <w:sz w:val="17"/>
              </w:rPr>
              <w:t>runoff_stats</w:t>
            </w:r>
          </w:p>
        </w:tc>
        <w:tc>
          <w:tcPr>
            <w:tcW w:type="dxa" w:w="2500"/>
          </w:tcPr>
          <w:p>
            <w:pPr>
              <w:spacing w:after="0" w:line="264" w:lineRule="auto"/>
            </w:pPr>
            <w:r/>
            <w:r>
              <w:rPr>
                <w:rFonts w:ascii="Calibri" w:hAnsi="Calibri"/>
                <w:b w:val="0"/>
                <w:i w:val="0"/>
                <w:color w:val="0B2B24"/>
                <w:sz w:val="17"/>
              </w:rPr>
              <w:t>C, A, P, annual volume</w:t>
            </w:r>
          </w:p>
        </w:tc>
        <w:tc>
          <w:tcPr>
            <w:tcW w:type="dxa" w:w="4560"/>
          </w:tcPr>
          <w:p>
            <w:pPr>
              <w:spacing w:after="0" w:line="264" w:lineRule="auto"/>
            </w:pPr>
            <w:r/>
            <w:r>
              <w:rPr>
                <w:rFonts w:ascii="Calibri" w:hAnsi="Calibri"/>
                <w:b w:val="0"/>
                <w:i w:val="0"/>
                <w:color w:val="0B2B24"/>
                <w:sz w:val="17"/>
              </w:rPr>
              <w:t>Screening water yield V = C × A × P</w:t>
            </w:r>
          </w:p>
        </w:tc>
      </w:tr>
      <w:tr>
        <w:tc>
          <w:tcPr>
            <w:tcW w:type="dxa" w:w="2300"/>
          </w:tcPr>
          <w:p>
            <w:pPr>
              <w:spacing w:after="0" w:line="264" w:lineRule="auto"/>
            </w:pPr>
            <w:r/>
            <w:r>
              <w:rPr>
                <w:rFonts w:ascii="Calibri" w:hAnsi="Calibri"/>
                <w:b w:val="0"/>
                <w:i w:val="0"/>
                <w:color w:val="0B2B24"/>
                <w:sz w:val="17"/>
              </w:rPr>
              <w:t>pond</w:t>
            </w:r>
          </w:p>
        </w:tc>
        <w:tc>
          <w:tcPr>
            <w:tcW w:type="dxa" w:w="2500"/>
          </w:tcPr>
          <w:p>
            <w:pPr>
              <w:spacing w:after="0" w:line="264" w:lineRule="auto"/>
            </w:pPr>
            <w:r/>
            <w:r>
              <w:rPr>
                <w:rFonts w:ascii="Calibri" w:hAnsi="Calibri"/>
                <w:b w:val="0"/>
                <w:i w:val="0"/>
                <w:color w:val="0B2B24"/>
                <w:sz w:val="17"/>
              </w:rPr>
              <w:t>depth, dimensions, capacity</w:t>
            </w:r>
          </w:p>
        </w:tc>
        <w:tc>
          <w:tcPr>
            <w:tcW w:type="dxa" w:w="4560"/>
          </w:tcPr>
          <w:p>
            <w:pPr>
              <w:spacing w:after="0" w:line="264" w:lineRule="auto"/>
            </w:pPr>
            <w:r/>
            <w:r>
              <w:rPr>
                <w:rFonts w:ascii="Calibri" w:hAnsi="Calibri"/>
                <w:b w:val="0"/>
                <w:i w:val="0"/>
                <w:color w:val="0B2B24"/>
                <w:sz w:val="17"/>
              </w:rPr>
              <w:t>Preliminary water and excavation geometry, including freeboard</w:t>
            </w:r>
          </w:p>
        </w:tc>
      </w:tr>
      <w:tr>
        <w:tc>
          <w:tcPr>
            <w:tcW w:type="dxa" w:w="2300"/>
          </w:tcPr>
          <w:p>
            <w:pPr>
              <w:spacing w:after="0" w:line="264" w:lineRule="auto"/>
            </w:pPr>
            <w:r/>
            <w:r>
              <w:rPr>
                <w:rFonts w:ascii="Calibri" w:hAnsi="Calibri"/>
                <w:b w:val="0"/>
                <w:i w:val="0"/>
                <w:color w:val="0B2B24"/>
                <w:sz w:val="17"/>
              </w:rPr>
              <w:t>water_screening</w:t>
            </w:r>
          </w:p>
        </w:tc>
        <w:tc>
          <w:tcPr>
            <w:tcW w:type="dxa" w:w="2500"/>
          </w:tcPr>
          <w:p>
            <w:pPr>
              <w:spacing w:after="0" w:line="264" w:lineRule="auto"/>
            </w:pPr>
            <w:r/>
            <w:r>
              <w:rPr>
                <w:rFonts w:ascii="Calibri" w:hAnsi="Calibri"/>
                <w:b w:val="0"/>
                <w:i w:val="0"/>
                <w:color w:val="0B2B24"/>
                <w:sz w:val="17"/>
              </w:rPr>
              <w:t>ratio, buffer, method</w:t>
            </w:r>
          </w:p>
        </w:tc>
        <w:tc>
          <w:tcPr>
            <w:tcW w:type="dxa" w:w="4560"/>
          </w:tcPr>
          <w:p>
            <w:pPr>
              <w:spacing w:after="0" w:line="264" w:lineRule="auto"/>
            </w:pPr>
            <w:r/>
            <w:r>
              <w:rPr>
                <w:rFonts w:ascii="Calibri" w:hAnsi="Calibri"/>
                <w:b w:val="0"/>
                <w:i w:val="0"/>
                <w:color w:val="0B2B24"/>
                <w:sz w:val="17"/>
              </w:rPr>
              <w:t>How detected water affected eligibility</w:t>
            </w:r>
          </w:p>
        </w:tc>
      </w:tr>
      <w:tr>
        <w:tc>
          <w:tcPr>
            <w:tcW w:type="dxa" w:w="2300"/>
          </w:tcPr>
          <w:p>
            <w:pPr>
              <w:spacing w:after="0" w:line="264" w:lineRule="auto"/>
            </w:pPr>
            <w:r/>
            <w:r>
              <w:rPr>
                <w:rFonts w:ascii="Calibri" w:hAnsi="Calibri"/>
                <w:b w:val="0"/>
                <w:i w:val="0"/>
                <w:color w:val="0B2B24"/>
                <w:sz w:val="17"/>
              </w:rPr>
              <w:t>contours / drainage_path</w:t>
            </w:r>
          </w:p>
        </w:tc>
        <w:tc>
          <w:tcPr>
            <w:tcW w:type="dxa" w:w="2500"/>
          </w:tcPr>
          <w:p>
            <w:pPr>
              <w:spacing w:after="0" w:line="264" w:lineRule="auto"/>
            </w:pPr>
            <w:r/>
            <w:r>
              <w:rPr>
                <w:rFonts w:ascii="Calibri" w:hAnsi="Calibri"/>
                <w:b w:val="0"/>
                <w:i w:val="0"/>
                <w:color w:val="0B2B24"/>
                <w:sz w:val="17"/>
              </w:rPr>
              <w:t>map arrays</w:t>
            </w:r>
          </w:p>
        </w:tc>
        <w:tc>
          <w:tcPr>
            <w:tcW w:type="dxa" w:w="4560"/>
          </w:tcPr>
          <w:p>
            <w:pPr>
              <w:spacing w:after="0" w:line="264" w:lineRule="auto"/>
            </w:pPr>
            <w:r/>
            <w:r>
              <w:rPr>
                <w:rFonts w:ascii="Calibri" w:hAnsi="Calibri"/>
                <w:b w:val="0"/>
                <w:i w:val="0"/>
                <w:color w:val="0B2B24"/>
                <w:sz w:val="17"/>
              </w:rPr>
              <w:t>Evidence layers displayed by Leaflet</w:t>
            </w:r>
          </w:p>
        </w:tc>
      </w:tr>
      <w:tr>
        <w:tc>
          <w:tcPr>
            <w:tcW w:type="dxa" w:w="2300"/>
          </w:tcPr>
          <w:p>
            <w:pPr>
              <w:spacing w:after="0" w:line="264" w:lineRule="auto"/>
            </w:pPr>
            <w:r/>
            <w:r>
              <w:rPr>
                <w:rFonts w:ascii="Calibri" w:hAnsi="Calibri"/>
                <w:b w:val="0"/>
                <w:i w:val="0"/>
                <w:color w:val="0B2B24"/>
                <w:sz w:val="17"/>
              </w:rPr>
              <w:t>quality.sources</w:t>
            </w:r>
          </w:p>
        </w:tc>
        <w:tc>
          <w:tcPr>
            <w:tcW w:type="dxa" w:w="2500"/>
          </w:tcPr>
          <w:p>
            <w:pPr>
              <w:spacing w:after="0" w:line="264" w:lineRule="auto"/>
            </w:pPr>
            <w:r/>
            <w:r>
              <w:rPr>
                <w:rFonts w:ascii="Calibri" w:hAnsi="Calibri"/>
                <w:b w:val="0"/>
                <w:i w:val="0"/>
                <w:color w:val="0B2B24"/>
                <w:sz w:val="17"/>
              </w:rPr>
              <w:t>provenance records</w:t>
            </w:r>
          </w:p>
        </w:tc>
        <w:tc>
          <w:tcPr>
            <w:tcW w:type="dxa" w:w="4560"/>
          </w:tcPr>
          <w:p>
            <w:pPr>
              <w:spacing w:after="0" w:line="264" w:lineRule="auto"/>
            </w:pPr>
            <w:r/>
            <w:r>
              <w:rPr>
                <w:rFonts w:ascii="Calibri" w:hAnsi="Calibri"/>
                <w:b w:val="0"/>
                <w:i w:val="0"/>
                <w:color w:val="0B2B24"/>
                <w:sz w:val="17"/>
              </w:rPr>
              <w:t>Provider, retrieval date, resolution, model, coverage, license link</w:t>
            </w:r>
          </w:p>
        </w:tc>
      </w:tr>
      <w:tr>
        <w:tc>
          <w:tcPr>
            <w:tcW w:type="dxa" w:w="2300"/>
          </w:tcPr>
          <w:p>
            <w:pPr>
              <w:spacing w:after="0" w:line="264" w:lineRule="auto"/>
            </w:pPr>
            <w:r/>
            <w:r>
              <w:rPr>
                <w:rFonts w:ascii="Calibri" w:hAnsi="Calibri"/>
                <w:b w:val="0"/>
                <w:i w:val="0"/>
                <w:color w:val="0B2B24"/>
                <w:sz w:val="17"/>
              </w:rPr>
              <w:t>quality.warnings</w:t>
            </w:r>
          </w:p>
        </w:tc>
        <w:tc>
          <w:tcPr>
            <w:tcW w:type="dxa" w:w="2500"/>
          </w:tcPr>
          <w:p>
            <w:pPr>
              <w:spacing w:after="0" w:line="264" w:lineRule="auto"/>
            </w:pPr>
            <w:r/>
            <w:r>
              <w:rPr>
                <w:rFonts w:ascii="Calibri" w:hAnsi="Calibri"/>
                <w:b w:val="0"/>
                <w:i w:val="0"/>
                <w:color w:val="0B2B24"/>
                <w:sz w:val="17"/>
              </w:rPr>
              <w:t>plain-language array</w:t>
            </w:r>
          </w:p>
        </w:tc>
        <w:tc>
          <w:tcPr>
            <w:tcW w:type="dxa" w:w="4560"/>
          </w:tcPr>
          <w:p>
            <w:pPr>
              <w:spacing w:after="0" w:line="264" w:lineRule="auto"/>
            </w:pPr>
            <w:r/>
            <w:r>
              <w:rPr>
                <w:rFonts w:ascii="Calibri" w:hAnsi="Calibri"/>
                <w:b w:val="0"/>
                <w:i w:val="0"/>
                <w:color w:val="0B2B24"/>
                <w:sz w:val="17"/>
              </w:rPr>
              <w:t>Known omissions and required verification</w:t>
            </w:r>
          </w:p>
        </w:tc>
      </w:tr>
    </w:tbl>
    <w:p>
      <w:pPr>
        <w:spacing w:before="80" w:after="80"/>
      </w:pPr>
    </w:p>
    <w:p>
      <w:pPr>
        <w:pStyle w:val="Heading2"/>
      </w:pPr>
      <w:bookmarkStart w:id="208" w:name="appendix_output_example"/>
      <w:r>
        <w:t>C.1 Exact automatic production output</w:t>
      </w:r>
      <w:bookmarkEnd w:id="208"/>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trPr>
        <w:tc>
          <w:tcPr>
            <w:tcW w:type="dxa" w:w="3300"/>
            <w:tcMar>
              <w:top w:w="80" w:type="dxa"/>
              <w:start w:w="120" w:type="dxa"/>
              <w:bottom w:w="80" w:type="dxa"/>
              <w:end w:w="120" w:type="dxa"/>
            </w:tcMar>
            <w:vAlign w:val="center"/>
            <w:shd w:fill="DDF8EE"/>
          </w:tcPr>
          <w:p>
            <w:pPr>
              <w:spacing w:after="0"/>
            </w:pPr>
            <w:r/>
            <w:r>
              <w:rPr>
                <w:rFonts w:ascii="Calibri" w:hAnsi="Calibri"/>
                <w:b/>
                <w:color w:val="0B2B24"/>
                <w:sz w:val="17"/>
              </w:rPr>
              <w:t>Output</w:t>
            </w:r>
          </w:p>
        </w:tc>
        <w:tc>
          <w:tcPr>
            <w:tcW w:type="dxa" w:w="6060"/>
            <w:tcMar>
              <w:top w:w="80" w:type="dxa"/>
              <w:start w:w="120" w:type="dxa"/>
              <w:bottom w:w="80" w:type="dxa"/>
              <w:end w:w="120" w:type="dxa"/>
            </w:tcMar>
            <w:vAlign w:val="center"/>
            <w:shd w:fill="DDF8EE"/>
          </w:tcPr>
          <w:p>
            <w:pPr>
              <w:spacing w:after="0"/>
            </w:pPr>
            <w:r/>
            <w:r>
              <w:rPr>
                <w:rFonts w:ascii="Calibri" w:hAnsi="Calibri"/>
                <w:b/>
                <w:color w:val="0B2B24"/>
                <w:sz w:val="17"/>
              </w:rPr>
              <w:t>Production value</w:t>
            </w:r>
          </w:p>
        </w:tc>
      </w:tr>
      <w:tr>
        <w:tc>
          <w:tcPr>
            <w:tcW w:type="dxa" w:w="3300"/>
          </w:tcPr>
          <w:p>
            <w:pPr>
              <w:spacing w:after="0" w:line="264" w:lineRule="auto"/>
            </w:pPr>
            <w:r/>
            <w:r>
              <w:rPr>
                <w:rFonts w:ascii="Calibri" w:hAnsi="Calibri"/>
                <w:b w:val="0"/>
                <w:i w:val="0"/>
                <w:color w:val="0B2B24"/>
                <w:sz w:val="17"/>
              </w:rPr>
              <w:t>Selected point</w:t>
            </w:r>
          </w:p>
        </w:tc>
        <w:tc>
          <w:tcPr>
            <w:tcW w:type="dxa" w:w="6060"/>
          </w:tcPr>
          <w:p>
            <w:pPr>
              <w:spacing w:after="0" w:line="264" w:lineRule="auto"/>
            </w:pPr>
            <w:r/>
            <w:r>
              <w:rPr>
                <w:rFonts w:ascii="Calibri" w:hAnsi="Calibri"/>
                <w:b w:val="0"/>
                <w:i w:val="0"/>
                <w:color w:val="0B2B24"/>
                <w:sz w:val="17"/>
              </w:rPr>
              <w:t>21.244025, 81.288000</w:t>
            </w:r>
          </w:p>
        </w:tc>
      </w:tr>
      <w:tr>
        <w:tc>
          <w:tcPr>
            <w:tcW w:type="dxa" w:w="3300"/>
          </w:tcPr>
          <w:p>
            <w:pPr>
              <w:spacing w:after="0" w:line="264" w:lineRule="auto"/>
            </w:pPr>
            <w:r/>
            <w:r>
              <w:rPr>
                <w:rFonts w:ascii="Calibri" w:hAnsi="Calibri"/>
                <w:b w:val="0"/>
                <w:i w:val="0"/>
                <w:color w:val="0B2B24"/>
                <w:sz w:val="17"/>
              </w:rPr>
              <w:t>Suitability</w:t>
            </w:r>
          </w:p>
        </w:tc>
        <w:tc>
          <w:tcPr>
            <w:tcW w:type="dxa" w:w="6060"/>
          </w:tcPr>
          <w:p>
            <w:pPr>
              <w:spacing w:after="0" w:line="264" w:lineRule="auto"/>
            </w:pPr>
            <w:r/>
            <w:r>
              <w:rPr>
                <w:rFonts w:ascii="Calibri" w:hAnsi="Calibri"/>
                <w:b w:val="0"/>
                <w:i w:val="0"/>
                <w:color w:val="0B2B24"/>
                <w:sz w:val="17"/>
              </w:rPr>
              <w:t>95.54 / 100</w:t>
            </w:r>
          </w:p>
        </w:tc>
      </w:tr>
      <w:tr>
        <w:tc>
          <w:tcPr>
            <w:tcW w:type="dxa" w:w="3300"/>
          </w:tcPr>
          <w:p>
            <w:pPr>
              <w:spacing w:after="0" w:line="264" w:lineRule="auto"/>
            </w:pPr>
            <w:r/>
            <w:r>
              <w:rPr>
                <w:rFonts w:ascii="Calibri" w:hAnsi="Calibri"/>
                <w:b w:val="0"/>
                <w:i w:val="0"/>
                <w:color w:val="0B2B24"/>
                <w:sz w:val="17"/>
              </w:rPr>
              <w:t>Selected catchment</w:t>
            </w:r>
          </w:p>
        </w:tc>
        <w:tc>
          <w:tcPr>
            <w:tcW w:type="dxa" w:w="6060"/>
          </w:tcPr>
          <w:p>
            <w:pPr>
              <w:spacing w:after="0" w:line="264" w:lineRule="auto"/>
            </w:pPr>
            <w:r/>
            <w:r>
              <w:rPr>
                <w:rFonts w:ascii="Calibri" w:hAnsi="Calibri"/>
                <w:b w:val="0"/>
                <w:i w:val="0"/>
                <w:color w:val="0B2B24"/>
                <w:sz w:val="17"/>
              </w:rPr>
              <w:t>352.9523 ha</w:t>
            </w:r>
          </w:p>
        </w:tc>
      </w:tr>
      <w:tr>
        <w:tc>
          <w:tcPr>
            <w:tcW w:type="dxa" w:w="3300"/>
          </w:tcPr>
          <w:p>
            <w:pPr>
              <w:spacing w:after="0" w:line="264" w:lineRule="auto"/>
            </w:pPr>
            <w:r/>
            <w:r>
              <w:rPr>
                <w:rFonts w:ascii="Calibri" w:hAnsi="Calibri"/>
                <w:b w:val="0"/>
                <w:i w:val="0"/>
                <w:color w:val="0B2B24"/>
                <w:sz w:val="17"/>
              </w:rPr>
              <w:t>Historical rainfall</w:t>
            </w:r>
          </w:p>
        </w:tc>
        <w:tc>
          <w:tcPr>
            <w:tcW w:type="dxa" w:w="6060"/>
          </w:tcPr>
          <w:p>
            <w:pPr>
              <w:spacing w:after="0" w:line="264" w:lineRule="auto"/>
            </w:pPr>
            <w:r/>
            <w:r>
              <w:rPr>
                <w:rFonts w:ascii="Calibri" w:hAnsi="Calibri"/>
                <w:b w:val="0"/>
                <w:i w:val="0"/>
                <w:color w:val="0B2B24"/>
                <w:sz w:val="17"/>
              </w:rPr>
              <w:t>1280.13 mm/year; 35 years</w:t>
            </w:r>
          </w:p>
        </w:tc>
      </w:tr>
      <w:tr>
        <w:tc>
          <w:tcPr>
            <w:tcW w:type="dxa" w:w="3300"/>
          </w:tcPr>
          <w:p>
            <w:pPr>
              <w:spacing w:after="0" w:line="264" w:lineRule="auto"/>
            </w:pPr>
            <w:r/>
            <w:r>
              <w:rPr>
                <w:rFonts w:ascii="Calibri" w:hAnsi="Calibri"/>
                <w:b w:val="0"/>
                <w:i w:val="0"/>
                <w:color w:val="0B2B24"/>
                <w:sz w:val="17"/>
              </w:rPr>
              <w:t>Annual runoff</w:t>
            </w:r>
          </w:p>
        </w:tc>
        <w:tc>
          <w:tcPr>
            <w:tcW w:type="dxa" w:w="6060"/>
          </w:tcPr>
          <w:p>
            <w:pPr>
              <w:spacing w:after="0" w:line="264" w:lineRule="auto"/>
            </w:pPr>
            <w:r/>
            <w:r>
              <w:rPr>
                <w:rFonts w:ascii="Calibri" w:hAnsi="Calibri"/>
                <w:b w:val="0"/>
                <w:i w:val="0"/>
                <w:color w:val="0B2B24"/>
                <w:sz w:val="17"/>
              </w:rPr>
              <w:t>1,355,474.66 m³/year</w:t>
            </w:r>
          </w:p>
        </w:tc>
      </w:tr>
      <w:tr>
        <w:tc>
          <w:tcPr>
            <w:tcW w:type="dxa" w:w="3300"/>
          </w:tcPr>
          <w:p>
            <w:pPr>
              <w:spacing w:after="0" w:line="264" w:lineRule="auto"/>
            </w:pPr>
            <w:r/>
            <w:r>
              <w:rPr>
                <w:rFonts w:ascii="Calibri" w:hAnsi="Calibri"/>
                <w:b w:val="0"/>
                <w:i w:val="0"/>
                <w:color w:val="0B2B24"/>
                <w:sz w:val="17"/>
              </w:rPr>
              <w:t>Pond capacity</w:t>
            </w:r>
          </w:p>
        </w:tc>
        <w:tc>
          <w:tcPr>
            <w:tcW w:type="dxa" w:w="6060"/>
          </w:tcPr>
          <w:p>
            <w:pPr>
              <w:spacing w:after="0" w:line="264" w:lineRule="auto"/>
            </w:pPr>
            <w:r/>
            <w:r>
              <w:rPr>
                <w:rFonts w:ascii="Calibri" w:hAnsi="Calibri"/>
                <w:b w:val="0"/>
                <w:i w:val="0"/>
                <w:color w:val="0B2B24"/>
                <w:sz w:val="17"/>
              </w:rPr>
              <w:t>1,084,379.73 m³</w:t>
            </w:r>
          </w:p>
        </w:tc>
      </w:tr>
      <w:tr>
        <w:tc>
          <w:tcPr>
            <w:tcW w:type="dxa" w:w="3300"/>
          </w:tcPr>
          <w:p>
            <w:pPr>
              <w:spacing w:after="0" w:line="264" w:lineRule="auto"/>
            </w:pPr>
            <w:r/>
            <w:r>
              <w:rPr>
                <w:rFonts w:ascii="Calibri" w:hAnsi="Calibri"/>
                <w:b w:val="0"/>
                <w:i w:val="0"/>
                <w:color w:val="0B2B24"/>
                <w:sz w:val="17"/>
              </w:rPr>
              <w:t>Excavation volume</w:t>
            </w:r>
          </w:p>
        </w:tc>
        <w:tc>
          <w:tcPr>
            <w:tcW w:type="dxa" w:w="6060"/>
          </w:tcPr>
          <w:p>
            <w:pPr>
              <w:spacing w:after="0" w:line="264" w:lineRule="auto"/>
            </w:pPr>
            <w:r/>
            <w:r>
              <w:rPr>
                <w:rFonts w:ascii="Calibri" w:hAnsi="Calibri"/>
                <w:b w:val="0"/>
                <w:i w:val="0"/>
                <w:color w:val="0B2B24"/>
                <w:sz w:val="17"/>
              </w:rPr>
              <w:t>1,224,734.67 m³</w:t>
            </w:r>
          </w:p>
        </w:tc>
      </w:tr>
      <w:tr>
        <w:tc>
          <w:tcPr>
            <w:tcW w:type="dxa" w:w="3300"/>
          </w:tcPr>
          <w:p>
            <w:pPr>
              <w:spacing w:after="0" w:line="264" w:lineRule="auto"/>
            </w:pPr>
            <w:r/>
            <w:r>
              <w:rPr>
                <w:rFonts w:ascii="Calibri" w:hAnsi="Calibri"/>
                <w:b w:val="0"/>
                <w:i w:val="0"/>
                <w:color w:val="0B2B24"/>
                <w:sz w:val="17"/>
              </w:rPr>
              <w:t>Water screening</w:t>
            </w:r>
          </w:p>
        </w:tc>
        <w:tc>
          <w:tcPr>
            <w:tcW w:type="dxa" w:w="6060"/>
          </w:tcPr>
          <w:p>
            <w:pPr>
              <w:spacing w:after="0" w:line="264" w:lineRule="auto"/>
            </w:pPr>
            <w:r/>
            <w:r>
              <w:rPr>
                <w:rFonts w:ascii="Calibri" w:hAnsi="Calibri"/>
                <w:b w:val="0"/>
                <w:i w:val="0"/>
                <w:color w:val="0B2B24"/>
                <w:sz w:val="17"/>
              </w:rPr>
              <w:t>0.33% detected; 60 m buffer</w:t>
            </w:r>
          </w:p>
        </w:tc>
      </w:tr>
    </w:tbl>
    <w:p>
      <w:pPr>
        <w:spacing w:before="80" w:after="80"/>
      </w:pPr>
    </w:p>
    <w:p>
      <w:pPr>
        <w:pStyle w:val="Heading1"/>
        <w:pageBreakBefore/>
      </w:pPr>
      <w:bookmarkStart w:id="209" w:name="appendix_api"/>
      <w:r>
        <w:t>Appendix D. API examples and error behavior</w:t>
      </w:r>
      <w:bookmarkEnd w:id="209"/>
    </w:p>
    <w:p>
      <w:pPr>
        <w:pStyle w:val="Heading2"/>
      </w:pPr>
      <w:bookmarkStart w:id="210" w:name="appendix_api_auto"/>
      <w:r>
        <w:t>D.1 Automatic contour analysis</w:t>
      </w:r>
      <w:bookmarkEnd w:id="210"/>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6F8FA"/>
          </w:tcPr>
          <w:p>
            <w:pPr>
              <w:spacing w:after="0" w:line="240" w:lineRule="auto"/>
            </w:pPr>
            <w:r/>
            <w:r>
              <w:rPr>
                <w:rFonts w:ascii="Consolas" w:hAnsi="Consolas"/>
                <w:color w:val="0B2B24"/>
                <w:sz w:val="16"/>
              </w:rPr>
              <w:t>curl.exe -X POST ^</w:t>
              <w:br/>
              <w:t xml:space="preserve">  -F "contour_file=@C:\path\contours_1m.kml" ^</w:t>
              <w:br/>
              <w:t xml:space="preserve">  -F "selection_mode=automatic" ^</w:t>
              <w:br/>
              <w:t xml:space="preserve">  https://sneha-village-pond-api-2026.onrender.com/api/analyze-contour</w:t>
            </w:r>
          </w:p>
        </w:tc>
      </w:tr>
    </w:tbl>
    <w:p>
      <w:pPr>
        <w:spacing w:after="20"/>
      </w:pPr>
    </w:p>
    <w:p>
      <w:pPr>
        <w:pStyle w:val="Heading2"/>
      </w:pPr>
      <w:bookmarkStart w:id="211" w:name="appendix_api_point"/>
      <w:r>
        <w:t>D.2 Manual point</w:t>
      </w:r>
      <w:bookmarkEnd w:id="211"/>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6F8FA"/>
          </w:tcPr>
          <w:p>
            <w:pPr>
              <w:spacing w:after="0" w:line="240" w:lineRule="auto"/>
            </w:pPr>
            <w:r/>
            <w:r>
              <w:rPr>
                <w:rFonts w:ascii="Consolas" w:hAnsi="Consolas"/>
                <w:color w:val="0B2B24"/>
                <w:sz w:val="16"/>
              </w:rPr>
              <w:t>curl.exe -X POST ^</w:t>
              <w:br/>
              <w:t xml:space="preserve">  -F "contour_file=@C:\path\contours_1m.kml" ^</w:t>
              <w:br/>
              <w:t xml:space="preserve">  -F "selection_mode=point" ^</w:t>
              <w:br/>
              <w:t xml:space="preserve">  -F "selected_lat=21.245156" ^</w:t>
              <w:br/>
              <w:t xml:space="preserve">  -F "selected_lng=81.289215" ^</w:t>
              <w:br/>
              <w:t xml:space="preserve">  https://sneha-village-pond-api-2026.onrender.com/api/analyze-contour</w:t>
            </w:r>
          </w:p>
        </w:tc>
      </w:tr>
    </w:tbl>
    <w:p>
      <w:pPr>
        <w:spacing w:after="20"/>
      </w:pPr>
    </w:p>
    <w:p>
      <w:pPr>
        <w:pStyle w:val="Heading2"/>
      </w:pPr>
      <w:bookmarkStart w:id="212" w:name="appendix_api_region"/>
      <w:r>
        <w:t>D.3 Region-constrained search</w:t>
      </w:r>
      <w:bookmarkEnd w:id="212"/>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6F8FA"/>
          </w:tcPr>
          <w:p>
            <w:pPr>
              <w:spacing w:after="0" w:line="240" w:lineRule="auto"/>
            </w:pPr>
            <w:r/>
            <w:r>
              <w:rPr>
                <w:rFonts w:ascii="Consolas" w:hAnsi="Consolas"/>
                <w:color w:val="0B2B24"/>
                <w:sz w:val="16"/>
              </w:rPr>
              <w:t>selected_region=[</w:t>
              <w:br/>
              <w:t xml:space="preserve">  {"lat":21.2424,"lng":81.2864},</w:t>
              <w:br/>
              <w:t xml:space="preserve">  {"lat":21.2434,"lng":81.2864},</w:t>
              <w:br/>
              <w:t xml:space="preserve">  {"lat":21.2434,"lng":81.2875},</w:t>
              <w:br/>
              <w:t xml:space="preserve">  {"lat":21.2424,"lng":81.2875}</w:t>
              <w:br/>
              <w:t>]</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1000"/>
        <w:gridCol w:w="2800"/>
        <w:gridCol w:w="5560"/>
      </w:tblGrid>
      <w:tr>
        <w:trPr>
          <w:tblHeader w:val="true"/>
        </w:trPr>
        <w:tc>
          <w:tcPr>
            <w:tcW w:type="dxa" w:w="1000"/>
            <w:tcMar>
              <w:top w:w="80" w:type="dxa"/>
              <w:start w:w="120" w:type="dxa"/>
              <w:bottom w:w="80" w:type="dxa"/>
              <w:end w:w="120" w:type="dxa"/>
            </w:tcMar>
            <w:vAlign w:val="center"/>
            <w:shd w:fill="DDF8EE"/>
          </w:tcPr>
          <w:p>
            <w:pPr>
              <w:spacing w:after="0"/>
            </w:pPr>
            <w:r/>
            <w:r>
              <w:rPr>
                <w:rFonts w:ascii="Calibri" w:hAnsi="Calibri"/>
                <w:b/>
                <w:color w:val="0B2B24"/>
                <w:sz w:val="17"/>
              </w:rPr>
              <w:t>HTTP</w:t>
            </w:r>
          </w:p>
        </w:tc>
        <w:tc>
          <w:tcPr>
            <w:tcW w:type="dxa" w:w="2800"/>
            <w:tcMar>
              <w:top w:w="80" w:type="dxa"/>
              <w:start w:w="120" w:type="dxa"/>
              <w:bottom w:w="80" w:type="dxa"/>
              <w:end w:w="120" w:type="dxa"/>
            </w:tcMar>
            <w:vAlign w:val="center"/>
            <w:shd w:fill="DDF8EE"/>
          </w:tcPr>
          <w:p>
            <w:pPr>
              <w:spacing w:after="0"/>
            </w:pPr>
            <w:r/>
            <w:r>
              <w:rPr>
                <w:rFonts w:ascii="Calibri" w:hAnsi="Calibri"/>
                <w:b/>
                <w:color w:val="0B2B24"/>
                <w:sz w:val="17"/>
              </w:rPr>
              <w:t>Stable code</w:t>
            </w:r>
          </w:p>
        </w:tc>
        <w:tc>
          <w:tcPr>
            <w:tcW w:type="dxa" w:w="5560"/>
            <w:tcMar>
              <w:top w:w="80" w:type="dxa"/>
              <w:start w:w="120" w:type="dxa"/>
              <w:bottom w:w="80" w:type="dxa"/>
              <w:end w:w="120" w:type="dxa"/>
            </w:tcMar>
            <w:vAlign w:val="center"/>
            <w:shd w:fill="DDF8EE"/>
          </w:tcPr>
          <w:p>
            <w:pPr>
              <w:spacing w:after="0"/>
            </w:pPr>
            <w:r/>
            <w:r>
              <w:rPr>
                <w:rFonts w:ascii="Calibri" w:hAnsi="Calibri"/>
                <w:b/>
                <w:color w:val="0B2B24"/>
                <w:sz w:val="17"/>
              </w:rPr>
              <w:t>Meaning</w:t>
            </w:r>
          </w:p>
        </w:tc>
      </w:tr>
      <w:tr>
        <w:tc>
          <w:tcPr>
            <w:tcW w:type="dxa" w:w="1000"/>
          </w:tcPr>
          <w:p>
            <w:pPr>
              <w:spacing w:after="0" w:line="264" w:lineRule="auto"/>
            </w:pPr>
            <w:r/>
            <w:r>
              <w:rPr>
                <w:rFonts w:ascii="Calibri" w:hAnsi="Calibri"/>
                <w:b w:val="0"/>
                <w:i w:val="0"/>
                <w:color w:val="0B2B24"/>
                <w:sz w:val="17"/>
              </w:rPr>
              <w:t>200</w:t>
            </w:r>
          </w:p>
        </w:tc>
        <w:tc>
          <w:tcPr>
            <w:tcW w:type="dxa" w:w="2800"/>
          </w:tcPr>
          <w:p>
            <w:pPr>
              <w:spacing w:after="0" w:line="264" w:lineRule="auto"/>
            </w:pPr>
            <w:r/>
            <w:r>
              <w:rPr>
                <w:rFonts w:ascii="Calibri" w:hAnsi="Calibri"/>
                <w:b w:val="0"/>
                <w:i w:val="0"/>
                <w:color w:val="0B2B24"/>
                <w:sz w:val="17"/>
              </w:rPr>
              <w:t>success</w:t>
            </w:r>
          </w:p>
        </w:tc>
        <w:tc>
          <w:tcPr>
            <w:tcW w:type="dxa" w:w="5560"/>
          </w:tcPr>
          <w:p>
            <w:pPr>
              <w:spacing w:after="0" w:line="264" w:lineRule="auto"/>
            </w:pPr>
            <w:r/>
            <w:r>
              <w:rPr>
                <w:rFonts w:ascii="Calibri" w:hAnsi="Calibri"/>
                <w:b w:val="0"/>
                <w:i w:val="0"/>
                <w:color w:val="0B2B24"/>
                <w:sz w:val="17"/>
              </w:rPr>
              <w:t>Typed screening response returned</w:t>
            </w:r>
          </w:p>
        </w:tc>
      </w:tr>
      <w:tr>
        <w:tc>
          <w:tcPr>
            <w:tcW w:type="dxa" w:w="1000"/>
          </w:tcPr>
          <w:p>
            <w:pPr>
              <w:spacing w:after="0" w:line="264" w:lineRule="auto"/>
            </w:pPr>
            <w:r/>
            <w:r>
              <w:rPr>
                <w:rFonts w:ascii="Calibri" w:hAnsi="Calibri"/>
                <w:b w:val="0"/>
                <w:i w:val="0"/>
                <w:color w:val="0B2B24"/>
                <w:sz w:val="17"/>
              </w:rPr>
              <w:t>413</w:t>
            </w:r>
          </w:p>
        </w:tc>
        <w:tc>
          <w:tcPr>
            <w:tcW w:type="dxa" w:w="2800"/>
          </w:tcPr>
          <w:p>
            <w:pPr>
              <w:spacing w:after="0" w:line="264" w:lineRule="auto"/>
            </w:pPr>
            <w:r/>
            <w:r>
              <w:rPr>
                <w:rFonts w:ascii="Calibri" w:hAnsi="Calibri"/>
                <w:b w:val="0"/>
                <w:i w:val="0"/>
                <w:color w:val="0B2B24"/>
                <w:sz w:val="17"/>
              </w:rPr>
              <w:t>contour_file_too_large</w:t>
            </w:r>
          </w:p>
        </w:tc>
        <w:tc>
          <w:tcPr>
            <w:tcW w:type="dxa" w:w="5560"/>
          </w:tcPr>
          <w:p>
            <w:pPr>
              <w:spacing w:after="0" w:line="264" w:lineRule="auto"/>
            </w:pPr>
            <w:r/>
            <w:r>
              <w:rPr>
                <w:rFonts w:ascii="Calibri" w:hAnsi="Calibri"/>
                <w:b w:val="0"/>
                <w:i w:val="0"/>
                <w:color w:val="0B2B24"/>
                <w:sz w:val="17"/>
              </w:rPr>
              <w:t>Compressed upload exceeds configured maximum</w:t>
            </w:r>
          </w:p>
        </w:tc>
      </w:tr>
      <w:tr>
        <w:tc>
          <w:tcPr>
            <w:tcW w:type="dxa" w:w="1000"/>
          </w:tcPr>
          <w:p>
            <w:pPr>
              <w:spacing w:after="0" w:line="264" w:lineRule="auto"/>
            </w:pPr>
            <w:r/>
            <w:r>
              <w:rPr>
                <w:rFonts w:ascii="Calibri" w:hAnsi="Calibri"/>
                <w:b w:val="0"/>
                <w:i w:val="0"/>
                <w:color w:val="0B2B24"/>
                <w:sz w:val="17"/>
              </w:rPr>
              <w:t>422</w:t>
            </w:r>
          </w:p>
        </w:tc>
        <w:tc>
          <w:tcPr>
            <w:tcW w:type="dxa" w:w="2800"/>
          </w:tcPr>
          <w:p>
            <w:pPr>
              <w:spacing w:after="0" w:line="264" w:lineRule="auto"/>
            </w:pPr>
            <w:r/>
            <w:r>
              <w:rPr>
                <w:rFonts w:ascii="Calibri" w:hAnsi="Calibri"/>
                <w:b w:val="0"/>
                <w:i w:val="0"/>
                <w:color w:val="0B2B24"/>
                <w:sz w:val="17"/>
              </w:rPr>
              <w:t>invalid_contour_file</w:t>
            </w:r>
          </w:p>
        </w:tc>
        <w:tc>
          <w:tcPr>
            <w:tcW w:type="dxa" w:w="5560"/>
          </w:tcPr>
          <w:p>
            <w:pPr>
              <w:spacing w:after="0" w:line="264" w:lineRule="auto"/>
            </w:pPr>
            <w:r/>
            <w:r>
              <w:rPr>
                <w:rFonts w:ascii="Calibri" w:hAnsi="Calibri"/>
                <w:b w:val="0"/>
                <w:i w:val="0"/>
                <w:color w:val="0B2B24"/>
                <w:sz w:val="17"/>
              </w:rPr>
              <w:t>Unsafe, malformed, or insufficient contour content</w:t>
            </w:r>
          </w:p>
        </w:tc>
      </w:tr>
      <w:tr>
        <w:tc>
          <w:tcPr>
            <w:tcW w:type="dxa" w:w="1000"/>
          </w:tcPr>
          <w:p>
            <w:pPr>
              <w:spacing w:after="0" w:line="264" w:lineRule="auto"/>
            </w:pPr>
            <w:r/>
            <w:r>
              <w:rPr>
                <w:rFonts w:ascii="Calibri" w:hAnsi="Calibri"/>
                <w:b w:val="0"/>
                <w:i w:val="0"/>
                <w:color w:val="0B2B24"/>
                <w:sz w:val="17"/>
              </w:rPr>
              <w:t>422</w:t>
            </w:r>
          </w:p>
        </w:tc>
        <w:tc>
          <w:tcPr>
            <w:tcW w:type="dxa" w:w="2800"/>
          </w:tcPr>
          <w:p>
            <w:pPr>
              <w:spacing w:after="0" w:line="264" w:lineRule="auto"/>
            </w:pPr>
            <w:r/>
            <w:r>
              <w:rPr>
                <w:rFonts w:ascii="Calibri" w:hAnsi="Calibri"/>
                <w:b w:val="0"/>
                <w:i w:val="0"/>
                <w:color w:val="0B2B24"/>
                <w:sz w:val="17"/>
              </w:rPr>
              <w:t>invalid_contour_selection</w:t>
            </w:r>
          </w:p>
        </w:tc>
        <w:tc>
          <w:tcPr>
            <w:tcW w:type="dxa" w:w="5560"/>
          </w:tcPr>
          <w:p>
            <w:pPr>
              <w:spacing w:after="0" w:line="264" w:lineRule="auto"/>
            </w:pPr>
            <w:r/>
            <w:r>
              <w:rPr>
                <w:rFonts w:ascii="Calibri" w:hAnsi="Calibri"/>
                <w:b w:val="0"/>
                <w:i w:val="0"/>
                <w:color w:val="0B2B24"/>
                <w:sz w:val="17"/>
              </w:rPr>
              <w:t>Point/region is malformed or fails an eligibility gate</w:t>
            </w:r>
          </w:p>
        </w:tc>
      </w:tr>
      <w:tr>
        <w:tc>
          <w:tcPr>
            <w:tcW w:type="dxa" w:w="1000"/>
          </w:tcPr>
          <w:p>
            <w:pPr>
              <w:spacing w:after="0" w:line="264" w:lineRule="auto"/>
            </w:pPr>
            <w:r/>
            <w:r>
              <w:rPr>
                <w:rFonts w:ascii="Calibri" w:hAnsi="Calibri"/>
                <w:b w:val="0"/>
                <w:i w:val="0"/>
                <w:color w:val="0B2B24"/>
                <w:sz w:val="17"/>
              </w:rPr>
              <w:t>429</w:t>
            </w:r>
          </w:p>
        </w:tc>
        <w:tc>
          <w:tcPr>
            <w:tcW w:type="dxa" w:w="2800"/>
          </w:tcPr>
          <w:p>
            <w:pPr>
              <w:spacing w:after="0" w:line="264" w:lineRule="auto"/>
            </w:pPr>
            <w:r/>
            <w:r>
              <w:rPr>
                <w:rFonts w:ascii="Calibri" w:hAnsi="Calibri"/>
                <w:b w:val="0"/>
                <w:i w:val="0"/>
                <w:color w:val="0B2B24"/>
                <w:sz w:val="17"/>
              </w:rPr>
              <w:t>rate_limit_exceeded</w:t>
            </w:r>
          </w:p>
        </w:tc>
        <w:tc>
          <w:tcPr>
            <w:tcW w:type="dxa" w:w="5560"/>
          </w:tcPr>
          <w:p>
            <w:pPr>
              <w:spacing w:after="0" w:line="264" w:lineRule="auto"/>
            </w:pPr>
            <w:r/>
            <w:r>
              <w:rPr>
                <w:rFonts w:ascii="Calibri" w:hAnsi="Calibri"/>
                <w:b w:val="0"/>
                <w:i w:val="0"/>
                <w:color w:val="0B2B24"/>
                <w:sz w:val="17"/>
              </w:rPr>
              <w:t>Client request budget exhausted</w:t>
            </w:r>
          </w:p>
        </w:tc>
      </w:tr>
      <w:tr>
        <w:tc>
          <w:tcPr>
            <w:tcW w:type="dxa" w:w="1000"/>
          </w:tcPr>
          <w:p>
            <w:pPr>
              <w:spacing w:after="0" w:line="264" w:lineRule="auto"/>
            </w:pPr>
            <w:r/>
            <w:r>
              <w:rPr>
                <w:rFonts w:ascii="Calibri" w:hAnsi="Calibri"/>
                <w:b w:val="0"/>
                <w:i w:val="0"/>
                <w:color w:val="0B2B24"/>
                <w:sz w:val="17"/>
              </w:rPr>
              <w:t>500</w:t>
            </w:r>
          </w:p>
        </w:tc>
        <w:tc>
          <w:tcPr>
            <w:tcW w:type="dxa" w:w="2800"/>
          </w:tcPr>
          <w:p>
            <w:pPr>
              <w:spacing w:after="0" w:line="264" w:lineRule="auto"/>
            </w:pPr>
            <w:r/>
            <w:r>
              <w:rPr>
                <w:rFonts w:ascii="Calibri" w:hAnsi="Calibri"/>
                <w:b w:val="0"/>
                <w:i w:val="0"/>
                <w:color w:val="0B2B24"/>
                <w:sz w:val="17"/>
              </w:rPr>
              <w:t>contour_analysis_failed</w:t>
            </w:r>
          </w:p>
        </w:tc>
        <w:tc>
          <w:tcPr>
            <w:tcW w:type="dxa" w:w="5560"/>
          </w:tcPr>
          <w:p>
            <w:pPr>
              <w:spacing w:after="0" w:line="264" w:lineRule="auto"/>
            </w:pPr>
            <w:r/>
            <w:r>
              <w:rPr>
                <w:rFonts w:ascii="Calibri" w:hAnsi="Calibri"/>
                <w:b w:val="0"/>
                <w:i w:val="0"/>
                <w:color w:val="0B2B24"/>
                <w:sz w:val="17"/>
              </w:rPr>
              <w:t>Unexpected server-side processing error with a safe message</w:t>
            </w:r>
          </w:p>
        </w:tc>
      </w:tr>
    </w:tbl>
    <w:p>
      <w:pPr>
        <w:spacing w:before="80" w:after="80"/>
      </w:pPr>
    </w:p>
    <w:p>
      <w:pPr>
        <w:pStyle w:val="Heading1"/>
        <w:pageBreakBefore/>
      </w:pPr>
      <w:bookmarkStart w:id="213" w:name="appendix_manual_test"/>
      <w:r>
        <w:t>Appendix E. Manual test script</w:t>
      </w:r>
      <w:bookmarkEnd w:id="213"/>
    </w:p>
    <w:p>
      <w:pPr>
        <w:pStyle w:val="Heading2"/>
      </w:pPr>
      <w:bookmarkStart w:id="214" w:name="test_214"/>
      <w:r>
        <w:t>Application shell</w:t>
      </w:r>
      <w:bookmarkEnd w:id="214"/>
    </w:p>
    <w:p>
      <w:pPr>
        <w:numPr>
          <w:ilvl w:val="0"/>
          <w:numId w:val="10"/>
        </w:numPr>
        <w:spacing w:after="80" w:line="300" w:lineRule="auto"/>
      </w:pPr>
      <w:r>
        <w:rPr>
          <w:rFonts w:ascii="Calibri" w:hAnsi="Calibri"/>
          <w:b w:val="0"/>
          <w:i w:val="0"/>
          <w:color w:val="0B2B24"/>
          <w:sz w:val="22"/>
        </w:rPr>
        <w:t>□ Open the production URL and confirm satellite imagery, live/contour tabs, decision-support warning, keyboard focus, and the Hide panel control.</w:t>
      </w:r>
    </w:p>
    <w:p>
      <w:pPr>
        <w:numPr>
          <w:ilvl w:val="0"/>
          <w:numId w:val="10"/>
        </w:numPr>
        <w:spacing w:after="80" w:line="300" w:lineRule="auto"/>
      </w:pPr>
      <w:r>
        <w:rPr>
          <w:rFonts w:ascii="Calibri" w:hAnsi="Calibri"/>
          <w:b w:val="0"/>
          <w:i w:val="0"/>
          <w:color w:val="0B2B24"/>
          <w:sz w:val="22"/>
        </w:rPr>
        <w:t>□ Collapse and reopen the panel; verify that the map expands and all layers remain aligned.</w:t>
      </w:r>
    </w:p>
    <w:p>
      <w:pPr>
        <w:numPr>
          <w:ilvl w:val="0"/>
          <w:numId w:val="10"/>
        </w:numPr>
        <w:spacing w:after="80" w:line="300" w:lineRule="auto"/>
      </w:pPr>
      <w:r>
        <w:rPr>
          <w:rFonts w:ascii="Calibri" w:hAnsi="Calibri"/>
          <w:b w:val="0"/>
          <w:i w:val="0"/>
          <w:color w:val="0B2B24"/>
          <w:sz w:val="22"/>
        </w:rPr>
        <w:t>□ Resize to a narrow window; verify that controls remain readable and no content becomes unreachable.</w:t>
      </w:r>
    </w:p>
    <w:p>
      <w:pPr>
        <w:pStyle w:val="Heading2"/>
      </w:pPr>
      <w:bookmarkStart w:id="215" w:name="test_215"/>
      <w:r>
        <w:t>Automatic KML</w:t>
      </w:r>
      <w:bookmarkEnd w:id="215"/>
    </w:p>
    <w:p>
      <w:pPr>
        <w:numPr>
          <w:ilvl w:val="0"/>
          <w:numId w:val="10"/>
        </w:numPr>
        <w:spacing w:after="80" w:line="300" w:lineRule="auto"/>
      </w:pPr>
      <w:r>
        <w:rPr>
          <w:rFonts w:ascii="Calibri" w:hAnsi="Calibri"/>
          <w:b w:val="0"/>
          <w:i w:val="0"/>
          <w:color w:val="0B2B24"/>
          <w:sz w:val="22"/>
        </w:rPr>
        <w:t>□ Upload contours_1m.kml and confirm the filename, progress message, and successful contour screening report.</w:t>
      </w:r>
    </w:p>
    <w:p>
      <w:pPr>
        <w:numPr>
          <w:ilvl w:val="0"/>
          <w:numId w:val="10"/>
        </w:numPr>
        <w:spacing w:after="80" w:line="300" w:lineRule="auto"/>
      </w:pPr>
      <w:r>
        <w:rPr>
          <w:rFonts w:ascii="Calibri" w:hAnsi="Calibri"/>
          <w:b w:val="0"/>
          <w:i w:val="0"/>
          <w:color w:val="0B2B24"/>
          <w:sz w:val="22"/>
        </w:rPr>
        <w:t>□ Confirm all 1,355 contours are represented, the uploaded extent is visible, and the legend distinguishes catchment, contours, drainage path, outlet, and options.</w:t>
      </w:r>
    </w:p>
    <w:p>
      <w:pPr>
        <w:numPr>
          <w:ilvl w:val="0"/>
          <w:numId w:val="10"/>
        </w:numPr>
        <w:spacing w:after="80" w:line="300" w:lineRule="auto"/>
      </w:pPr>
      <w:r>
        <w:rPr>
          <w:rFonts w:ascii="Calibri" w:hAnsi="Calibri"/>
          <w:b w:val="0"/>
          <w:i w:val="0"/>
          <w:color w:val="0B2B24"/>
          <w:sz w:val="22"/>
        </w:rPr>
        <w:t>□ Confirm three option cards, 352.9523 ha selected catchment, 1,280.13 mm rainfall, 1,355,474.66 m³ runoff, and 1,084,379.73 m³ capacity.</w:t>
      </w:r>
    </w:p>
    <w:p>
      <w:pPr>
        <w:pStyle w:val="Heading2"/>
      </w:pPr>
      <w:bookmarkStart w:id="216" w:name="test_216"/>
      <w:r>
        <w:t>Alternative point</w:t>
      </w:r>
      <w:bookmarkEnd w:id="216"/>
    </w:p>
    <w:p>
      <w:pPr>
        <w:numPr>
          <w:ilvl w:val="0"/>
          <w:numId w:val="10"/>
        </w:numPr>
        <w:spacing w:after="80" w:line="300" w:lineRule="auto"/>
      </w:pPr>
      <w:r>
        <w:rPr>
          <w:rFonts w:ascii="Calibri" w:hAnsi="Calibri"/>
          <w:b w:val="0"/>
          <w:i w:val="0"/>
          <w:color w:val="0B2B24"/>
          <w:sz w:val="22"/>
        </w:rPr>
        <w:t>□ Choose option 3 and recompute.</w:t>
      </w:r>
    </w:p>
    <w:p>
      <w:pPr>
        <w:numPr>
          <w:ilvl w:val="0"/>
          <w:numId w:val="10"/>
        </w:numPr>
        <w:spacing w:after="80" w:line="300" w:lineRule="auto"/>
      </w:pPr>
      <w:r>
        <w:rPr>
          <w:rFonts w:ascii="Calibri" w:hAnsi="Calibri"/>
          <w:b w:val="0"/>
          <w:i w:val="0"/>
          <w:color w:val="0B2B24"/>
          <w:sz w:val="22"/>
        </w:rPr>
        <w:t>□ Confirm the selected marker changes and catchment becomes 301.1143 ha.</w:t>
      </w:r>
    </w:p>
    <w:p>
      <w:pPr>
        <w:numPr>
          <w:ilvl w:val="0"/>
          <w:numId w:val="10"/>
        </w:numPr>
        <w:spacing w:after="80" w:line="300" w:lineRule="auto"/>
      </w:pPr>
      <w:r>
        <w:rPr>
          <w:rFonts w:ascii="Calibri" w:hAnsi="Calibri"/>
          <w:b w:val="0"/>
          <w:i w:val="0"/>
          <w:color w:val="0B2B24"/>
          <w:sz w:val="22"/>
        </w:rPr>
        <w:t>□ Confirm runoff becomes 1,156,396.32 m³ and capacity becomes 925,117.06 m³.</w:t>
      </w:r>
    </w:p>
    <w:p>
      <w:pPr>
        <w:pStyle w:val="Heading2"/>
      </w:pPr>
      <w:bookmarkStart w:id="217" w:name="test_217"/>
      <w:r>
        <w:t>Region selection</w:t>
      </w:r>
      <w:bookmarkEnd w:id="217"/>
    </w:p>
    <w:p>
      <w:pPr>
        <w:numPr>
          <w:ilvl w:val="0"/>
          <w:numId w:val="10"/>
        </w:numPr>
        <w:spacing w:after="80" w:line="300" w:lineRule="auto"/>
      </w:pPr>
      <w:r>
        <w:rPr>
          <w:rFonts w:ascii="Calibri" w:hAnsi="Calibri"/>
          <w:b w:val="0"/>
          <w:i w:val="0"/>
          <w:color w:val="0B2B24"/>
          <w:sz w:val="22"/>
        </w:rPr>
        <w:t>□ Activate Draw region and create a polygon around option 2.</w:t>
      </w:r>
    </w:p>
    <w:p>
      <w:pPr>
        <w:numPr>
          <w:ilvl w:val="0"/>
          <w:numId w:val="10"/>
        </w:numPr>
        <w:spacing w:after="80" w:line="300" w:lineRule="auto"/>
      </w:pPr>
      <w:r>
        <w:rPr>
          <w:rFonts w:ascii="Calibri" w:hAnsi="Calibri"/>
          <w:b w:val="0"/>
          <w:i w:val="0"/>
          <w:color w:val="0B2B24"/>
          <w:sz w:val="22"/>
        </w:rPr>
        <w:t>□ Confirm the chosen point is inside the polygon and the catchment becomes 381.4633 ha.</w:t>
      </w:r>
    </w:p>
    <w:p>
      <w:pPr>
        <w:numPr>
          <w:ilvl w:val="0"/>
          <w:numId w:val="10"/>
        </w:numPr>
        <w:spacing w:after="80" w:line="300" w:lineRule="auto"/>
      </w:pPr>
      <w:r>
        <w:rPr>
          <w:rFonts w:ascii="Calibri" w:hAnsi="Calibri"/>
          <w:b w:val="0"/>
          <w:i w:val="0"/>
          <w:color w:val="0B2B24"/>
          <w:sz w:val="22"/>
        </w:rPr>
        <w:t>□ Confirm clearing the selection returns the workflow to automatic mode.</w:t>
      </w:r>
    </w:p>
    <w:p>
      <w:pPr>
        <w:pStyle w:val="Heading2"/>
      </w:pPr>
      <w:bookmarkStart w:id="218" w:name="test_218"/>
      <w:r>
        <w:t>Negative and safety</w:t>
      </w:r>
      <w:bookmarkEnd w:id="218"/>
    </w:p>
    <w:p>
      <w:pPr>
        <w:numPr>
          <w:ilvl w:val="0"/>
          <w:numId w:val="10"/>
        </w:numPr>
        <w:spacing w:after="80" w:line="300" w:lineRule="auto"/>
      </w:pPr>
      <w:r>
        <w:rPr>
          <w:rFonts w:ascii="Calibri" w:hAnsi="Calibri"/>
          <w:b w:val="0"/>
          <w:i w:val="0"/>
          <w:color w:val="0B2B24"/>
          <w:sz w:val="22"/>
        </w:rPr>
        <w:t>□ Attempt a point outside the uploaded extent; verify a clear rejection rather than a result.</w:t>
      </w:r>
    </w:p>
    <w:p>
      <w:pPr>
        <w:numPr>
          <w:ilvl w:val="0"/>
          <w:numId w:val="10"/>
        </w:numPr>
        <w:spacing w:after="80" w:line="300" w:lineRule="auto"/>
      </w:pPr>
      <w:r>
        <w:rPr>
          <w:rFonts w:ascii="Calibri" w:hAnsi="Calibri"/>
          <w:b w:val="0"/>
          <w:i w:val="0"/>
          <w:color w:val="0B2B24"/>
          <w:sz w:val="22"/>
        </w:rPr>
        <w:t>□ Attempt a point inside a detected-water buffer in a controlled test; verify invalid_contour_selection.</w:t>
      </w:r>
    </w:p>
    <w:p>
      <w:pPr>
        <w:numPr>
          <w:ilvl w:val="0"/>
          <w:numId w:val="10"/>
        </w:numPr>
        <w:spacing w:after="80" w:line="300" w:lineRule="auto"/>
      </w:pPr>
      <w:r>
        <w:rPr>
          <w:rFonts w:ascii="Calibri" w:hAnsi="Calibri"/>
          <w:b w:val="0"/>
          <w:i w:val="0"/>
          <w:color w:val="0B2B24"/>
          <w:sz w:val="22"/>
        </w:rPr>
        <w:t>□ Read the warning that satellite non-detection does not prove a river is absent.</w:t>
      </w:r>
    </w:p>
    <w:p>
      <w:pPr>
        <w:pStyle w:val="Heading2"/>
      </w:pPr>
      <w:bookmarkStart w:id="219" w:name="test_219"/>
      <w:r>
        <w:t>KMZ and live analysis</w:t>
      </w:r>
      <w:bookmarkEnd w:id="219"/>
    </w:p>
    <w:p>
      <w:pPr>
        <w:numPr>
          <w:ilvl w:val="0"/>
          <w:numId w:val="10"/>
        </w:numPr>
        <w:spacing w:after="80" w:line="300" w:lineRule="auto"/>
      </w:pPr>
      <w:r>
        <w:rPr>
          <w:rFonts w:ascii="Calibri" w:hAnsi="Calibri"/>
          <w:b w:val="0"/>
          <w:i w:val="0"/>
          <w:color w:val="0B2B24"/>
          <w:sz w:val="22"/>
        </w:rPr>
        <w:t>□ Upload the KMZ equivalent and confirm the same automatic output.</w:t>
      </w:r>
    </w:p>
    <w:p>
      <w:pPr>
        <w:numPr>
          <w:ilvl w:val="0"/>
          <w:numId w:val="10"/>
        </w:numPr>
        <w:spacing w:after="80" w:line="300" w:lineRule="auto"/>
      </w:pPr>
      <w:r>
        <w:rPr>
          <w:rFonts w:ascii="Calibri" w:hAnsi="Calibri"/>
          <w:b w:val="0"/>
          <w:i w:val="0"/>
          <w:color w:val="0B2B24"/>
          <w:sz w:val="22"/>
        </w:rPr>
        <w:t>□ Run live analysis at 21.24, 81.29 with a 2 km radius.</w:t>
      </w:r>
    </w:p>
    <w:p>
      <w:pPr>
        <w:numPr>
          <w:ilvl w:val="0"/>
          <w:numId w:val="10"/>
        </w:numPr>
        <w:spacing w:after="80" w:line="300" w:lineRule="auto"/>
      </w:pPr>
      <w:r>
        <w:rPr>
          <w:rFonts w:ascii="Calibri" w:hAnsi="Calibri"/>
          <w:b w:val="0"/>
          <w:i w:val="0"/>
          <w:color w:val="0B2B24"/>
          <w:sz w:val="22"/>
        </w:rPr>
        <w:t>□ Confirm three live options, 35 rainfall years, annual runoff, pond geometry, sources, and degraded-quality explanations.</w:t>
      </w:r>
    </w:p>
    <w:p>
      <w:pPr>
        <w:pStyle w:val="Heading1"/>
        <w:pageBreakBefore/>
      </w:pPr>
      <w:bookmarkStart w:id="220" w:name="appendix_viva"/>
      <w:r>
        <w:t>Appendix F. Viva preparation</w:t>
      </w:r>
      <w:bookmarkEnd w:id="220"/>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trPr>
        <w:tc>
          <w:tcPr>
            <w:tcW w:type="dxa" w:w="3300"/>
            <w:tcMar>
              <w:top w:w="80" w:type="dxa"/>
              <w:start w:w="120" w:type="dxa"/>
              <w:bottom w:w="80" w:type="dxa"/>
              <w:end w:w="120" w:type="dxa"/>
            </w:tcMar>
            <w:vAlign w:val="center"/>
            <w:shd w:fill="DDF8EE"/>
          </w:tcPr>
          <w:p>
            <w:pPr>
              <w:spacing w:after="0"/>
            </w:pPr>
            <w:r/>
            <w:r>
              <w:rPr>
                <w:rFonts w:ascii="Calibri" w:hAnsi="Calibri"/>
                <w:b/>
                <w:color w:val="0B2B24"/>
                <w:sz w:val="17"/>
              </w:rPr>
              <w:t>Question</w:t>
            </w:r>
          </w:p>
        </w:tc>
        <w:tc>
          <w:tcPr>
            <w:tcW w:type="dxa" w:w="6060"/>
            <w:tcMar>
              <w:top w:w="80" w:type="dxa"/>
              <w:start w:w="120" w:type="dxa"/>
              <w:bottom w:w="80" w:type="dxa"/>
              <w:end w:w="120" w:type="dxa"/>
            </w:tcMar>
            <w:vAlign w:val="center"/>
            <w:shd w:fill="DDF8EE"/>
          </w:tcPr>
          <w:p>
            <w:pPr>
              <w:spacing w:after="0"/>
            </w:pPr>
            <w:r/>
            <w:r>
              <w:rPr>
                <w:rFonts w:ascii="Calibri" w:hAnsi="Calibri"/>
                <w:b/>
                <w:color w:val="0B2B24"/>
                <w:sz w:val="17"/>
              </w:rPr>
              <w:t>Short answer</w:t>
            </w:r>
          </w:p>
        </w:tc>
      </w:tr>
      <w:tr>
        <w:tc>
          <w:tcPr>
            <w:tcW w:type="dxa" w:w="3300"/>
          </w:tcPr>
          <w:p>
            <w:pPr>
              <w:spacing w:after="0" w:line="264" w:lineRule="auto"/>
            </w:pPr>
            <w:r/>
            <w:r>
              <w:rPr>
                <w:rFonts w:ascii="Calibri" w:hAnsi="Calibri"/>
                <w:b w:val="0"/>
                <w:i w:val="0"/>
                <w:color w:val="0B2B24"/>
                <w:sz w:val="17"/>
              </w:rPr>
              <w:t>Why is contour output degraded?</w:t>
            </w:r>
          </w:p>
        </w:tc>
        <w:tc>
          <w:tcPr>
            <w:tcW w:type="dxa" w:w="6060"/>
          </w:tcPr>
          <w:p>
            <w:pPr>
              <w:spacing w:after="0" w:line="264" w:lineRule="auto"/>
            </w:pPr>
            <w:r/>
            <w:r>
              <w:rPr>
                <w:rFonts w:ascii="Calibri" w:hAnsi="Calibri"/>
                <w:b w:val="0"/>
                <w:i w:val="0"/>
                <w:color w:val="0B2B24"/>
                <w:sz w:val="17"/>
              </w:rPr>
              <w:t>Because the raster is interpolated between vector isolines and is not equivalent to a surveyed DEM.</w:t>
            </w:r>
          </w:p>
        </w:tc>
      </w:tr>
      <w:tr>
        <w:tc>
          <w:tcPr>
            <w:tcW w:type="dxa" w:w="3300"/>
          </w:tcPr>
          <w:p>
            <w:pPr>
              <w:spacing w:after="0" w:line="264" w:lineRule="auto"/>
            </w:pPr>
            <w:r/>
            <w:r>
              <w:rPr>
                <w:rFonts w:ascii="Calibri" w:hAnsi="Calibri"/>
                <w:b w:val="0"/>
                <w:i w:val="0"/>
                <w:color w:val="0B2B24"/>
                <w:sz w:val="17"/>
              </w:rPr>
              <w:t>Why Priority-Flood?</w:t>
            </w:r>
          </w:p>
        </w:tc>
        <w:tc>
          <w:tcPr>
            <w:tcW w:type="dxa" w:w="6060"/>
          </w:tcPr>
          <w:p>
            <w:pPr>
              <w:spacing w:after="0" w:line="264" w:lineRule="auto"/>
            </w:pPr>
            <w:r/>
            <w:r>
              <w:rPr>
                <w:rFonts w:ascii="Calibri" w:hAnsi="Calibri"/>
                <w:b w:val="0"/>
                <w:i w:val="0"/>
                <w:color w:val="0B2B24"/>
                <w:sz w:val="17"/>
              </w:rPr>
              <w:t>It removes artificial sinks in a deterministic, efficient way so the D8 network can drain.</w:t>
            </w:r>
          </w:p>
        </w:tc>
      </w:tr>
      <w:tr>
        <w:tc>
          <w:tcPr>
            <w:tcW w:type="dxa" w:w="3300"/>
          </w:tcPr>
          <w:p>
            <w:pPr>
              <w:spacing w:after="0" w:line="264" w:lineRule="auto"/>
            </w:pPr>
            <w:r/>
            <w:r>
              <w:rPr>
                <w:rFonts w:ascii="Calibri" w:hAnsi="Calibri"/>
                <w:b w:val="0"/>
                <w:i w:val="0"/>
                <w:color w:val="0B2B24"/>
                <w:sz w:val="17"/>
              </w:rPr>
              <w:t>What is D8?</w:t>
            </w:r>
          </w:p>
        </w:tc>
        <w:tc>
          <w:tcPr>
            <w:tcW w:type="dxa" w:w="6060"/>
          </w:tcPr>
          <w:p>
            <w:pPr>
              <w:spacing w:after="0" w:line="264" w:lineRule="auto"/>
            </w:pPr>
            <w:r/>
            <w:r>
              <w:rPr>
                <w:rFonts w:ascii="Calibri" w:hAnsi="Calibri"/>
                <w:b w:val="0"/>
                <w:i w:val="0"/>
                <w:color w:val="0B2B24"/>
                <w:sz w:val="17"/>
              </w:rPr>
              <w:t>A single-flow-direction model where each cell drains to its steepest lower neighbor among eight choices.</w:t>
            </w:r>
          </w:p>
        </w:tc>
      </w:tr>
      <w:tr>
        <w:tc>
          <w:tcPr>
            <w:tcW w:type="dxa" w:w="3300"/>
          </w:tcPr>
          <w:p>
            <w:pPr>
              <w:spacing w:after="0" w:line="264" w:lineRule="auto"/>
            </w:pPr>
            <w:r/>
            <w:r>
              <w:rPr>
                <w:rFonts w:ascii="Calibri" w:hAnsi="Calibri"/>
                <w:b w:val="0"/>
                <w:i w:val="0"/>
                <w:color w:val="0B2B24"/>
                <w:sz w:val="17"/>
              </w:rPr>
              <w:t>What was the major catchment fix?</w:t>
            </w:r>
          </w:p>
        </w:tc>
        <w:tc>
          <w:tcPr>
            <w:tcW w:type="dxa" w:w="6060"/>
          </w:tcPr>
          <w:p>
            <w:pPr>
              <w:spacing w:after="0" w:line="264" w:lineRule="auto"/>
            </w:pPr>
            <w:r/>
            <w:r>
              <w:rPr>
                <w:rFonts w:ascii="Calibri" w:hAnsi="Calibri"/>
                <w:b w:val="0"/>
                <w:i w:val="0"/>
                <w:color w:val="0B2B24"/>
                <w:sz w:val="17"/>
              </w:rPr>
              <w:t>Reverse traversal now starts at the selected pond cell, not the map-edge outlet.</w:t>
            </w:r>
          </w:p>
        </w:tc>
      </w:tr>
      <w:tr>
        <w:tc>
          <w:tcPr>
            <w:tcW w:type="dxa" w:w="3300"/>
          </w:tcPr>
          <w:p>
            <w:pPr>
              <w:spacing w:after="0" w:line="264" w:lineRule="auto"/>
            </w:pPr>
            <w:r/>
            <w:r>
              <w:rPr>
                <w:rFonts w:ascii="Calibri" w:hAnsi="Calibri"/>
                <w:b w:val="0"/>
                <w:i w:val="0"/>
                <w:color w:val="0B2B24"/>
                <w:sz w:val="17"/>
              </w:rPr>
              <w:t>Why offer three options?</w:t>
            </w:r>
          </w:p>
        </w:tc>
        <w:tc>
          <w:tcPr>
            <w:tcW w:type="dxa" w:w="6060"/>
          </w:tcPr>
          <w:p>
            <w:pPr>
              <w:spacing w:after="0" w:line="264" w:lineRule="auto"/>
            </w:pPr>
            <w:r/>
            <w:r>
              <w:rPr>
                <w:rFonts w:ascii="Calibri" w:hAnsi="Calibri"/>
                <w:b w:val="0"/>
                <w:i w:val="0"/>
                <w:color w:val="0B2B24"/>
                <w:sz w:val="17"/>
              </w:rPr>
              <w:t>A comparative model should expose spatial alternatives; one maximum is not an engineering approval.</w:t>
            </w:r>
          </w:p>
        </w:tc>
      </w:tr>
      <w:tr>
        <w:tc>
          <w:tcPr>
            <w:tcW w:type="dxa" w:w="3300"/>
          </w:tcPr>
          <w:p>
            <w:pPr>
              <w:spacing w:after="0" w:line="264" w:lineRule="auto"/>
            </w:pPr>
            <w:r/>
            <w:r>
              <w:rPr>
                <w:rFonts w:ascii="Calibri" w:hAnsi="Calibri"/>
                <w:b w:val="0"/>
                <w:i w:val="0"/>
                <w:color w:val="0B2B24"/>
                <w:sz w:val="17"/>
              </w:rPr>
              <w:t>Can a user force any point?</w:t>
            </w:r>
          </w:p>
        </w:tc>
        <w:tc>
          <w:tcPr>
            <w:tcW w:type="dxa" w:w="6060"/>
          </w:tcPr>
          <w:p>
            <w:pPr>
              <w:spacing w:after="0" w:line="264" w:lineRule="auto"/>
            </w:pPr>
            <w:r/>
            <w:r>
              <w:rPr>
                <w:rFonts w:ascii="Calibri" w:hAnsi="Calibri"/>
                <w:b w:val="0"/>
                <w:i w:val="0"/>
                <w:color w:val="0B2B24"/>
                <w:sz w:val="17"/>
              </w:rPr>
              <w:t>No. Clicked points are snapped and still must pass boundary, outlet, water, and catchment gates.</w:t>
            </w:r>
          </w:p>
        </w:tc>
      </w:tr>
      <w:tr>
        <w:tc>
          <w:tcPr>
            <w:tcW w:type="dxa" w:w="3300"/>
          </w:tcPr>
          <w:p>
            <w:pPr>
              <w:spacing w:after="0" w:line="264" w:lineRule="auto"/>
            </w:pPr>
            <w:r/>
            <w:r>
              <w:rPr>
                <w:rFonts w:ascii="Calibri" w:hAnsi="Calibri"/>
                <w:b w:val="0"/>
                <w:i w:val="0"/>
                <w:color w:val="0B2B24"/>
                <w:sz w:val="17"/>
              </w:rPr>
              <w:t>How are rivers handled?</w:t>
            </w:r>
          </w:p>
        </w:tc>
        <w:tc>
          <w:tcPr>
            <w:tcW w:type="dxa" w:w="6060"/>
          </w:tcPr>
          <w:p>
            <w:pPr>
              <w:spacing w:after="0" w:line="264" w:lineRule="auto"/>
            </w:pPr>
            <w:r/>
            <w:r>
              <w:rPr>
                <w:rFonts w:ascii="Calibri" w:hAnsi="Calibri"/>
                <w:b w:val="0"/>
                <w:i w:val="0"/>
                <w:color w:val="0B2B24"/>
                <w:sz w:val="17"/>
              </w:rPr>
              <w:t>Detected water plus 60 m is excluded, but field/hydrography verification remains mandatory because RGB can miss channels.</w:t>
            </w:r>
          </w:p>
        </w:tc>
      </w:tr>
      <w:tr>
        <w:tc>
          <w:tcPr>
            <w:tcW w:type="dxa" w:w="3300"/>
          </w:tcPr>
          <w:p>
            <w:pPr>
              <w:spacing w:after="0" w:line="264" w:lineRule="auto"/>
            </w:pPr>
            <w:r/>
            <w:r>
              <w:rPr>
                <w:rFonts w:ascii="Calibri" w:hAnsi="Calibri"/>
                <w:b w:val="0"/>
                <w:i w:val="0"/>
                <w:color w:val="0B2B24"/>
                <w:sz w:val="17"/>
              </w:rPr>
              <w:t>How is annual runoff calculated?</w:t>
            </w:r>
          </w:p>
        </w:tc>
        <w:tc>
          <w:tcPr>
            <w:tcW w:type="dxa" w:w="6060"/>
          </w:tcPr>
          <w:p>
            <w:pPr>
              <w:spacing w:after="0" w:line="264" w:lineRule="auto"/>
            </w:pPr>
            <w:r/>
            <w:r>
              <w:rPr>
                <w:rFonts w:ascii="Calibri" w:hAnsi="Calibri"/>
                <w:b w:val="0"/>
                <w:i w:val="0"/>
                <w:color w:val="0B2B24"/>
                <w:sz w:val="17"/>
              </w:rPr>
              <w:t>V = C × A × P, with P converted from millimetres to metres.</w:t>
            </w:r>
          </w:p>
        </w:tc>
      </w:tr>
      <w:tr>
        <w:tc>
          <w:tcPr>
            <w:tcW w:type="dxa" w:w="3300"/>
          </w:tcPr>
          <w:p>
            <w:pPr>
              <w:spacing w:after="0" w:line="264" w:lineRule="auto"/>
            </w:pPr>
            <w:r/>
            <w:r>
              <w:rPr>
                <w:rFonts w:ascii="Calibri" w:hAnsi="Calibri"/>
                <w:b w:val="0"/>
                <w:i w:val="0"/>
                <w:color w:val="0B2B24"/>
                <w:sz w:val="17"/>
              </w:rPr>
              <w:t>Is rainfall a design storm?</w:t>
            </w:r>
          </w:p>
        </w:tc>
        <w:tc>
          <w:tcPr>
            <w:tcW w:type="dxa" w:w="6060"/>
          </w:tcPr>
          <w:p>
            <w:pPr>
              <w:spacing w:after="0" w:line="264" w:lineRule="auto"/>
            </w:pPr>
            <w:r/>
            <w:r>
              <w:rPr>
                <w:rFonts w:ascii="Calibri" w:hAnsi="Calibri"/>
                <w:b w:val="0"/>
                <w:i w:val="0"/>
                <w:color w:val="0B2B24"/>
                <w:sz w:val="17"/>
              </w:rPr>
              <w:t>No. It is a multi-year climatological mean; peak-flow and spillway design need approved intensity-duration-frequency data.</w:t>
            </w:r>
          </w:p>
        </w:tc>
      </w:tr>
      <w:tr>
        <w:tc>
          <w:tcPr>
            <w:tcW w:type="dxa" w:w="3300"/>
          </w:tcPr>
          <w:p>
            <w:pPr>
              <w:spacing w:after="0" w:line="264" w:lineRule="auto"/>
            </w:pPr>
            <w:r/>
            <w:r>
              <w:rPr>
                <w:rFonts w:ascii="Calibri" w:hAnsi="Calibri"/>
                <w:b w:val="0"/>
                <w:i w:val="0"/>
                <w:color w:val="0B2B24"/>
                <w:sz w:val="17"/>
              </w:rPr>
              <w:t>What does pond capacity mean?</w:t>
            </w:r>
          </w:p>
        </w:tc>
        <w:tc>
          <w:tcPr>
            <w:tcW w:type="dxa" w:w="6060"/>
          </w:tcPr>
          <w:p>
            <w:pPr>
              <w:spacing w:after="0" w:line="264" w:lineRule="auto"/>
            </w:pPr>
            <w:r/>
            <w:r>
              <w:rPr>
                <w:rFonts w:ascii="Calibri" w:hAnsi="Calibri"/>
                <w:b w:val="0"/>
                <w:i w:val="0"/>
                <w:color w:val="0B2B24"/>
                <w:sz w:val="17"/>
              </w:rPr>
              <w:t>Preliminary storage to water level from rectangular-frustum geometry, constrained by available area.</w:t>
            </w:r>
          </w:p>
        </w:tc>
      </w:tr>
      <w:tr>
        <w:tc>
          <w:tcPr>
            <w:tcW w:type="dxa" w:w="3300"/>
          </w:tcPr>
          <w:p>
            <w:pPr>
              <w:spacing w:after="0" w:line="264" w:lineRule="auto"/>
            </w:pPr>
            <w:r/>
            <w:r>
              <w:rPr>
                <w:rFonts w:ascii="Calibri" w:hAnsi="Calibri"/>
                <w:b w:val="0"/>
                <w:i w:val="0"/>
                <w:color w:val="0B2B24"/>
                <w:sz w:val="17"/>
              </w:rPr>
              <w:t>Why not claim government land?</w:t>
            </w:r>
          </w:p>
        </w:tc>
        <w:tc>
          <w:tcPr>
            <w:tcW w:type="dxa" w:w="6060"/>
          </w:tcPr>
          <w:p>
            <w:pPr>
              <w:spacing w:after="0" w:line="264" w:lineRule="auto"/>
            </w:pPr>
            <w:r/>
            <w:r>
              <w:rPr>
                <w:rFonts w:ascii="Calibri" w:hAnsi="Calibri"/>
                <w:b w:val="0"/>
                <w:i w:val="0"/>
                <w:color w:val="0B2B24"/>
                <w:sz w:val="17"/>
              </w:rPr>
              <w:t>Satellite colour cannot prove ownership, tenure, consent, or legal availability.</w:t>
            </w:r>
          </w:p>
        </w:tc>
      </w:tr>
      <w:tr>
        <w:tc>
          <w:tcPr>
            <w:tcW w:type="dxa" w:w="3300"/>
          </w:tcPr>
          <w:p>
            <w:pPr>
              <w:spacing w:after="0" w:line="264" w:lineRule="auto"/>
            </w:pPr>
            <w:r/>
            <w:r>
              <w:rPr>
                <w:rFonts w:ascii="Calibri" w:hAnsi="Calibri"/>
                <w:b w:val="0"/>
                <w:i w:val="0"/>
                <w:color w:val="0B2B24"/>
                <w:sz w:val="17"/>
              </w:rPr>
              <w:t>How was the result verified?</w:t>
            </w:r>
          </w:p>
        </w:tc>
        <w:tc>
          <w:tcPr>
            <w:tcW w:type="dxa" w:w="6060"/>
          </w:tcPr>
          <w:p>
            <w:pPr>
              <w:spacing w:after="0" w:line="264" w:lineRule="auto"/>
            </w:pPr>
            <w:r/>
            <w:r>
              <w:rPr>
                <w:rFonts w:ascii="Calibri" w:hAnsi="Calibri"/>
                <w:b w:val="0"/>
                <w:i w:val="0"/>
                <w:color w:val="0B2B24"/>
                <w:sz w:val="17"/>
              </w:rPr>
              <w:t>68 backend tests, 11 frontend tests, lint/build gates, exact KML/KMZ production uploads, and manual selection checks.</w:t>
            </w:r>
          </w:p>
        </w:tc>
      </w:tr>
    </w:tbl>
    <w:p>
      <w:pPr>
        <w:spacing w:before="80" w:after="80"/>
      </w:pPr>
    </w:p>
    <w:p>
      <w:pPr>
        <w:pStyle w:val="Heading1"/>
        <w:pageBreakBefore/>
      </w:pPr>
      <w:bookmarkStart w:id="221" w:name="appendix_glossary"/>
      <w:r>
        <w:t>Appendix G. Glossary</w:t>
      </w:r>
      <w:bookmarkEnd w:id="221"/>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center"/>
            <w:shd w:fill="DDF8EE"/>
          </w:tcPr>
          <w:p>
            <w:pPr>
              <w:spacing w:after="0"/>
            </w:pPr>
            <w:r/>
            <w:r>
              <w:rPr>
                <w:rFonts w:ascii="Calibri" w:hAnsi="Calibri"/>
                <w:b/>
                <w:color w:val="0B2B24"/>
                <w:sz w:val="18"/>
              </w:rPr>
              <w:t>Term</w:t>
            </w:r>
          </w:p>
        </w:tc>
        <w:tc>
          <w:tcPr>
            <w:tcW w:type="dxa" w:w="6660"/>
            <w:tcMar>
              <w:top w:w="80" w:type="dxa"/>
              <w:start w:w="120" w:type="dxa"/>
              <w:bottom w:w="80" w:type="dxa"/>
              <w:end w:w="120" w:type="dxa"/>
            </w:tcMar>
            <w:vAlign w:val="center"/>
            <w:shd w:fill="DDF8EE"/>
          </w:tcPr>
          <w:p>
            <w:pPr>
              <w:spacing w:after="0"/>
            </w:pPr>
            <w:r/>
            <w:r>
              <w:rPr>
                <w:rFonts w:ascii="Calibri" w:hAnsi="Calibri"/>
                <w:b/>
                <w:color w:val="0B2B24"/>
                <w:sz w:val="18"/>
              </w:rPr>
              <w:t>Plain-language meaning</w:t>
            </w:r>
          </w:p>
        </w:tc>
      </w:tr>
      <w:tr>
        <w:tc>
          <w:tcPr>
            <w:tcW w:type="dxa" w:w="2700"/>
          </w:tcPr>
          <w:p>
            <w:pPr>
              <w:spacing w:after="0" w:line="264" w:lineRule="auto"/>
            </w:pPr>
            <w:r/>
            <w:r>
              <w:rPr>
                <w:rFonts w:ascii="Calibri" w:hAnsi="Calibri"/>
                <w:b w:val="0"/>
                <w:i w:val="0"/>
                <w:color w:val="0B2B24"/>
                <w:sz w:val="18"/>
              </w:rPr>
              <w:t>Catchment / watershed</w:t>
            </w:r>
          </w:p>
        </w:tc>
        <w:tc>
          <w:tcPr>
            <w:tcW w:type="dxa" w:w="6660"/>
          </w:tcPr>
          <w:p>
            <w:pPr>
              <w:spacing w:after="0" w:line="264" w:lineRule="auto"/>
            </w:pPr>
            <w:r/>
            <w:r>
              <w:rPr>
                <w:rFonts w:ascii="Calibri" w:hAnsi="Calibri"/>
                <w:b w:val="0"/>
                <w:i w:val="0"/>
                <w:color w:val="0B2B24"/>
                <w:sz w:val="18"/>
              </w:rPr>
              <w:t>Land area whose modelled drainage reaches the selected point</w:t>
            </w:r>
          </w:p>
        </w:tc>
      </w:tr>
      <w:tr>
        <w:tc>
          <w:tcPr>
            <w:tcW w:type="dxa" w:w="2700"/>
          </w:tcPr>
          <w:p>
            <w:pPr>
              <w:spacing w:after="0" w:line="264" w:lineRule="auto"/>
            </w:pPr>
            <w:r/>
            <w:r>
              <w:rPr>
                <w:rFonts w:ascii="Calibri" w:hAnsi="Calibri"/>
                <w:b w:val="0"/>
                <w:i w:val="0"/>
                <w:color w:val="0B2B24"/>
                <w:sz w:val="18"/>
              </w:rPr>
              <w:t>Contour</w:t>
            </w:r>
          </w:p>
        </w:tc>
        <w:tc>
          <w:tcPr>
            <w:tcW w:type="dxa" w:w="6660"/>
          </w:tcPr>
          <w:p>
            <w:pPr>
              <w:spacing w:after="0" w:line="264" w:lineRule="auto"/>
            </w:pPr>
            <w:r/>
            <w:r>
              <w:rPr>
                <w:rFonts w:ascii="Calibri" w:hAnsi="Calibri"/>
                <w:b w:val="0"/>
                <w:i w:val="0"/>
                <w:color w:val="0B2B24"/>
                <w:sz w:val="18"/>
              </w:rPr>
              <w:t>Line connecting places with equal elevation</w:t>
            </w:r>
          </w:p>
        </w:tc>
      </w:tr>
      <w:tr>
        <w:tc>
          <w:tcPr>
            <w:tcW w:type="dxa" w:w="2700"/>
          </w:tcPr>
          <w:p>
            <w:pPr>
              <w:spacing w:after="0" w:line="264" w:lineRule="auto"/>
            </w:pPr>
            <w:r/>
            <w:r>
              <w:rPr>
                <w:rFonts w:ascii="Calibri" w:hAnsi="Calibri"/>
                <w:b w:val="0"/>
                <w:i w:val="0"/>
                <w:color w:val="0B2B24"/>
                <w:sz w:val="18"/>
              </w:rPr>
              <w:t>DEM</w:t>
            </w:r>
          </w:p>
        </w:tc>
        <w:tc>
          <w:tcPr>
            <w:tcW w:type="dxa" w:w="6660"/>
          </w:tcPr>
          <w:p>
            <w:pPr>
              <w:spacing w:after="0" w:line="264" w:lineRule="auto"/>
            </w:pPr>
            <w:r/>
            <w:r>
              <w:rPr>
                <w:rFonts w:ascii="Calibri" w:hAnsi="Calibri"/>
                <w:b w:val="0"/>
                <w:i w:val="0"/>
                <w:color w:val="0B2B24"/>
                <w:sz w:val="18"/>
              </w:rPr>
              <w:t>Digital elevation model: a grid of ground elevations</w:t>
            </w:r>
          </w:p>
        </w:tc>
      </w:tr>
      <w:tr>
        <w:tc>
          <w:tcPr>
            <w:tcW w:type="dxa" w:w="2700"/>
          </w:tcPr>
          <w:p>
            <w:pPr>
              <w:spacing w:after="0" w:line="264" w:lineRule="auto"/>
            </w:pPr>
            <w:r/>
            <w:r>
              <w:rPr>
                <w:rFonts w:ascii="Calibri" w:hAnsi="Calibri"/>
                <w:b w:val="0"/>
                <w:i w:val="0"/>
                <w:color w:val="0B2B24"/>
                <w:sz w:val="18"/>
              </w:rPr>
              <w:t>D8</w:t>
            </w:r>
          </w:p>
        </w:tc>
        <w:tc>
          <w:tcPr>
            <w:tcW w:type="dxa" w:w="6660"/>
          </w:tcPr>
          <w:p>
            <w:pPr>
              <w:spacing w:after="0" w:line="264" w:lineRule="auto"/>
            </w:pPr>
            <w:r/>
            <w:r>
              <w:rPr>
                <w:rFonts w:ascii="Calibri" w:hAnsi="Calibri"/>
                <w:b w:val="0"/>
                <w:i w:val="0"/>
                <w:color w:val="0B2B24"/>
                <w:sz w:val="18"/>
              </w:rPr>
              <w:t>Eight-neighbor single-flow-direction routing method</w:t>
            </w:r>
          </w:p>
        </w:tc>
      </w:tr>
      <w:tr>
        <w:tc>
          <w:tcPr>
            <w:tcW w:type="dxa" w:w="2700"/>
          </w:tcPr>
          <w:p>
            <w:pPr>
              <w:spacing w:after="0" w:line="264" w:lineRule="auto"/>
            </w:pPr>
            <w:r/>
            <w:r>
              <w:rPr>
                <w:rFonts w:ascii="Calibri" w:hAnsi="Calibri"/>
                <w:b w:val="0"/>
                <w:i w:val="0"/>
                <w:color w:val="0B2B24"/>
                <w:sz w:val="18"/>
              </w:rPr>
              <w:t>Flow accumulation</w:t>
            </w:r>
          </w:p>
        </w:tc>
        <w:tc>
          <w:tcPr>
            <w:tcW w:type="dxa" w:w="6660"/>
          </w:tcPr>
          <w:p>
            <w:pPr>
              <w:spacing w:after="0" w:line="264" w:lineRule="auto"/>
            </w:pPr>
            <w:r/>
            <w:r>
              <w:rPr>
                <w:rFonts w:ascii="Calibri" w:hAnsi="Calibri"/>
                <w:b w:val="0"/>
                <w:i w:val="0"/>
                <w:color w:val="0B2B24"/>
                <w:sz w:val="18"/>
              </w:rPr>
              <w:t>Count or area of upstream cells contributing through a cell</w:t>
            </w:r>
          </w:p>
        </w:tc>
      </w:tr>
      <w:tr>
        <w:tc>
          <w:tcPr>
            <w:tcW w:type="dxa" w:w="2700"/>
          </w:tcPr>
          <w:p>
            <w:pPr>
              <w:spacing w:after="0" w:line="264" w:lineRule="auto"/>
            </w:pPr>
            <w:r/>
            <w:r>
              <w:rPr>
                <w:rFonts w:ascii="Calibri" w:hAnsi="Calibri"/>
                <w:b w:val="0"/>
                <w:i w:val="0"/>
                <w:color w:val="0B2B24"/>
                <w:sz w:val="18"/>
              </w:rPr>
              <w:t>Freeboard</w:t>
            </w:r>
          </w:p>
        </w:tc>
        <w:tc>
          <w:tcPr>
            <w:tcW w:type="dxa" w:w="6660"/>
          </w:tcPr>
          <w:p>
            <w:pPr>
              <w:spacing w:after="0" w:line="264" w:lineRule="auto"/>
            </w:pPr>
            <w:r/>
            <w:r>
              <w:rPr>
                <w:rFonts w:ascii="Calibri" w:hAnsi="Calibri"/>
                <w:b w:val="0"/>
                <w:i w:val="0"/>
                <w:color w:val="0B2B24"/>
                <w:sz w:val="18"/>
              </w:rPr>
              <w:t>Vertical margin between design water level and crest</w:t>
            </w:r>
          </w:p>
        </w:tc>
      </w:tr>
      <w:tr>
        <w:tc>
          <w:tcPr>
            <w:tcW w:type="dxa" w:w="2700"/>
          </w:tcPr>
          <w:p>
            <w:pPr>
              <w:spacing w:after="0" w:line="264" w:lineRule="auto"/>
            </w:pPr>
            <w:r/>
            <w:r>
              <w:rPr>
                <w:rFonts w:ascii="Calibri" w:hAnsi="Calibri"/>
                <w:b w:val="0"/>
                <w:i w:val="0"/>
                <w:color w:val="0B2B24"/>
                <w:sz w:val="18"/>
              </w:rPr>
              <w:t>Harmonic interpolation</w:t>
            </w:r>
          </w:p>
        </w:tc>
        <w:tc>
          <w:tcPr>
            <w:tcW w:type="dxa" w:w="6660"/>
          </w:tcPr>
          <w:p>
            <w:pPr>
              <w:spacing w:after="0" w:line="264" w:lineRule="auto"/>
            </w:pPr>
            <w:r/>
            <w:r>
              <w:rPr>
                <w:rFonts w:ascii="Calibri" w:hAnsi="Calibri"/>
                <w:b w:val="0"/>
                <w:i w:val="0"/>
                <w:color w:val="0B2B24"/>
                <w:sz w:val="18"/>
              </w:rPr>
              <w:t>Smoothly estimates unknown grid cells while preserving fixed observations</w:t>
            </w:r>
          </w:p>
        </w:tc>
      </w:tr>
      <w:tr>
        <w:tc>
          <w:tcPr>
            <w:tcW w:type="dxa" w:w="2700"/>
          </w:tcPr>
          <w:p>
            <w:pPr>
              <w:spacing w:after="0" w:line="264" w:lineRule="auto"/>
            </w:pPr>
            <w:r/>
            <w:r>
              <w:rPr>
                <w:rFonts w:ascii="Calibri" w:hAnsi="Calibri"/>
                <w:b w:val="0"/>
                <w:i w:val="0"/>
                <w:color w:val="0B2B24"/>
                <w:sz w:val="18"/>
              </w:rPr>
              <w:t>Hydrology outlet</w:t>
            </w:r>
          </w:p>
        </w:tc>
        <w:tc>
          <w:tcPr>
            <w:tcW w:type="dxa" w:w="6660"/>
          </w:tcPr>
          <w:p>
            <w:pPr>
              <w:spacing w:after="0" w:line="264" w:lineRule="auto"/>
            </w:pPr>
            <w:r/>
            <w:r>
              <w:rPr>
                <w:rFonts w:ascii="Calibri" w:hAnsi="Calibri"/>
                <w:b w:val="0"/>
                <w:i w:val="0"/>
                <w:color w:val="0B2B24"/>
                <w:sz w:val="18"/>
              </w:rPr>
              <w:t>Terminal drainage cell at the analysis boundary; not automatically a pond site</w:t>
            </w:r>
          </w:p>
        </w:tc>
      </w:tr>
      <w:tr>
        <w:tc>
          <w:tcPr>
            <w:tcW w:type="dxa" w:w="2700"/>
          </w:tcPr>
          <w:p>
            <w:pPr>
              <w:spacing w:after="0" w:line="264" w:lineRule="auto"/>
            </w:pPr>
            <w:r/>
            <w:r>
              <w:rPr>
                <w:rFonts w:ascii="Calibri" w:hAnsi="Calibri"/>
                <w:b w:val="0"/>
                <w:i w:val="0"/>
                <w:color w:val="0B2B24"/>
                <w:sz w:val="18"/>
              </w:rPr>
              <w:t>KML</w:t>
            </w:r>
          </w:p>
        </w:tc>
        <w:tc>
          <w:tcPr>
            <w:tcW w:type="dxa" w:w="6660"/>
          </w:tcPr>
          <w:p>
            <w:pPr>
              <w:spacing w:after="0" w:line="264" w:lineRule="auto"/>
            </w:pPr>
            <w:r/>
            <w:r>
              <w:rPr>
                <w:rFonts w:ascii="Calibri" w:hAnsi="Calibri"/>
                <w:b w:val="0"/>
                <w:i w:val="0"/>
                <w:color w:val="0B2B24"/>
                <w:sz w:val="18"/>
              </w:rPr>
              <w:t>XML geospatial format standardized by OGC</w:t>
            </w:r>
          </w:p>
        </w:tc>
      </w:tr>
      <w:tr>
        <w:tc>
          <w:tcPr>
            <w:tcW w:type="dxa" w:w="2700"/>
          </w:tcPr>
          <w:p>
            <w:pPr>
              <w:spacing w:after="0" w:line="264" w:lineRule="auto"/>
            </w:pPr>
            <w:r/>
            <w:r>
              <w:rPr>
                <w:rFonts w:ascii="Calibri" w:hAnsi="Calibri"/>
                <w:b w:val="0"/>
                <w:i w:val="0"/>
                <w:color w:val="0B2B24"/>
                <w:sz w:val="18"/>
              </w:rPr>
              <w:t>KMZ</w:t>
            </w:r>
          </w:p>
        </w:tc>
        <w:tc>
          <w:tcPr>
            <w:tcW w:type="dxa" w:w="6660"/>
          </w:tcPr>
          <w:p>
            <w:pPr>
              <w:spacing w:after="0" w:line="264" w:lineRule="auto"/>
            </w:pPr>
            <w:r/>
            <w:r>
              <w:rPr>
                <w:rFonts w:ascii="Calibri" w:hAnsi="Calibri"/>
                <w:b w:val="0"/>
                <w:i w:val="0"/>
                <w:color w:val="0B2B24"/>
                <w:sz w:val="18"/>
              </w:rPr>
              <w:t>Compressed ZIP package containing KML</w:t>
            </w:r>
          </w:p>
        </w:tc>
      </w:tr>
      <w:tr>
        <w:tc>
          <w:tcPr>
            <w:tcW w:type="dxa" w:w="2700"/>
          </w:tcPr>
          <w:p>
            <w:pPr>
              <w:spacing w:after="0" w:line="264" w:lineRule="auto"/>
            </w:pPr>
            <w:r/>
            <w:r>
              <w:rPr>
                <w:rFonts w:ascii="Calibri" w:hAnsi="Calibri"/>
                <w:b w:val="0"/>
                <w:i w:val="0"/>
                <w:color w:val="0B2B24"/>
                <w:sz w:val="18"/>
              </w:rPr>
              <w:t>Priority-Flood</w:t>
            </w:r>
          </w:p>
        </w:tc>
        <w:tc>
          <w:tcPr>
            <w:tcW w:type="dxa" w:w="6660"/>
          </w:tcPr>
          <w:p>
            <w:pPr>
              <w:spacing w:after="0" w:line="264" w:lineRule="auto"/>
            </w:pPr>
            <w:r/>
            <w:r>
              <w:rPr>
                <w:rFonts w:ascii="Calibri" w:hAnsi="Calibri"/>
                <w:b w:val="0"/>
                <w:i w:val="0"/>
                <w:color w:val="0B2B24"/>
                <w:sz w:val="18"/>
              </w:rPr>
              <w:t>Priority-queue algorithm for conditioning depressions in a DEM</w:t>
            </w:r>
          </w:p>
        </w:tc>
      </w:tr>
      <w:tr>
        <w:tc>
          <w:tcPr>
            <w:tcW w:type="dxa" w:w="2700"/>
          </w:tcPr>
          <w:p>
            <w:pPr>
              <w:spacing w:after="0" w:line="264" w:lineRule="auto"/>
            </w:pPr>
            <w:r/>
            <w:r>
              <w:rPr>
                <w:rFonts w:ascii="Calibri" w:hAnsi="Calibri"/>
                <w:b w:val="0"/>
                <w:i w:val="0"/>
                <w:color w:val="0B2B24"/>
                <w:sz w:val="18"/>
              </w:rPr>
              <w:t>Runoff coefficient C</w:t>
            </w:r>
          </w:p>
        </w:tc>
        <w:tc>
          <w:tcPr>
            <w:tcW w:type="dxa" w:w="6660"/>
          </w:tcPr>
          <w:p>
            <w:pPr>
              <w:spacing w:after="0" w:line="264" w:lineRule="auto"/>
            </w:pPr>
            <w:r/>
            <w:r>
              <w:rPr>
                <w:rFonts w:ascii="Calibri" w:hAnsi="Calibri"/>
                <w:b w:val="0"/>
                <w:i w:val="0"/>
                <w:color w:val="0B2B24"/>
                <w:sz w:val="18"/>
              </w:rPr>
              <w:t>Fraction of rainfall volume assumed to become direct runoff</w:t>
            </w:r>
          </w:p>
        </w:tc>
      </w:tr>
      <w:tr>
        <w:tc>
          <w:tcPr>
            <w:tcW w:type="dxa" w:w="2700"/>
          </w:tcPr>
          <w:p>
            <w:pPr>
              <w:spacing w:after="0" w:line="264" w:lineRule="auto"/>
            </w:pPr>
            <w:r/>
            <w:r>
              <w:rPr>
                <w:rFonts w:ascii="Calibri" w:hAnsi="Calibri"/>
                <w:b w:val="0"/>
                <w:i w:val="0"/>
                <w:color w:val="0B2B24"/>
                <w:sz w:val="18"/>
              </w:rPr>
              <w:t>Screening</w:t>
            </w:r>
          </w:p>
        </w:tc>
        <w:tc>
          <w:tcPr>
            <w:tcW w:type="dxa" w:w="6660"/>
          </w:tcPr>
          <w:p>
            <w:pPr>
              <w:spacing w:after="0" w:line="264" w:lineRule="auto"/>
            </w:pPr>
            <w:r/>
            <w:r>
              <w:rPr>
                <w:rFonts w:ascii="Calibri" w:hAnsi="Calibri"/>
                <w:b w:val="0"/>
                <w:i w:val="0"/>
                <w:color w:val="0B2B24"/>
                <w:sz w:val="18"/>
              </w:rPr>
              <w:t>Preliminary comparative decision support, not an approved final design</w:t>
            </w:r>
          </w:p>
        </w:tc>
      </w:tr>
      <w:tr>
        <w:tc>
          <w:tcPr>
            <w:tcW w:type="dxa" w:w="2700"/>
          </w:tcPr>
          <w:p>
            <w:pPr>
              <w:spacing w:after="0" w:line="264" w:lineRule="auto"/>
            </w:pPr>
            <w:r/>
            <w:r>
              <w:rPr>
                <w:rFonts w:ascii="Calibri" w:hAnsi="Calibri"/>
                <w:b w:val="0"/>
                <w:i w:val="0"/>
                <w:color w:val="0B2B24"/>
                <w:sz w:val="18"/>
              </w:rPr>
              <w:t>Suitability score</w:t>
            </w:r>
          </w:p>
        </w:tc>
        <w:tc>
          <w:tcPr>
            <w:tcW w:type="dxa" w:w="6660"/>
          </w:tcPr>
          <w:p>
            <w:pPr>
              <w:spacing w:after="0" w:line="264" w:lineRule="auto"/>
            </w:pPr>
            <w:r/>
            <w:r>
              <w:rPr>
                <w:rFonts w:ascii="Calibri" w:hAnsi="Calibri"/>
                <w:b w:val="0"/>
                <w:i w:val="0"/>
                <w:color w:val="0B2B24"/>
                <w:sz w:val="18"/>
              </w:rPr>
              <w:t>Normalized comparative score after all hard eligibility checks</w:t>
            </w:r>
          </w:p>
        </w:tc>
      </w:tr>
    </w:tbl>
    <w:p>
      <w:pPr>
        <w:spacing w:before="80" w:after="80"/>
      </w:pPr>
    </w:p>
    <w:p>
      <w:pPr>
        <w:pStyle w:val="Heading1"/>
        <w:pageBreakBefore/>
      </w:pPr>
      <w:bookmarkStart w:id="221" w:name="appendix_submission"/>
      <w:r>
        <w:t>Appendix H. Submission links and final checklist</w:t>
      </w:r>
      <w:bookmarkEnd w:id="221"/>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DDF8EE"/>
          </w:tcPr>
          <w:p>
            <w:pPr>
              <w:spacing w:after="60"/>
            </w:pPr>
            <w:r/>
            <w:r>
              <w:rPr>
                <w:rFonts w:ascii="Calibri" w:hAnsi="Calibri"/>
                <w:b/>
                <w:color w:val="0F7B63"/>
                <w:sz w:val="21"/>
              </w:rPr>
              <w:t>LIVE FRONTEND</w:t>
            </w:r>
          </w:p>
          <w:p>
            <w:pPr>
              <w:spacing w:after="0"/>
            </w:pPr>
            <w:hyperlink r:id="rId20">
              <w:r>
                <w:rPr>
                  <w:rStyle w:val="Hyperlink"/>
                </w:rPr>
                <w:t>Open link</w:t>
              </w:r>
            </w:hyperlink>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9F6FB"/>
          </w:tcPr>
          <w:p>
            <w:pPr>
              <w:spacing w:after="60"/>
            </w:pPr>
            <w:r/>
            <w:r>
              <w:rPr>
                <w:rFonts w:ascii="Calibri" w:hAnsi="Calibri"/>
                <w:b/>
                <w:color w:val="2E74B5"/>
                <w:sz w:val="21"/>
              </w:rPr>
              <w:t>GITHUB REPOSITORY</w:t>
            </w:r>
          </w:p>
          <w:p>
            <w:pPr>
              <w:spacing w:after="0"/>
            </w:pPr>
            <w:hyperlink r:id="rId37">
              <w:r>
                <w:rPr>
                  <w:rStyle w:val="Hyperlink"/>
                </w:rPr>
                <w:t>Open link</w:t>
              </w:r>
            </w:hyperlink>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FF7DE"/>
          </w:tcPr>
          <w:p>
            <w:pPr>
              <w:spacing w:after="60"/>
            </w:pPr>
            <w:r/>
            <w:r>
              <w:rPr>
                <w:rFonts w:ascii="Calibri" w:hAnsi="Calibri"/>
                <w:b/>
                <w:color w:val="8A6400"/>
                <w:sz w:val="21"/>
              </w:rPr>
              <w:t>INTERACTIVE API DOCUMENTATION</w:t>
            </w:r>
          </w:p>
          <w:p>
            <w:pPr>
              <w:spacing w:after="0"/>
            </w:pPr>
            <w:hyperlink r:id="rId22">
              <w:r>
                <w:rPr>
                  <w:rStyle w:val="Hyperlink"/>
                </w:rPr>
                <w:t>Open link</w:t>
              </w:r>
            </w:hyperlink>
          </w:p>
        </w:tc>
      </w:tr>
    </w:tbl>
    <w:p>
      <w:pPr>
        <w:spacing w:after="40"/>
      </w:pPr>
    </w:p>
    <w:p>
      <w:pPr>
        <w:numPr>
          <w:ilvl w:val="0"/>
          <w:numId w:val="10"/>
        </w:numPr>
        <w:spacing w:after="80" w:line="300" w:lineRule="auto"/>
      </w:pPr>
      <w:r>
        <w:rPr>
          <w:rFonts w:ascii="Calibri" w:hAnsi="Calibri"/>
          <w:b w:val="0"/>
          <w:i w:val="0"/>
          <w:color w:val="0B2B24"/>
          <w:sz w:val="22"/>
        </w:rPr>
        <w:t>□ Source code is committed and pushed.</w:t>
      </w:r>
    </w:p>
    <w:p>
      <w:pPr>
        <w:numPr>
          <w:ilvl w:val="0"/>
          <w:numId w:val="10"/>
        </w:numPr>
        <w:spacing w:after="80" w:line="300" w:lineRule="auto"/>
      </w:pPr>
      <w:r>
        <w:rPr>
          <w:rFonts w:ascii="Calibri" w:hAnsi="Calibri"/>
          <w:b w:val="0"/>
          <w:i w:val="0"/>
          <w:color w:val="0B2B24"/>
          <w:sz w:val="22"/>
        </w:rPr>
        <w:t>□ Both Render services report the verified release deployed successfully.</w:t>
      </w:r>
    </w:p>
    <w:p>
      <w:pPr>
        <w:numPr>
          <w:ilvl w:val="0"/>
          <w:numId w:val="10"/>
        </w:numPr>
        <w:spacing w:after="80" w:line="300" w:lineRule="auto"/>
      </w:pPr>
      <w:r>
        <w:rPr>
          <w:rFonts w:ascii="Calibri" w:hAnsi="Calibri"/>
          <w:b w:val="0"/>
          <w:i w:val="0"/>
          <w:color w:val="0B2B24"/>
          <w:sz w:val="22"/>
        </w:rPr>
        <w:t>□ The production frontend opens and both workflows return complete results.</w:t>
      </w:r>
    </w:p>
    <w:p>
      <w:pPr>
        <w:numPr>
          <w:ilvl w:val="0"/>
          <w:numId w:val="10"/>
        </w:numPr>
        <w:spacing w:after="80" w:line="300" w:lineRule="auto"/>
      </w:pPr>
      <w:r>
        <w:rPr>
          <w:rFonts w:ascii="Calibri" w:hAnsi="Calibri"/>
          <w:b w:val="0"/>
          <w:i w:val="0"/>
          <w:color w:val="0B2B24"/>
          <w:sz w:val="22"/>
        </w:rPr>
        <w:t>□ The provided KML and its KMZ equivalent return HTTP 200.</w:t>
      </w:r>
    </w:p>
    <w:p>
      <w:pPr>
        <w:numPr>
          <w:ilvl w:val="0"/>
          <w:numId w:val="10"/>
        </w:numPr>
        <w:spacing w:after="80" w:line="300" w:lineRule="auto"/>
      </w:pPr>
      <w:r>
        <w:rPr>
          <w:rFonts w:ascii="Calibri" w:hAnsi="Calibri"/>
          <w:b w:val="0"/>
          <w:i w:val="0"/>
          <w:color w:val="0B2B24"/>
          <w:sz w:val="22"/>
        </w:rPr>
        <w:t>□ Automatic, point, region, and invalid-selection behavior was checked.</w:t>
      </w:r>
    </w:p>
    <w:p>
      <w:pPr>
        <w:numPr>
          <w:ilvl w:val="0"/>
          <w:numId w:val="10"/>
        </w:numPr>
        <w:spacing w:after="80" w:line="300" w:lineRule="auto"/>
      </w:pPr>
      <w:r>
        <w:rPr>
          <w:rFonts w:ascii="Calibri" w:hAnsi="Calibri"/>
          <w:b w:val="0"/>
          <w:i w:val="0"/>
          <w:color w:val="0B2B24"/>
          <w:sz w:val="22"/>
        </w:rPr>
        <w:t>□ The editable documentation and final PDF were rendered and visually inspected.</w:t>
      </w:r>
    </w:p>
    <w:p>
      <w:pPr>
        <w:numPr>
          <w:ilvl w:val="0"/>
          <w:numId w:val="10"/>
        </w:numPr>
        <w:spacing w:after="80" w:line="300" w:lineRule="auto"/>
      </w:pPr>
      <w:r>
        <w:rPr>
          <w:rFonts w:ascii="Calibri" w:hAnsi="Calibri"/>
          <w:b w:val="0"/>
          <w:i w:val="0"/>
          <w:color w:val="0B2B24"/>
          <w:sz w:val="22"/>
        </w:rPr>
        <w:t>□ The student has reviewed the limitations and can explain the algorithms in the viva.</w:t>
      </w:r>
    </w:p>
    <w:sectPr>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Style w:val="TableGrid"/>
      <w:tblW w:type="dxa" w:w="9360"/>
      <w:jc w:val="left"/>
      <w:tblLayout w:type="fixed"/>
      <w:tblLook w:firstColumn="1" w:firstRow="1" w:lastColumn="0" w:lastRow="0" w:noHBand="0" w:noVBand="1" w:val="04A0"/>
      <w:tblInd w:w="120" w:type="dxa"/>
    </w:tblPr>
    <w:tblGrid>
      <w:gridCol w:w="6500"/>
      <w:gridCol w:w="2860"/>
    </w:tblGrid>
    <w:tr>
      <w:trPr>
        <w:tblHeader w:val="true"/>
      </w:trPr>
      <w:tc>
        <w:tcPr>
          <w:tcW w:type="dxa" w:w="6500"/>
          <w:tcMar>
            <w:top w:w="80" w:type="dxa"/>
            <w:start w:w="120" w:type="dxa"/>
            <w:bottom w:w="80" w:type="dxa"/>
            <w:end w:w="120" w:type="dxa"/>
          </w:tcMar>
          <w:vAlign w:val="center"/>
        </w:tcPr>
        <w:p>
          <w:pPr>
            <w:spacing w:after="0"/>
          </w:pPr>
          <w:r>
            <w:rPr>
              <w:rFonts w:ascii="Calibri" w:hAnsi="Calibri"/>
              <w:color w:val="55756D"/>
              <w:sz w:val="16"/>
            </w:rPr>
            <w:t>Screening decision support - field verification required</w:t>
          </w:r>
        </w:p>
      </w:tc>
      <w:tc>
        <w:tcPr>
          <w:tcW w:type="dxa" w:w="2860"/>
          <w:tcMar>
            <w:top w:w="80" w:type="dxa"/>
            <w:start w:w="120" w:type="dxa"/>
            <w:bottom w:w="80" w:type="dxa"/>
            <w:end w:w="120" w:type="dxa"/>
          </w:tcMar>
          <w:vAlign w:val="center"/>
        </w:tcPr>
        <w:p>
          <w:pPr>
            <w:spacing w:after="0"/>
            <w:jc w:val="right"/>
          </w:pPr>
          <w:r>
            <w:rPr>
              <w:rFonts w:ascii="Calibri" w:hAnsi="Calibri"/>
              <w:color w:val="55756D"/>
              <w:sz w:val="16"/>
            </w:rPr>
            <w:t xml:space="preserve">Page </w:t>
          </w:r>
          <w:r>
            <w:fldChar w:fldCharType="begin"/>
          </w:r>
          <w:r>
            <w:instrText xml:space="preserve"> PAGE </w:instrText>
          </w:r>
          <w:r>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5756D"/>
        <w:sz w:val="17"/>
      </w:rPr>
      <w:t>JalDrishti | Complete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suff w:val="tab"/>
      <w:pPr>
        <w:tabs>
          <w:tab w:val="num" w:pos="540"/>
        </w:tabs>
        <w:ind w:left="540" w:hanging="271"/>
        <w:spacing w:after="80" w:line="300" w:lineRule="auto"/>
      </w:pPr>
    </w:lvl>
  </w:abstractNum>
  <w:abstractNum w:abstractNumId="10">
    <w:multiLevelType w:val="singleLevel"/>
    <w:lvl w:ilvl="0">
      <w:start w:val="1"/>
      <w:numFmt w:val="decimal"/>
      <w:lvlText w:val="%1."/>
      <w:suff w:val="tab"/>
      <w:pPr>
        <w:tabs>
          <w:tab w:val="num" w:pos="540"/>
        </w:tabs>
        <w:ind w:left="540" w:hanging="271"/>
        <w:spacing w:after="80" w:line="30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B2B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Calibri" w:hAnsi="Calibri"/>
      <w:b/>
      <w:bCs/>
      <w:color w:val="0B5C4B"/>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40"/>
      <w:outlineLvl w:val="1"/>
    </w:pPr>
    <w:rPr>
      <w:rFonts w:asciiTheme="majorHAnsi" w:eastAsiaTheme="majorEastAsia" w:hAnsiTheme="majorHAnsi" w:cstheme="majorBidi" w:ascii="Calibri" w:hAnsi="Calibri"/>
      <w:b/>
      <w:bCs/>
      <w:color w:val="0F7B63"/>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180"/>
    </w:pPr>
    <w:rPr>
      <w:rFonts w:ascii="Calibri" w:hAnsi="Calibri"/>
      <w:b/>
      <w:bCs/>
      <w:i/>
      <w:color w:val="55756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hyperlink" Target="https://sneha-village-pond-planning-2026.onrender.com" TargetMode="External"/><Relationship Id="rId21" Type="http://schemas.openxmlformats.org/officeDocument/2006/relationships/hyperlink" Target="https://sneha-village-pond-api-2026.onrender.com" TargetMode="External"/><Relationship Id="rId22" Type="http://schemas.openxmlformats.org/officeDocument/2006/relationships/hyperlink" Target="https://sneha-village-pond-api-2026.onrender.com/docs" TargetMode="External"/><Relationship Id="rId23" Type="http://schemas.openxmlformats.org/officeDocument/2006/relationships/hyperlink" Target="https://open-meteo.com/en/docs/elevation-api" TargetMode="External"/><Relationship Id="rId24" Type="http://schemas.openxmlformats.org/officeDocument/2006/relationships/hyperlink" Target="https://open-meteo.com/en/docs/historical-weather-api" TargetMode="External"/><Relationship Id="rId25" Type="http://schemas.openxmlformats.org/officeDocument/2006/relationships/hyperlink" Target="https://operations.osmfoundation.org/policies/nominatim/" TargetMode="External"/><Relationship Id="rId26" Type="http://schemas.openxmlformats.org/officeDocument/2006/relationships/hyperlink" Target="https://fastapi.tiangolo.com/" TargetMode="External"/><Relationship Id="rId27" Type="http://schemas.openxmlformats.org/officeDocument/2006/relationships/hyperlink" Target="https://leafletjs.com/reference.html" TargetMode="External"/><Relationship Id="rId28" Type="http://schemas.openxmlformats.org/officeDocument/2006/relationships/hyperlink" Target="https://docs.opencv.org/" TargetMode="External"/><Relationship Id="rId29" Type="http://schemas.openxmlformats.org/officeDocument/2006/relationships/hyperlink" Target="https://render.com/docs/blueprint-spec" TargetMode="External"/><Relationship Id="rId30" Type="http://schemas.openxmlformats.org/officeDocument/2006/relationships/hyperlink" Target="https://registry.opendata.aws/terrain-tiles/" TargetMode="External"/><Relationship Id="rId31" Type="http://schemas.openxmlformats.org/officeDocument/2006/relationships/hyperlink" Target="https://github.com/tilezen/joerd/blob/master/docs/formats.md" TargetMode="External"/><Relationship Id="rId32" Type="http://schemas.openxmlformats.org/officeDocument/2006/relationships/hyperlink" Target="https://power.larc.nasa.gov/docs/services/api/temporal/daily/" TargetMode="External"/><Relationship Id="rId33" Type="http://schemas.openxmlformats.org/officeDocument/2006/relationships/hyperlink" Target="https://arxiv.org/abs/1511.04463" TargetMode="External"/><Relationship Id="rId34" Type="http://schemas.openxmlformats.org/officeDocument/2006/relationships/hyperlink" Target="https://doi.org/10.1016/S0734-189X(84)80011-0" TargetMode="External"/><Relationship Id="rId35" Type="http://schemas.openxmlformats.org/officeDocument/2006/relationships/hyperlink" Target="https://docs.ogc.org/is/12-007r2/12-007r2.html" TargetMode="External"/><Relationship Id="rId36" Type="http://schemas.openxmlformats.org/officeDocument/2006/relationships/hyperlink" Target="https://directives.nrcs.usda.gov/sites/default/files2/1720531480/Chapter%2002%20-%20Estimating%20Runoff%20Volume%20and%20Peak%20Discharge.pdf" TargetMode="External"/><Relationship Id="rId37" Type="http://schemas.openxmlformats.org/officeDocument/2006/relationships/hyperlink" Target="https://github.com/snehanagmoti/Village-Pond-plan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JalDrishti - Complete Project Documentation</dc:title>
  <dc:subject>AI-based Village Pond Planning System</dc:subject>
  <dc:creator/>
  <cp:keywords>pond planning, KML, KMZ, catchment, D8, rainfall, runoff</cp:keywords>
  <dc:description>generated by python-docx</dc:description>
  <cp:lastModifiedBy/>
  <cp:revision>1</cp:revision>
  <dcterms:created xsi:type="dcterms:W3CDTF">2013-12-23T23:15:00Z</dcterms:created>
  <dcterms:modified xsi:type="dcterms:W3CDTF">2013-12-23T23:15:00Z</dcterms:modified>
  <cp:category/>
</cp:coreProperties>
</file>