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4E78"/>
          <w:sz w:val="44"/>
        </w:rPr>
        <w:t>Enterprise Policy Q&amp;A Bot</w:t>
      </w:r>
    </w:p>
    <w:p>
      <w:pPr>
        <w:spacing w:before="0" w:after="240"/>
      </w:pPr>
      <w:r>
        <w:rPr>
          <w:rFonts w:ascii="Arial" w:hAnsi="Arial"/>
          <w:b/>
          <w:color w:val="2F5597"/>
          <w:sz w:val="26"/>
        </w:rPr>
        <w:t>Streamlit, LangGraph &amp; Chroma Multi-Workspace Solution Kit &amp; 15-Question Evaluation Report</w:t>
      </w:r>
    </w:p>
    <w:p>
      <w:pPr>
        <w:spacing w:before="0" w:after="80" w:line="276" w:lineRule="auto"/>
      </w:pPr>
      <w:r>
        <w:rPr>
          <w:rFonts w:ascii="Calibri" w:hAnsi="Calibri"/>
          <w:b/>
          <w:color w:val="333333"/>
          <w:sz w:val="22"/>
        </w:rPr>
        <w:t xml:space="preserve">Project Track: </w:t>
      </w:r>
      <w:r>
        <w:rPr>
          <w:rFonts w:ascii="Calibri" w:hAnsi="Calibri"/>
          <w:color w:val="333333"/>
          <w:sz w:val="22"/>
        </w:rPr>
        <w:t>Rohit / Course Assignment — Enterprise RAG Q&amp;A System</w:t>
      </w:r>
    </w:p>
    <w:p>
      <w:pPr>
        <w:spacing w:before="0" w:after="80" w:line="276" w:lineRule="auto"/>
      </w:pPr>
      <w:r>
        <w:rPr>
          <w:rFonts w:ascii="Calibri" w:hAnsi="Calibri"/>
          <w:b/>
          <w:color w:val="333333"/>
          <w:sz w:val="22"/>
        </w:rPr>
        <w:t xml:space="preserve">Technology Stack: </w:t>
      </w:r>
      <w:r>
        <w:rPr>
          <w:rFonts w:ascii="Calibri" w:hAnsi="Calibri"/>
          <w:color w:val="333333"/>
          <w:sz w:val="22"/>
        </w:rPr>
        <w:t>Python 3.13, Streamlit, LangChain 1.0, LangGraph 1.0, ChromaDB, Google Gemini API</w:t>
      </w:r>
    </w:p>
    <w:p>
      <w:pPr>
        <w:spacing w:before="0" w:after="80" w:line="276" w:lineRule="auto"/>
      </w:pPr>
      <w:r>
        <w:rPr>
          <w:rFonts w:ascii="Calibri" w:hAnsi="Calibri"/>
          <w:b/>
          <w:color w:val="333333"/>
          <w:sz w:val="22"/>
        </w:rPr>
        <w:t xml:space="preserve">Repository Path: </w:t>
      </w:r>
      <w:r>
        <w:rPr>
          <w:rFonts w:ascii="Calibri" w:hAnsi="Calibri"/>
          <w:color w:val="333333"/>
          <w:sz w:val="22"/>
        </w:rPr>
        <w:t>f:\_GIT\11_RAG_Assignment\00_Enterprise_OnA_Bot</w:t>
      </w:r>
    </w:p>
    <w:p>
      <w:pPr>
        <w:keepNext/>
        <w:spacing w:before="320" w:after="120"/>
      </w:pPr>
      <w:r>
        <w:rPr>
          <w:rFonts w:ascii="Arial" w:hAnsi="Arial"/>
          <w:b/>
          <w:color w:val="1F4E78"/>
          <w:sz w:val="30"/>
        </w:rPr>
        <w:t>1. Executive Summary &amp; Architecture Overview</w:t>
      </w:r>
    </w:p>
    <w:p>
      <w:pPr>
        <w:spacing w:before="0" w:after="80" w:line="276" w:lineRule="auto"/>
      </w:pPr>
      <w:r>
        <w:rPr>
          <w:rFonts w:ascii="Calibri" w:hAnsi="Calibri"/>
          <w:color w:val="333333"/>
          <w:sz w:val="22"/>
        </w:rPr>
        <w:t>The Enterprise Policy Q&amp;A Bot is a single-process, local Retrieval-Augmented Generation (RAG) application built to answer natural-language questions over enterprise policy PDFs (HR handbooks, compliance codes of conduct, technical documentation). Streamlit serves as both the application host and user interface, calling core business logic in-process without an unnecessary network or API boundary.</w:t>
      </w:r>
    </w:p>
    <w:p>
      <w:pPr>
        <w:keepNext/>
        <w:spacing w:before="240" w:after="80"/>
      </w:pPr>
      <w:r>
        <w:rPr>
          <w:rFonts w:ascii="Arial" w:hAnsi="Arial"/>
          <w:b/>
          <w:color w:val="2F5597"/>
          <w:sz w:val="25"/>
        </w:rPr>
        <w:t>System Component Diagram</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left w:val="single" w:sz="24" w:space="0" w:color="1F4E78"/>
              <w:top w:val="none"/>
              <w:right w:val="none"/>
              <w:bottom w:val="none"/>
            </w:tcBorders>
          </w:tcPr>
          <w:p>
            <w:pPr>
              <w:spacing w:before="40" w:after="40" w:line="252" w:lineRule="auto"/>
            </w:pPr>
            <w:r>
              <w:rPr>
                <w:rFonts w:ascii="Consolas" w:hAnsi="Consolas"/>
                <w:color w:val="222222"/>
                <w:sz w:val="19"/>
              </w:rPr>
              <w:t>Streamlit UI Process (src/api/app.py)</w:t>
              <w:br/>
              <w:t xml:space="preserve">  ├── Workspace Picker &amp; PDF Uploader</w:t>
              <w:br/>
              <w:t xml:space="preserve">  ├── Ingestion Engine (src/core/ingestion.py)</w:t>
              <w:br/>
              <w:t xml:space="preserve">  │     └── PyPDFLoader -&gt; RecursiveCharacterTextSplitter (800/150) -&gt; _RateLimitedEmbeddings</w:t>
              <w:br/>
              <w:t xml:space="preserve">  ├── Chroma Vector Store (src/core/vectorstore.py &amp; src/core/workspace.py)</w:t>
              <w:br/>
              <w:t xml:space="preserve">  │     └── Isolated collections per workspace (HNSW indexed on disk)</w:t>
              <w:br/>
              <w:t xml:space="preserve">  └── LangGraph RAG Agent (src/core/agent.py)</w:t>
              <w:br/>
              <w:t xml:space="preserve">        └── START -&gt; retrieve (similarity search, k=4) -&gt; generate (grounded prompt) -&gt; END</w:t>
            </w:r>
          </w:p>
        </w:tc>
      </w:tr>
    </w:tbl>
    <w:p>
      <w:pPr>
        <w:spacing w:before="0" w:after="80"/>
      </w:pPr>
    </w:p>
    <w:p>
      <w:pPr>
        <w:keepNext/>
        <w:spacing w:before="240" w:after="80"/>
      </w:pPr>
      <w:r>
        <w:rPr>
          <w:rFonts w:ascii="Arial" w:hAnsi="Arial"/>
          <w:b/>
          <w:color w:val="2F5597"/>
          <w:sz w:val="25"/>
        </w:rPr>
        <w:t>Core Ingestion Pipeline</w:t>
      </w:r>
    </w:p>
    <w:p>
      <w:pPr>
        <w:spacing w:before="0" w:after="80" w:line="276" w:lineRule="auto"/>
      </w:pPr>
      <w:r>
        <w:rPr>
          <w:rFonts w:ascii="Calibri" w:hAnsi="Calibri"/>
          <w:color w:val="333333"/>
          <w:sz w:val="22"/>
        </w:rPr>
        <w:t>1. PDF Document Upload: Uploaded PDF bytes are written to a temporary file on disk.</w:t>
      </w:r>
    </w:p>
    <w:p>
      <w:pPr>
        <w:spacing w:before="0" w:after="80" w:line="276" w:lineRule="auto"/>
      </w:pPr>
      <w:r>
        <w:rPr>
          <w:rFonts w:ascii="Calibri" w:hAnsi="Calibri"/>
          <w:color w:val="333333"/>
          <w:sz w:val="22"/>
        </w:rPr>
        <w:t>2. Page-Level Loading: PyPDFLoader loads the document into single-page Document objects.</w:t>
      </w:r>
    </w:p>
    <w:p>
      <w:pPr>
        <w:spacing w:before="0" w:after="80" w:line="276" w:lineRule="auto"/>
      </w:pPr>
      <w:r>
        <w:rPr>
          <w:rFonts w:ascii="Calibri" w:hAnsi="Calibri"/>
          <w:color w:val="333333"/>
          <w:sz w:val="22"/>
        </w:rPr>
        <w:t>3. Character Chunking: RecursiveCharacterTextSplitter splits documents into fixed-size chunks (chunk_size=800, chunk_overlap=150).</w:t>
      </w:r>
    </w:p>
    <w:p>
      <w:pPr>
        <w:spacing w:before="0" w:after="80" w:line="276" w:lineRule="auto"/>
      </w:pPr>
      <w:r>
        <w:rPr>
          <w:rFonts w:ascii="Calibri" w:hAnsi="Calibri"/>
          <w:color w:val="333333"/>
          <w:sz w:val="22"/>
        </w:rPr>
        <w:t>4. Rate-Limited Embedding: Chunks pass through _RateLimitedEmbeddings (gemini-embedding-001, 3072 dimensions) with batching (90 items / 65s delay) to comply with Google free-tier 100 RPM quotas.</w:t>
      </w:r>
    </w:p>
    <w:p>
      <w:pPr>
        <w:spacing w:before="0" w:after="80" w:line="276" w:lineRule="auto"/>
      </w:pPr>
      <w:r>
        <w:rPr>
          <w:rFonts w:ascii="Calibri" w:hAnsi="Calibri"/>
          <w:color w:val="333333"/>
          <w:sz w:val="22"/>
        </w:rPr>
        <w:t>5. Chroma Storage: Embeddings and chunks are stored in an isolated, disk-backed Chroma collection dedicated to the active workspace.</w:t>
      </w:r>
    </w:p>
    <w:p>
      <w:pPr>
        <w:keepNext/>
        <w:spacing w:before="240" w:after="80"/>
      </w:pPr>
      <w:r>
        <w:rPr>
          <w:rFonts w:ascii="Arial" w:hAnsi="Arial"/>
          <w:b/>
          <w:color w:val="2F5597"/>
          <w:sz w:val="25"/>
        </w:rPr>
        <w:t>Multi-Workspace Isolation Architecture</w:t>
      </w:r>
    </w:p>
    <w:p>
      <w:pPr>
        <w:spacing w:before="0" w:after="80" w:line="276" w:lineRule="auto"/>
      </w:pPr>
      <w:r>
        <w:rPr>
          <w:rFonts w:ascii="Calibri" w:hAnsi="Calibri"/>
          <w:color w:val="333333"/>
          <w:sz w:val="22"/>
        </w:rPr>
        <w:t>Rather than storing all documents in a single flat collection with metadata filters, the system assigns one physical Chroma collection per workspace. Workspace metadata (display_name, embedding_model, created_at) is stored directly inside Chroma collection metadata. Scanning collection metadata serves as a free workspace registry, guaranteeing zero cross-workspace document leakage.</w:t>
      </w:r>
    </w:p>
    <w:p>
      <w:pPr>
        <w:keepNext/>
        <w:spacing w:before="320" w:after="120"/>
      </w:pPr>
      <w:r>
        <w:rPr>
          <w:rFonts w:ascii="Arial" w:hAnsi="Arial"/>
          <w:b/>
          <w:color w:val="1F4E78"/>
          <w:sz w:val="30"/>
        </w:rPr>
        <w:t>2. Code Base &amp; Technical Component Deep Dives</w:t>
      </w:r>
    </w:p>
    <w:p>
      <w:pPr>
        <w:keepNext/>
        <w:spacing w:before="240" w:after="80"/>
      </w:pPr>
      <w:r>
        <w:rPr>
          <w:rFonts w:ascii="Arial" w:hAnsi="Arial"/>
          <w:b/>
          <w:color w:val="2F5597"/>
          <w:sz w:val="25"/>
        </w:rPr>
        <w:t>2.1 UI &amp; Application Host — src/api/app.py</w:t>
      </w:r>
    </w:p>
    <w:p>
      <w:pPr>
        <w:spacing w:before="0" w:after="80" w:line="276" w:lineRule="auto"/>
      </w:pPr>
      <w:r>
        <w:rPr>
          <w:rFonts w:ascii="Calibri" w:hAnsi="Calibri"/>
          <w:color w:val="333333"/>
          <w:sz w:val="22"/>
        </w:rPr>
        <w:t>Streamlit manages two primary screens: the Workspace Picker (when no active workspace is selected) and the Workspace View (upload &amp; chat). Streamlit reruns the script on every user interaction. Expensive objects (embeddings, vectorstores, compiled graphs) are cached using st.cache_resource, keyed explicitly on persist_dir, collection_name, and model_name to prevent stale reference bugs.</w:t>
      </w:r>
    </w:p>
    <w:p>
      <w:pPr>
        <w:keepNext/>
        <w:spacing w:before="240" w:after="80"/>
      </w:pPr>
      <w:r>
        <w:rPr>
          <w:rFonts w:ascii="Arial" w:hAnsi="Arial"/>
          <w:b/>
          <w:color w:val="2F5597"/>
          <w:sz w:val="25"/>
        </w:rPr>
        <w:t>2.2 LangGraph RAG Agent — src/core/agent.py</w:t>
      </w:r>
    </w:p>
    <w:p>
      <w:pPr>
        <w:spacing w:before="0" w:after="80" w:line="276" w:lineRule="auto"/>
      </w:pPr>
      <w:r>
        <w:rPr>
          <w:rFonts w:ascii="Calibri" w:hAnsi="Calibri"/>
          <w:color w:val="333333"/>
          <w:sz w:val="22"/>
        </w:rPr>
        <w:t>The agent is structured as a 2-node stateful LangGraph graph (START -&gt; retrieve -&gt; generate -&gt; END). The retrieve node executes vectorstore.as_retriever().invoke(question), fetching the top k=4 most relevant chunks. The generate node constructs a grounded prompt and invokes ChatGoogleGenerativeAI.</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left w:val="single" w:sz="24" w:space="0" w:color="1F4E78"/>
              <w:top w:val="none"/>
              <w:right w:val="none"/>
              <w:bottom w:val="none"/>
            </w:tcBorders>
          </w:tcPr>
          <w:p>
            <w:pPr>
              <w:spacing w:before="40" w:after="40" w:line="252" w:lineRule="auto"/>
            </w:pPr>
            <w:r>
              <w:rPr>
                <w:rFonts w:ascii="Consolas" w:hAnsi="Consolas"/>
                <w:color w:val="222222"/>
                <w:sz w:val="19"/>
              </w:rPr>
              <w:t>GROUNDING_INSTRUCTION = (</w:t>
              <w:br/>
              <w:t xml:space="preserve">    "Answer only using the provided context. If the answer isn't in the "</w:t>
              <w:br/>
              <w:t xml:space="preserve">    "context, say so explicitly - do not guess."</w:t>
              <w:br/>
              <w:t>)</w:t>
              <w:br/>
              <w:br/>
              <w:t>class GraphState(TypedDict):</w:t>
              <w:br/>
              <w:t xml:space="preserve">    question: str</w:t>
              <w:br/>
              <w:t xml:space="preserve">    documents: list[Document]</w:t>
              <w:br/>
              <w:t xml:space="preserve">    answer: str</w:t>
            </w:r>
          </w:p>
        </w:tc>
      </w:tr>
    </w:tbl>
    <w:p>
      <w:pPr>
        <w:spacing w:before="0" w:after="80"/>
      </w:pPr>
    </w:p>
    <w:p>
      <w:pPr>
        <w:keepNext/>
        <w:spacing w:before="240" w:after="80"/>
      </w:pPr>
      <w:r>
        <w:rPr>
          <w:rFonts w:ascii="Arial" w:hAnsi="Arial"/>
          <w:b/>
          <w:color w:val="2F5597"/>
          <w:sz w:val="25"/>
        </w:rPr>
        <w:t>2.3 Rate-Limited Embedding Registry — src/core/embedding_registry.py</w:t>
      </w:r>
    </w:p>
    <w:p>
      <w:pPr>
        <w:spacing w:before="0" w:after="80" w:line="276" w:lineRule="auto"/>
      </w:pPr>
      <w:r>
        <w:rPr>
          <w:rFonts w:ascii="Calibri" w:hAnsi="Calibri"/>
          <w:color w:val="333333"/>
          <w:sz w:val="22"/>
        </w:rPr>
        <w:t>Google's free-tier API meters embeddings per text item (RPM) rather than per HTTP request. Large PDFs producing ~400 chunks trigger 429 quota errors if unpaced. The _RateLimitedEmbeddings wrapper paces document embedding into 90-item batches with a 65-second delay between batches, incorporating automatic backoff retries.</w:t>
      </w:r>
    </w:p>
    <w:p>
      <w:pPr>
        <w:keepNext/>
        <w:spacing w:before="240" w:after="80"/>
      </w:pPr>
      <w:r>
        <w:rPr>
          <w:rFonts w:ascii="Arial" w:hAnsi="Arial"/>
          <w:b/>
          <w:color w:val="2F5597"/>
          <w:sz w:val="25"/>
        </w:rPr>
        <w:t>2.4 Ingestion &amp; Citation Metadata — src/core/ingestion.py</w:t>
      </w:r>
    </w:p>
    <w:p>
      <w:pPr>
        <w:spacing w:before="0" w:after="80" w:line="276" w:lineRule="auto"/>
      </w:pPr>
      <w:r>
        <w:rPr>
          <w:rFonts w:ascii="Calibri" w:hAnsi="Calibri"/>
          <w:color w:val="333333"/>
          <w:sz w:val="22"/>
        </w:rPr>
        <w:t>ingest_pdf_bytes overrides default temporary file paths in chunk metadata with the real user-facing filename. During chat generation, source filename and page numbers are preserved and rendered in Streamlit source expanders.</w:t>
      </w:r>
    </w:p>
    <w:p>
      <w:pPr>
        <w:keepNext/>
        <w:spacing w:before="320" w:after="120"/>
      </w:pPr>
      <w:r>
        <w:rPr>
          <w:rFonts w:ascii="Arial" w:hAnsi="Arial"/>
          <w:b/>
          <w:color w:val="1F4E78"/>
          <w:sz w:val="30"/>
        </w:rPr>
        <w:t>3. Key Technical Design Decisions &amp; Trade-offs</w:t>
      </w:r>
    </w:p>
    <w:p>
      <w:pPr>
        <w:spacing w:before="0" w:after="80" w:line="276" w:lineRule="auto"/>
      </w:pPr>
      <w:r>
        <w:rPr>
          <w:rFonts w:ascii="Calibri" w:hAnsi="Calibri"/>
          <w:color w:val="333333"/>
          <w:sz w:val="22"/>
        </w:rPr>
        <w:t>Every architectural choice was evaluated for its pedagogical and operational trade-offs.</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3120"/>
        <w:gridCol w:w="3120"/>
        <w:gridCol w:w="3120"/>
      </w:tblGrid>
      <w:tr>
        <w:tc>
          <w:tcPr>
            <w:tcW w:type="dxa" w:w="2592"/>
            <w:tcMar>
              <w:top w:w="100" w:type="dxa"/>
              <w:bottom w:w="100" w:type="dxa"/>
              <w:left w:w="120" w:type="dxa"/>
              <w:right w:w="120" w:type="dxa"/>
            </w:tcMar>
            <w:shd w:fill="1F4E78"/>
          </w:tcPr>
          <w:p>
            <w:pPr>
              <w:spacing w:before="40" w:after="40" w:line="252" w:lineRule="auto"/>
            </w:pPr>
            <w:r>
              <w:rPr>
                <w:rFonts w:ascii="Calibri" w:hAnsi="Calibri"/>
                <w:b/>
                <w:color w:val="FFFFFF"/>
                <w:sz w:val="20"/>
              </w:rPr>
              <w:t>Architectural Decision</w:t>
            </w:r>
          </w:p>
        </w:tc>
        <w:tc>
          <w:tcPr>
            <w:tcW w:type="dxa" w:w="2592"/>
            <w:tcMar>
              <w:top w:w="100" w:type="dxa"/>
              <w:bottom w:w="100" w:type="dxa"/>
              <w:left w:w="120" w:type="dxa"/>
              <w:right w:w="120" w:type="dxa"/>
            </w:tcMar>
            <w:shd w:fill="1F4E78"/>
          </w:tcPr>
          <w:p>
            <w:pPr>
              <w:spacing w:before="40" w:after="40" w:line="252" w:lineRule="auto"/>
            </w:pPr>
            <w:r>
              <w:rPr>
                <w:rFonts w:ascii="Calibri" w:hAnsi="Calibri"/>
                <w:b/>
                <w:color w:val="FFFFFF"/>
                <w:sz w:val="20"/>
              </w:rPr>
              <w:t>Alternative Rejected</w:t>
            </w:r>
          </w:p>
        </w:tc>
        <w:tc>
          <w:tcPr>
            <w:tcW w:type="dxa" w:w="4176"/>
            <w:tcMar>
              <w:top w:w="100" w:type="dxa"/>
              <w:bottom w:w="100" w:type="dxa"/>
              <w:left w:w="120" w:type="dxa"/>
              <w:right w:w="120" w:type="dxa"/>
            </w:tcMar>
            <w:shd w:fill="1F4E78"/>
          </w:tcPr>
          <w:p>
            <w:pPr>
              <w:spacing w:before="40" w:after="40" w:line="252" w:lineRule="auto"/>
            </w:pPr>
            <w:r>
              <w:rPr>
                <w:rFonts w:ascii="Calibri" w:hAnsi="Calibri"/>
                <w:b/>
                <w:color w:val="FFFFFF"/>
                <w:sz w:val="20"/>
              </w:rPr>
              <w:t>Rationale &amp; Technical Justification</w:t>
            </w:r>
          </w:p>
        </w:tc>
      </w:tr>
      <w:tr>
        <w:tc>
          <w:tcPr>
            <w:tcW w:type="dxa" w:w="2592"/>
            <w:tcMar>
              <w:top w:w="100" w:type="dxa"/>
              <w:bottom w:w="100" w:type="dxa"/>
              <w:left w:w="120" w:type="dxa"/>
              <w:right w:w="120" w:type="dxa"/>
            </w:tcMar>
            <w:shd w:fill="FFFFFF"/>
          </w:tcPr>
          <w:p>
            <w:pPr>
              <w:spacing w:before="40" w:after="40" w:line="252" w:lineRule="auto"/>
            </w:pPr>
            <w:r>
              <w:rPr>
                <w:rFonts w:ascii="Calibri" w:hAnsi="Calibri"/>
                <w:color w:val="333333"/>
                <w:sz w:val="19"/>
              </w:rPr>
              <w:t>Streamlit In-Process Host</w:t>
            </w:r>
          </w:p>
        </w:tc>
        <w:tc>
          <w:tcPr>
            <w:tcW w:type="dxa" w:w="2592"/>
            <w:tcMar>
              <w:top w:w="100" w:type="dxa"/>
              <w:bottom w:w="100" w:type="dxa"/>
              <w:left w:w="120" w:type="dxa"/>
              <w:right w:w="120" w:type="dxa"/>
            </w:tcMar>
            <w:shd w:fill="FFFFFF"/>
          </w:tcPr>
          <w:p>
            <w:pPr>
              <w:spacing w:before="40" w:after="40" w:line="252" w:lineRule="auto"/>
            </w:pPr>
            <w:r>
              <w:rPr>
                <w:rFonts w:ascii="Calibri" w:hAnsi="Calibri"/>
                <w:color w:val="333333"/>
                <w:sz w:val="19"/>
              </w:rPr>
              <w:t>FastAPI + React Frontend</w:t>
            </w:r>
          </w:p>
        </w:tc>
        <w:tc>
          <w:tcPr>
            <w:tcW w:type="dxa" w:w="4176"/>
            <w:tcMar>
              <w:top w:w="100" w:type="dxa"/>
              <w:bottom w:w="100" w:type="dxa"/>
              <w:left w:w="120" w:type="dxa"/>
              <w:right w:w="120" w:type="dxa"/>
            </w:tcMar>
            <w:shd w:fill="FFFFFF"/>
          </w:tcPr>
          <w:p>
            <w:pPr>
              <w:spacing w:before="40" w:after="40" w:line="252" w:lineRule="auto"/>
            </w:pPr>
            <w:r>
              <w:rPr>
                <w:rFonts w:ascii="Calibri" w:hAnsi="Calibri"/>
                <w:color w:val="333333"/>
                <w:sz w:val="19"/>
              </w:rPr>
              <w:t>Zero network boundary cost for a local single-user tool. Eliminates redundant serialization and API boilerplate.</w:t>
            </w:r>
          </w:p>
        </w:tc>
      </w:tr>
      <w:tr>
        <w:tc>
          <w:tcPr>
            <w:tcW w:type="dxa" w:w="2592"/>
            <w:tcMar>
              <w:top w:w="100" w:type="dxa"/>
              <w:bottom w:w="100" w:type="dxa"/>
              <w:left w:w="120" w:type="dxa"/>
              <w:right w:w="120" w:type="dxa"/>
            </w:tcMar>
            <w:shd w:fill="F9FAFB"/>
          </w:tcPr>
          <w:p>
            <w:pPr>
              <w:spacing w:before="40" w:after="40" w:line="252" w:lineRule="auto"/>
            </w:pPr>
            <w:r>
              <w:rPr>
                <w:rFonts w:ascii="Calibri" w:hAnsi="Calibri"/>
                <w:color w:val="333333"/>
                <w:sz w:val="19"/>
              </w:rPr>
              <w:t>LangGraph 2-Node Graph</w:t>
            </w:r>
          </w:p>
        </w:tc>
        <w:tc>
          <w:tcPr>
            <w:tcW w:type="dxa" w:w="2592"/>
            <w:tcMar>
              <w:top w:w="100" w:type="dxa"/>
              <w:bottom w:w="100" w:type="dxa"/>
              <w:left w:w="120" w:type="dxa"/>
              <w:right w:w="120" w:type="dxa"/>
            </w:tcMar>
            <w:shd w:fill="F9FAFB"/>
          </w:tcPr>
          <w:p>
            <w:pPr>
              <w:spacing w:before="40" w:after="40" w:line="252" w:lineRule="auto"/>
            </w:pPr>
            <w:r>
              <w:rPr>
                <w:rFonts w:ascii="Calibri" w:hAnsi="Calibri"/>
                <w:color w:val="333333"/>
                <w:sz w:val="19"/>
              </w:rPr>
              <w:t>Linear LangChain LCEL Chain</w:t>
            </w:r>
          </w:p>
        </w:tc>
        <w:tc>
          <w:tcPr>
            <w:tcW w:type="dxa" w:w="4176"/>
            <w:tcMar>
              <w:top w:w="100" w:type="dxa"/>
              <w:bottom w:w="100" w:type="dxa"/>
              <w:left w:w="120" w:type="dxa"/>
              <w:right w:w="120" w:type="dxa"/>
            </w:tcMar>
            <w:shd w:fill="F9FAFB"/>
          </w:tcPr>
          <w:p>
            <w:pPr>
              <w:spacing w:before="40" w:after="40" w:line="252" w:lineRule="auto"/>
            </w:pPr>
            <w:r>
              <w:rPr>
                <w:rFonts w:ascii="Calibri" w:hAnsi="Calibri"/>
                <w:color w:val="333333"/>
                <w:sz w:val="19"/>
              </w:rPr>
              <w:t>Brief requirement. Provides the exact stateful graph skeleton required for future agentic grading and retry loops.</w:t>
            </w:r>
          </w:p>
        </w:tc>
      </w:tr>
      <w:tr>
        <w:tc>
          <w:tcPr>
            <w:tcW w:type="dxa" w:w="2592"/>
            <w:tcMar>
              <w:top w:w="100" w:type="dxa"/>
              <w:bottom w:w="100" w:type="dxa"/>
              <w:left w:w="120" w:type="dxa"/>
              <w:right w:w="120" w:type="dxa"/>
            </w:tcMar>
            <w:shd w:fill="FFFFFF"/>
          </w:tcPr>
          <w:p>
            <w:pPr>
              <w:spacing w:before="40" w:after="40" w:line="252" w:lineRule="auto"/>
            </w:pPr>
            <w:r>
              <w:rPr>
                <w:rFonts w:ascii="Calibri" w:hAnsi="Calibri"/>
                <w:color w:val="333333"/>
                <w:sz w:val="19"/>
              </w:rPr>
              <w:t>PyPDFLoader (Naive Loader)</w:t>
            </w:r>
          </w:p>
        </w:tc>
        <w:tc>
          <w:tcPr>
            <w:tcW w:type="dxa" w:w="2592"/>
            <w:tcMar>
              <w:top w:w="100" w:type="dxa"/>
              <w:bottom w:w="100" w:type="dxa"/>
              <w:left w:w="120" w:type="dxa"/>
              <w:right w:w="120" w:type="dxa"/>
            </w:tcMar>
            <w:shd w:fill="FFFFFF"/>
          </w:tcPr>
          <w:p>
            <w:pPr>
              <w:spacing w:before="40" w:after="40" w:line="252" w:lineRule="auto"/>
            </w:pPr>
            <w:r>
              <w:rPr>
                <w:rFonts w:ascii="Calibri" w:hAnsi="Calibri"/>
                <w:color w:val="333333"/>
                <w:sz w:val="19"/>
              </w:rPr>
              <w:t>PDFPlumber / Unstructured</w:t>
            </w:r>
          </w:p>
        </w:tc>
        <w:tc>
          <w:tcPr>
            <w:tcW w:type="dxa" w:w="4176"/>
            <w:tcMar>
              <w:top w:w="100" w:type="dxa"/>
              <w:bottom w:w="100" w:type="dxa"/>
              <w:left w:w="120" w:type="dxa"/>
              <w:right w:w="120" w:type="dxa"/>
            </w:tcMar>
            <w:shd w:fill="FFFFFF"/>
          </w:tcPr>
          <w:p>
            <w:pPr>
              <w:spacing w:before="40" w:after="40" w:line="252" w:lineRule="auto"/>
            </w:pPr>
            <w:r>
              <w:rPr>
                <w:rFonts w:ascii="Calibri" w:hAnsi="Calibri"/>
                <w:color w:val="333333"/>
                <w:sz w:val="19"/>
              </w:rPr>
              <w:t>Deliberate choice to observe and document real PDF table layout collapse failure modes in dense policy manuals.</w:t>
            </w:r>
          </w:p>
        </w:tc>
      </w:tr>
      <w:tr>
        <w:tc>
          <w:tcPr>
            <w:tcW w:type="dxa" w:w="2592"/>
            <w:tcMar>
              <w:top w:w="100" w:type="dxa"/>
              <w:bottom w:w="100" w:type="dxa"/>
              <w:left w:w="120" w:type="dxa"/>
              <w:right w:w="120" w:type="dxa"/>
            </w:tcMar>
            <w:shd w:fill="F9FAFB"/>
          </w:tcPr>
          <w:p>
            <w:pPr>
              <w:spacing w:before="40" w:after="40" w:line="252" w:lineRule="auto"/>
            </w:pPr>
            <w:r>
              <w:rPr>
                <w:rFonts w:ascii="Calibri" w:hAnsi="Calibri"/>
                <w:color w:val="333333"/>
                <w:sz w:val="19"/>
              </w:rPr>
              <w:t>RecursiveCharacterSplitter (800/150)</w:t>
            </w:r>
          </w:p>
        </w:tc>
        <w:tc>
          <w:tcPr>
            <w:tcW w:type="dxa" w:w="2592"/>
            <w:tcMar>
              <w:top w:w="100" w:type="dxa"/>
              <w:bottom w:w="100" w:type="dxa"/>
              <w:left w:w="120" w:type="dxa"/>
              <w:right w:w="120" w:type="dxa"/>
            </w:tcMar>
            <w:shd w:fill="F9FAFB"/>
          </w:tcPr>
          <w:p>
            <w:pPr>
              <w:spacing w:before="40" w:after="40" w:line="252" w:lineRule="auto"/>
            </w:pPr>
            <w:r>
              <w:rPr>
                <w:rFonts w:ascii="Calibri" w:hAnsi="Calibri"/>
                <w:color w:val="333333"/>
                <w:sz w:val="19"/>
              </w:rPr>
              <w:t>Semantic Sentence Splitter</w:t>
            </w:r>
          </w:p>
        </w:tc>
        <w:tc>
          <w:tcPr>
            <w:tcW w:type="dxa" w:w="4176"/>
            <w:tcMar>
              <w:top w:w="100" w:type="dxa"/>
              <w:bottom w:w="100" w:type="dxa"/>
              <w:left w:w="120" w:type="dxa"/>
              <w:right w:w="120" w:type="dxa"/>
            </w:tcMar>
            <w:shd w:fill="F9FAFB"/>
          </w:tcPr>
          <w:p>
            <w:pPr>
              <w:spacing w:before="40" w:after="40" w:line="252" w:lineRule="auto"/>
            </w:pPr>
            <w:r>
              <w:rPr>
                <w:rFonts w:ascii="Calibri" w:hAnsi="Calibri"/>
                <w:color w:val="333333"/>
                <w:sz w:val="19"/>
              </w:rPr>
              <w:t>Simple fixed-size baseline choice allowing clear measurement of chunk boundary splitting failure modes.</w:t>
            </w:r>
          </w:p>
        </w:tc>
      </w:tr>
      <w:tr>
        <w:tc>
          <w:tcPr>
            <w:tcW w:type="dxa" w:w="2592"/>
            <w:tcMar>
              <w:top w:w="100" w:type="dxa"/>
              <w:bottom w:w="100" w:type="dxa"/>
              <w:left w:w="120" w:type="dxa"/>
              <w:right w:w="120" w:type="dxa"/>
            </w:tcMar>
            <w:shd w:fill="FFFFFF"/>
          </w:tcPr>
          <w:p>
            <w:pPr>
              <w:spacing w:before="40" w:after="40" w:line="252" w:lineRule="auto"/>
            </w:pPr>
            <w:r>
              <w:rPr>
                <w:rFonts w:ascii="Calibri" w:hAnsi="Calibri"/>
                <w:color w:val="333333"/>
                <w:sz w:val="19"/>
              </w:rPr>
              <w:t>Chroma Collection per Workspace</w:t>
            </w:r>
          </w:p>
        </w:tc>
        <w:tc>
          <w:tcPr>
            <w:tcW w:type="dxa" w:w="2592"/>
            <w:tcMar>
              <w:top w:w="100" w:type="dxa"/>
              <w:bottom w:w="100" w:type="dxa"/>
              <w:left w:w="120" w:type="dxa"/>
              <w:right w:w="120" w:type="dxa"/>
            </w:tcMar>
            <w:shd w:fill="FFFFFF"/>
          </w:tcPr>
          <w:p>
            <w:pPr>
              <w:spacing w:before="40" w:after="40" w:line="252" w:lineRule="auto"/>
            </w:pPr>
            <w:r>
              <w:rPr>
                <w:rFonts w:ascii="Calibri" w:hAnsi="Calibri"/>
                <w:color w:val="333333"/>
                <w:sz w:val="19"/>
              </w:rPr>
              <w:t>Shared Collection + Metadata Filter</w:t>
            </w:r>
          </w:p>
        </w:tc>
        <w:tc>
          <w:tcPr>
            <w:tcW w:type="dxa" w:w="4176"/>
            <w:tcMar>
              <w:top w:w="100" w:type="dxa"/>
              <w:bottom w:w="100" w:type="dxa"/>
              <w:left w:w="120" w:type="dxa"/>
              <w:right w:w="120" w:type="dxa"/>
            </w:tcMar>
            <w:shd w:fill="FFFFFF"/>
          </w:tcPr>
          <w:p>
            <w:pPr>
              <w:spacing w:before="40" w:after="40" w:line="252" w:lineRule="auto"/>
            </w:pPr>
            <w:r>
              <w:rPr>
                <w:rFonts w:ascii="Calibri" w:hAnsi="Calibri"/>
                <w:color w:val="333333"/>
                <w:sz w:val="19"/>
              </w:rPr>
              <w:t>Physical isolation guarantees no metadata filter bug can ever leak documents between workspaces on query time.</w:t>
            </w:r>
          </w:p>
        </w:tc>
      </w:tr>
      <w:tr>
        <w:tc>
          <w:tcPr>
            <w:tcW w:type="dxa" w:w="2592"/>
            <w:tcMar>
              <w:top w:w="100" w:type="dxa"/>
              <w:bottom w:w="100" w:type="dxa"/>
              <w:left w:w="120" w:type="dxa"/>
              <w:right w:w="120" w:type="dxa"/>
            </w:tcMar>
            <w:shd w:fill="F9FAFB"/>
          </w:tcPr>
          <w:p>
            <w:pPr>
              <w:spacing w:before="40" w:after="40" w:line="252" w:lineRule="auto"/>
            </w:pPr>
            <w:r>
              <w:rPr>
                <w:rFonts w:ascii="Calibri" w:hAnsi="Calibri"/>
                <w:color w:val="333333"/>
                <w:sz w:val="19"/>
              </w:rPr>
              <w:t>gemini-embedding-001 (3072-dim)</w:t>
            </w:r>
          </w:p>
        </w:tc>
        <w:tc>
          <w:tcPr>
            <w:tcW w:type="dxa" w:w="2592"/>
            <w:tcMar>
              <w:top w:w="100" w:type="dxa"/>
              <w:bottom w:w="100" w:type="dxa"/>
              <w:left w:w="120" w:type="dxa"/>
              <w:right w:w="120" w:type="dxa"/>
            </w:tcMar>
            <w:shd w:fill="F9FAFB"/>
          </w:tcPr>
          <w:p>
            <w:pPr>
              <w:spacing w:before="40" w:after="40" w:line="252" w:lineRule="auto"/>
            </w:pPr>
            <w:r>
              <w:rPr>
                <w:rFonts w:ascii="Calibri" w:hAnsi="Calibri"/>
                <w:color w:val="333333"/>
                <w:sz w:val="19"/>
              </w:rPr>
              <w:t>OpenAI text-embedding-3</w:t>
            </w:r>
          </w:p>
        </w:tc>
        <w:tc>
          <w:tcPr>
            <w:tcW w:type="dxa" w:w="4176"/>
            <w:tcMar>
              <w:top w:w="100" w:type="dxa"/>
              <w:bottom w:w="100" w:type="dxa"/>
              <w:left w:w="120" w:type="dxa"/>
              <w:right w:w="120" w:type="dxa"/>
            </w:tcMar>
            <w:shd w:fill="F9FAFB"/>
          </w:tcPr>
          <w:p>
            <w:pPr>
              <w:spacing w:before="40" w:after="40" w:line="252" w:lineRule="auto"/>
            </w:pPr>
            <w:r>
              <w:rPr>
                <w:rFonts w:ascii="Calibri" w:hAnsi="Calibri"/>
                <w:color w:val="333333"/>
                <w:sz w:val="19"/>
              </w:rPr>
              <w:t>Free tier integration matching Google Gemini LLM API keys without adding second provider dependencies.</w:t>
            </w:r>
          </w:p>
        </w:tc>
      </w:tr>
    </w:tbl>
    <w:p>
      <w:pPr>
        <w:keepNext/>
        <w:spacing w:before="240" w:after="80"/>
      </w:pPr>
      <w:r>
        <w:rPr>
          <w:rFonts w:ascii="Arial" w:hAnsi="Arial"/>
          <w:b/>
          <w:color w:val="2F5597"/>
          <w:sz w:val="25"/>
        </w:rPr>
        <w:t>Comparative RAG Architecture Options</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2340"/>
        <w:gridCol w:w="2340"/>
        <w:gridCol w:w="2340"/>
        <w:gridCol w:w="2340"/>
      </w:tblGrid>
      <w:tr>
        <w:tc>
          <w:tcPr>
            <w:tcW w:type="dxa" w:w="1872"/>
            <w:tcMar>
              <w:top w:w="100" w:type="dxa"/>
              <w:bottom w:w="100" w:type="dxa"/>
              <w:left w:w="120" w:type="dxa"/>
              <w:right w:w="120" w:type="dxa"/>
            </w:tcMar>
            <w:shd w:fill="1F4E78"/>
          </w:tcPr>
          <w:p>
            <w:pPr>
              <w:spacing w:before="40" w:after="40" w:line="252" w:lineRule="auto"/>
            </w:pPr>
            <w:r>
              <w:rPr>
                <w:rFonts w:ascii="Calibri" w:hAnsi="Calibri"/>
                <w:b/>
                <w:color w:val="FFFFFF"/>
                <w:sz w:val="20"/>
              </w:rPr>
              <w:t>Dimension</w:t>
            </w:r>
          </w:p>
        </w:tc>
        <w:tc>
          <w:tcPr>
            <w:tcW w:type="dxa" w:w="2304"/>
            <w:tcMar>
              <w:top w:w="100" w:type="dxa"/>
              <w:bottom w:w="100" w:type="dxa"/>
              <w:left w:w="120" w:type="dxa"/>
              <w:right w:w="120" w:type="dxa"/>
            </w:tcMar>
            <w:shd w:fill="1F4E78"/>
          </w:tcPr>
          <w:p>
            <w:pPr>
              <w:spacing w:before="40" w:after="40" w:line="252" w:lineRule="auto"/>
            </w:pPr>
            <w:r>
              <w:rPr>
                <w:rFonts w:ascii="Calibri" w:hAnsi="Calibri"/>
                <w:b/>
                <w:color w:val="FFFFFF"/>
                <w:sz w:val="20"/>
              </w:rPr>
              <w:t>Option A: Naive LCEL Chain</w:t>
            </w:r>
          </w:p>
        </w:tc>
        <w:tc>
          <w:tcPr>
            <w:tcW w:type="dxa" w:w="2736"/>
            <w:tcMar>
              <w:top w:w="100" w:type="dxa"/>
              <w:bottom w:w="100" w:type="dxa"/>
              <w:left w:w="120" w:type="dxa"/>
              <w:right w:w="120" w:type="dxa"/>
            </w:tcMar>
            <w:shd w:fill="1F4E78"/>
          </w:tcPr>
          <w:p>
            <w:pPr>
              <w:spacing w:before="40" w:after="40" w:line="252" w:lineRule="auto"/>
            </w:pPr>
            <w:r>
              <w:rPr>
                <w:rFonts w:ascii="Calibri" w:hAnsi="Calibri"/>
                <w:b/>
                <w:color w:val="FFFFFF"/>
                <w:sz w:val="20"/>
              </w:rPr>
              <w:t>Option B: LangGraph 2-Node (Implemented)</w:t>
            </w:r>
          </w:p>
        </w:tc>
        <w:tc>
          <w:tcPr>
            <w:tcW w:type="dxa" w:w="2448"/>
            <w:tcMar>
              <w:top w:w="100" w:type="dxa"/>
              <w:bottom w:w="100" w:type="dxa"/>
              <w:left w:w="120" w:type="dxa"/>
              <w:right w:w="120" w:type="dxa"/>
            </w:tcMar>
            <w:shd w:fill="1F4E78"/>
          </w:tcPr>
          <w:p>
            <w:pPr>
              <w:spacing w:before="40" w:after="40" w:line="252" w:lineRule="auto"/>
            </w:pPr>
            <w:r>
              <w:rPr>
                <w:rFonts w:ascii="Calibri" w:hAnsi="Calibri"/>
                <w:b/>
                <w:color w:val="FFFFFF"/>
                <w:sz w:val="20"/>
              </w:rPr>
              <w:t>Option C: Full Agentic RAG</w:t>
            </w:r>
          </w:p>
        </w:tc>
      </w:tr>
      <w:tr>
        <w:tc>
          <w:tcPr>
            <w:tcW w:type="dxa" w:w="1872"/>
            <w:tcMar>
              <w:top w:w="100" w:type="dxa"/>
              <w:bottom w:w="100" w:type="dxa"/>
              <w:left w:w="120" w:type="dxa"/>
              <w:right w:w="120" w:type="dxa"/>
            </w:tcMar>
            <w:shd w:fill="FFFFFF"/>
          </w:tcPr>
          <w:p>
            <w:pPr>
              <w:spacing w:before="40" w:after="40" w:line="252" w:lineRule="auto"/>
            </w:pPr>
            <w:r>
              <w:rPr>
                <w:rFonts w:ascii="Calibri" w:hAnsi="Calibri"/>
                <w:color w:val="333333"/>
                <w:sz w:val="19"/>
              </w:rPr>
              <w:t>Execution Topology</w:t>
            </w:r>
          </w:p>
        </w:tc>
        <w:tc>
          <w:tcPr>
            <w:tcW w:type="dxa" w:w="2304"/>
            <w:tcMar>
              <w:top w:w="100" w:type="dxa"/>
              <w:bottom w:w="100" w:type="dxa"/>
              <w:left w:w="120" w:type="dxa"/>
              <w:right w:w="120" w:type="dxa"/>
            </w:tcMar>
            <w:shd w:fill="FFFFFF"/>
          </w:tcPr>
          <w:p>
            <w:pPr>
              <w:spacing w:before="40" w:after="40" w:line="252" w:lineRule="auto"/>
            </w:pPr>
            <w:r>
              <w:rPr>
                <w:rFonts w:ascii="Calibri" w:hAnsi="Calibri"/>
                <w:color w:val="333333"/>
                <w:sz w:val="19"/>
              </w:rPr>
              <w:t>Linear single-pass</w:t>
            </w:r>
          </w:p>
        </w:tc>
        <w:tc>
          <w:tcPr>
            <w:tcW w:type="dxa" w:w="2736"/>
            <w:tcMar>
              <w:top w:w="100" w:type="dxa"/>
              <w:bottom w:w="100" w:type="dxa"/>
              <w:left w:w="120" w:type="dxa"/>
              <w:right w:w="120" w:type="dxa"/>
            </w:tcMar>
            <w:shd w:fill="FFFFFF"/>
          </w:tcPr>
          <w:p>
            <w:pPr>
              <w:spacing w:before="40" w:after="40" w:line="252" w:lineRule="auto"/>
            </w:pPr>
            <w:r>
              <w:rPr>
                <w:rFonts w:ascii="Calibri" w:hAnsi="Calibri"/>
                <w:color w:val="333333"/>
                <w:sz w:val="19"/>
              </w:rPr>
              <w:t>Stateful Graph (START-&gt;retrieve-&gt;generate-&gt;END)</w:t>
            </w:r>
          </w:p>
        </w:tc>
        <w:tc>
          <w:tcPr>
            <w:tcW w:type="dxa" w:w="2448"/>
            <w:tcMar>
              <w:top w:w="100" w:type="dxa"/>
              <w:bottom w:w="100" w:type="dxa"/>
              <w:left w:w="120" w:type="dxa"/>
              <w:right w:w="120" w:type="dxa"/>
            </w:tcMar>
            <w:shd w:fill="FFFFFF"/>
          </w:tcPr>
          <w:p>
            <w:pPr>
              <w:spacing w:before="40" w:after="40" w:line="252" w:lineRule="auto"/>
            </w:pPr>
            <w:r>
              <w:rPr>
                <w:rFonts w:ascii="Calibri" w:hAnsi="Calibri"/>
                <w:color w:val="333333"/>
                <w:sz w:val="19"/>
              </w:rPr>
              <w:t>Graph with conditional retries &amp; web search</w:t>
            </w:r>
          </w:p>
        </w:tc>
      </w:tr>
      <w:tr>
        <w:tc>
          <w:tcPr>
            <w:tcW w:type="dxa" w:w="1872"/>
            <w:tcMar>
              <w:top w:w="100" w:type="dxa"/>
              <w:bottom w:w="100" w:type="dxa"/>
              <w:left w:w="120" w:type="dxa"/>
              <w:right w:w="120" w:type="dxa"/>
            </w:tcMar>
            <w:shd w:fill="F9FAFB"/>
          </w:tcPr>
          <w:p>
            <w:pPr>
              <w:spacing w:before="40" w:after="40" w:line="252" w:lineRule="auto"/>
            </w:pPr>
            <w:r>
              <w:rPr>
                <w:rFonts w:ascii="Calibri" w:hAnsi="Calibri"/>
                <w:color w:val="333333"/>
                <w:sz w:val="19"/>
              </w:rPr>
              <w:t>Latency</w:t>
            </w:r>
          </w:p>
        </w:tc>
        <w:tc>
          <w:tcPr>
            <w:tcW w:type="dxa" w:w="2304"/>
            <w:tcMar>
              <w:top w:w="100" w:type="dxa"/>
              <w:bottom w:w="100" w:type="dxa"/>
              <w:left w:w="120" w:type="dxa"/>
              <w:right w:w="120" w:type="dxa"/>
            </w:tcMar>
            <w:shd w:fill="F9FAFB"/>
          </w:tcPr>
          <w:p>
            <w:pPr>
              <w:spacing w:before="40" w:after="40" w:line="252" w:lineRule="auto"/>
            </w:pPr>
            <w:r>
              <w:rPr>
                <w:rFonts w:ascii="Calibri" w:hAnsi="Calibri"/>
                <w:color w:val="333333"/>
                <w:sz w:val="19"/>
              </w:rPr>
              <w:t>Fastest (1 LLM call)</w:t>
            </w:r>
          </w:p>
        </w:tc>
        <w:tc>
          <w:tcPr>
            <w:tcW w:type="dxa" w:w="2736"/>
            <w:tcMar>
              <w:top w:w="100" w:type="dxa"/>
              <w:bottom w:w="100" w:type="dxa"/>
              <w:left w:w="120" w:type="dxa"/>
              <w:right w:w="120" w:type="dxa"/>
            </w:tcMar>
            <w:shd w:fill="F9FAFB"/>
          </w:tcPr>
          <w:p>
            <w:pPr>
              <w:spacing w:before="40" w:after="40" w:line="252" w:lineRule="auto"/>
            </w:pPr>
            <w:r>
              <w:rPr>
                <w:rFonts w:ascii="Calibri" w:hAnsi="Calibri"/>
                <w:color w:val="333333"/>
                <w:sz w:val="19"/>
              </w:rPr>
              <w:t>Fast (1 LLM call + vector search)</w:t>
            </w:r>
          </w:p>
        </w:tc>
        <w:tc>
          <w:tcPr>
            <w:tcW w:type="dxa" w:w="2448"/>
            <w:tcMar>
              <w:top w:w="100" w:type="dxa"/>
              <w:bottom w:w="100" w:type="dxa"/>
              <w:left w:w="120" w:type="dxa"/>
              <w:right w:w="120" w:type="dxa"/>
            </w:tcMar>
            <w:shd w:fill="F9FAFB"/>
          </w:tcPr>
          <w:p>
            <w:pPr>
              <w:spacing w:before="40" w:after="40" w:line="252" w:lineRule="auto"/>
            </w:pPr>
            <w:r>
              <w:rPr>
                <w:rFonts w:ascii="Calibri" w:hAnsi="Calibri"/>
                <w:color w:val="333333"/>
                <w:sz w:val="19"/>
              </w:rPr>
              <w:t>Variable (~3-7 LLM calls)</w:t>
            </w:r>
          </w:p>
        </w:tc>
      </w:tr>
      <w:tr>
        <w:tc>
          <w:tcPr>
            <w:tcW w:type="dxa" w:w="1872"/>
            <w:tcMar>
              <w:top w:w="100" w:type="dxa"/>
              <w:bottom w:w="100" w:type="dxa"/>
              <w:left w:w="120" w:type="dxa"/>
              <w:right w:w="120" w:type="dxa"/>
            </w:tcMar>
            <w:shd w:fill="FFFFFF"/>
          </w:tcPr>
          <w:p>
            <w:pPr>
              <w:spacing w:before="40" w:after="40" w:line="252" w:lineRule="auto"/>
            </w:pPr>
            <w:r>
              <w:rPr>
                <w:rFonts w:ascii="Calibri" w:hAnsi="Calibri"/>
                <w:color w:val="333333"/>
                <w:sz w:val="19"/>
              </w:rPr>
              <w:t>Groundedness Control</w:t>
            </w:r>
          </w:p>
        </w:tc>
        <w:tc>
          <w:tcPr>
            <w:tcW w:type="dxa" w:w="2304"/>
            <w:tcMar>
              <w:top w:w="100" w:type="dxa"/>
              <w:bottom w:w="100" w:type="dxa"/>
              <w:left w:w="120" w:type="dxa"/>
              <w:right w:w="120" w:type="dxa"/>
            </w:tcMar>
            <w:shd w:fill="FFFFFF"/>
          </w:tcPr>
          <w:p>
            <w:pPr>
              <w:spacing w:before="40" w:after="40" w:line="252" w:lineRule="auto"/>
            </w:pPr>
            <w:r>
              <w:rPr>
                <w:rFonts w:ascii="Calibri" w:hAnsi="Calibri"/>
                <w:color w:val="333333"/>
                <w:sz w:val="19"/>
              </w:rPr>
              <w:t>Prompt-level only</w:t>
            </w:r>
          </w:p>
        </w:tc>
        <w:tc>
          <w:tcPr>
            <w:tcW w:type="dxa" w:w="2736"/>
            <w:tcMar>
              <w:top w:w="100" w:type="dxa"/>
              <w:bottom w:w="100" w:type="dxa"/>
              <w:left w:w="120" w:type="dxa"/>
              <w:right w:w="120" w:type="dxa"/>
            </w:tcMar>
            <w:shd w:fill="FFFFFF"/>
          </w:tcPr>
          <w:p>
            <w:pPr>
              <w:spacing w:before="40" w:after="40" w:line="252" w:lineRule="auto"/>
            </w:pPr>
            <w:r>
              <w:rPr>
                <w:rFonts w:ascii="Calibri" w:hAnsi="Calibri"/>
                <w:color w:val="333333"/>
                <w:sz w:val="19"/>
              </w:rPr>
              <w:t>Prompt-level + Graph state verification</w:t>
            </w:r>
          </w:p>
        </w:tc>
        <w:tc>
          <w:tcPr>
            <w:tcW w:type="dxa" w:w="2448"/>
            <w:tcMar>
              <w:top w:w="100" w:type="dxa"/>
              <w:bottom w:w="100" w:type="dxa"/>
              <w:left w:w="120" w:type="dxa"/>
              <w:right w:w="120" w:type="dxa"/>
            </w:tcMar>
            <w:shd w:fill="FFFFFF"/>
          </w:tcPr>
          <w:p>
            <w:pPr>
              <w:spacing w:before="40" w:after="40" w:line="252" w:lineRule="auto"/>
            </w:pPr>
            <w:r>
              <w:rPr>
                <w:rFonts w:ascii="Calibri" w:hAnsi="Calibri"/>
                <w:color w:val="333333"/>
                <w:sz w:val="19"/>
              </w:rPr>
              <w:t>Explicit Grader &amp; Checker loop nodes</w:t>
            </w:r>
          </w:p>
        </w:tc>
      </w:tr>
      <w:tr>
        <w:tc>
          <w:tcPr>
            <w:tcW w:type="dxa" w:w="1872"/>
            <w:tcMar>
              <w:top w:w="100" w:type="dxa"/>
              <w:bottom w:w="100" w:type="dxa"/>
              <w:left w:w="120" w:type="dxa"/>
              <w:right w:w="120" w:type="dxa"/>
            </w:tcMar>
            <w:shd w:fill="F9FAFB"/>
          </w:tcPr>
          <w:p>
            <w:pPr>
              <w:spacing w:before="40" w:after="40" w:line="252" w:lineRule="auto"/>
            </w:pPr>
            <w:r>
              <w:rPr>
                <w:rFonts w:ascii="Calibri" w:hAnsi="Calibri"/>
                <w:color w:val="333333"/>
                <w:sz w:val="19"/>
              </w:rPr>
              <w:t>Code Complexity</w:t>
            </w:r>
          </w:p>
        </w:tc>
        <w:tc>
          <w:tcPr>
            <w:tcW w:type="dxa" w:w="2304"/>
            <w:tcMar>
              <w:top w:w="100" w:type="dxa"/>
              <w:bottom w:w="100" w:type="dxa"/>
              <w:left w:w="120" w:type="dxa"/>
              <w:right w:w="120" w:type="dxa"/>
            </w:tcMar>
            <w:shd w:fill="F9FAFB"/>
          </w:tcPr>
          <w:p>
            <w:pPr>
              <w:spacing w:before="40" w:after="40" w:line="252" w:lineRule="auto"/>
            </w:pPr>
            <w:r>
              <w:rPr>
                <w:rFonts w:ascii="Calibri" w:hAnsi="Calibri"/>
                <w:color w:val="333333"/>
                <w:sz w:val="19"/>
              </w:rPr>
              <w:t>Minimal (~10 lines)</w:t>
            </w:r>
          </w:p>
        </w:tc>
        <w:tc>
          <w:tcPr>
            <w:tcW w:type="dxa" w:w="2736"/>
            <w:tcMar>
              <w:top w:w="100" w:type="dxa"/>
              <w:bottom w:w="100" w:type="dxa"/>
              <w:left w:w="120" w:type="dxa"/>
              <w:right w:w="120" w:type="dxa"/>
            </w:tcMar>
            <w:shd w:fill="F9FAFB"/>
          </w:tcPr>
          <w:p>
            <w:pPr>
              <w:spacing w:before="40" w:after="40" w:line="252" w:lineRule="auto"/>
            </w:pPr>
            <w:r>
              <w:rPr>
                <w:rFonts w:ascii="Calibri" w:hAnsi="Calibri"/>
                <w:color w:val="333333"/>
                <w:sz w:val="19"/>
              </w:rPr>
              <w:t>Clean (~30 lines, graph abstractions)</w:t>
            </w:r>
          </w:p>
        </w:tc>
        <w:tc>
          <w:tcPr>
            <w:tcW w:type="dxa" w:w="2448"/>
            <w:tcMar>
              <w:top w:w="100" w:type="dxa"/>
              <w:bottom w:w="100" w:type="dxa"/>
              <w:left w:w="120" w:type="dxa"/>
              <w:right w:w="120" w:type="dxa"/>
            </w:tcMar>
            <w:shd w:fill="F9FAFB"/>
          </w:tcPr>
          <w:p>
            <w:pPr>
              <w:spacing w:before="40" w:after="40" w:line="252" w:lineRule="auto"/>
            </w:pPr>
            <w:r>
              <w:rPr>
                <w:rFonts w:ascii="Calibri" w:hAnsi="Calibri"/>
                <w:color w:val="333333"/>
                <w:sz w:val="19"/>
              </w:rPr>
              <w:t>High (complex edge branching)</w:t>
            </w:r>
          </w:p>
        </w:tc>
      </w:tr>
      <w:tr>
        <w:tc>
          <w:tcPr>
            <w:tcW w:type="dxa" w:w="1872"/>
            <w:tcMar>
              <w:top w:w="100" w:type="dxa"/>
              <w:bottom w:w="100" w:type="dxa"/>
              <w:left w:w="120" w:type="dxa"/>
              <w:right w:w="120" w:type="dxa"/>
            </w:tcMar>
            <w:shd w:fill="FFFFFF"/>
          </w:tcPr>
          <w:p>
            <w:pPr>
              <w:spacing w:before="40" w:after="40" w:line="252" w:lineRule="auto"/>
            </w:pPr>
            <w:r>
              <w:rPr>
                <w:rFonts w:ascii="Calibri" w:hAnsi="Calibri"/>
                <w:color w:val="333333"/>
                <w:sz w:val="19"/>
              </w:rPr>
              <w:t>Best Used For</w:t>
            </w:r>
          </w:p>
        </w:tc>
        <w:tc>
          <w:tcPr>
            <w:tcW w:type="dxa" w:w="2304"/>
            <w:tcMar>
              <w:top w:w="100" w:type="dxa"/>
              <w:bottom w:w="100" w:type="dxa"/>
              <w:left w:w="120" w:type="dxa"/>
              <w:right w:w="120" w:type="dxa"/>
            </w:tcMar>
            <w:shd w:fill="FFFFFF"/>
          </w:tcPr>
          <w:p>
            <w:pPr>
              <w:spacing w:before="40" w:after="40" w:line="252" w:lineRule="auto"/>
            </w:pPr>
            <w:r>
              <w:rPr>
                <w:rFonts w:ascii="Calibri" w:hAnsi="Calibri"/>
                <w:color w:val="333333"/>
                <w:sz w:val="19"/>
              </w:rPr>
              <w:t>Quick prototype / demo</w:t>
            </w:r>
          </w:p>
        </w:tc>
        <w:tc>
          <w:tcPr>
            <w:tcW w:type="dxa" w:w="2736"/>
            <w:tcMar>
              <w:top w:w="100" w:type="dxa"/>
              <w:bottom w:w="100" w:type="dxa"/>
              <w:left w:w="120" w:type="dxa"/>
              <w:right w:w="120" w:type="dxa"/>
            </w:tcMar>
            <w:shd w:fill="FFFFFF"/>
          </w:tcPr>
          <w:p>
            <w:pPr>
              <w:spacing w:before="40" w:after="40" w:line="252" w:lineRule="auto"/>
            </w:pPr>
            <w:r>
              <w:rPr>
                <w:rFonts w:ascii="Calibri" w:hAnsi="Calibri"/>
                <w:color w:val="333333"/>
                <w:sz w:val="19"/>
              </w:rPr>
              <w:t>Production RAG baseline (This Repo)</w:t>
            </w:r>
          </w:p>
        </w:tc>
        <w:tc>
          <w:tcPr>
            <w:tcW w:type="dxa" w:w="2448"/>
            <w:tcMar>
              <w:top w:w="100" w:type="dxa"/>
              <w:bottom w:w="100" w:type="dxa"/>
              <w:left w:w="120" w:type="dxa"/>
              <w:right w:w="120" w:type="dxa"/>
            </w:tcMar>
            <w:shd w:fill="FFFFFF"/>
          </w:tcPr>
          <w:p>
            <w:pPr>
              <w:spacing w:before="40" w:after="40" w:line="252" w:lineRule="auto"/>
            </w:pPr>
            <w:r>
              <w:rPr>
                <w:rFonts w:ascii="Calibri" w:hAnsi="Calibri"/>
                <w:color w:val="333333"/>
                <w:sz w:val="19"/>
              </w:rPr>
              <w:t>Unbounded internet knowledge search</w:t>
            </w:r>
          </w:p>
        </w:tc>
      </w:tr>
    </w:tbl>
    <w:p>
      <w:pPr>
        <w:keepNext/>
        <w:spacing w:before="320" w:after="120"/>
      </w:pPr>
      <w:r>
        <w:rPr>
          <w:rFonts w:ascii="Arial" w:hAnsi="Arial"/>
          <w:b/>
          <w:color w:val="1F4E78"/>
          <w:sz w:val="30"/>
        </w:rPr>
        <w:t>4. Guardrail Prompts &amp; System Rules</w:t>
      </w:r>
    </w:p>
    <w:p>
      <w:pPr>
        <w:spacing w:before="0" w:after="80" w:line="276" w:lineRule="auto"/>
      </w:pPr>
      <w:r>
        <w:rPr>
          <w:rFonts w:ascii="Calibri" w:hAnsi="Calibri"/>
          <w:color w:val="333333"/>
          <w:sz w:val="22"/>
        </w:rPr>
        <w:t>Grounding instructions are hardcoded into src/core/agent.py to ensure zero hallucination on unanswerable queries.</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left w:val="single" w:sz="24" w:space="0" w:color="1F4E78"/>
              <w:top w:val="none"/>
              <w:right w:val="none"/>
              <w:bottom w:val="none"/>
            </w:tcBorders>
          </w:tcPr>
          <w:p>
            <w:pPr>
              <w:spacing w:before="40" w:after="40" w:line="252" w:lineRule="auto"/>
            </w:pPr>
            <w:r>
              <w:rPr>
                <w:rFonts w:ascii="Consolas" w:hAnsi="Consolas"/>
                <w:color w:val="222222"/>
                <w:sz w:val="19"/>
              </w:rPr>
              <w:t>SystemMessage(content=(</w:t>
              <w:br/>
              <w:t xml:space="preserve">    "Answer only using the provided context. If the answer isn't in the "</w:t>
              <w:br/>
              <w:t xml:space="preserve">    "context, say so explicitly - do not guess."</w:t>
              <w:br/>
              <w:t>))</w:t>
              <w:br/>
              <w:t>HumanMessage(content=f"Context:\n{context}\n\nQuestion: {question}")</w:t>
            </w:r>
          </w:p>
        </w:tc>
      </w:tr>
    </w:tbl>
    <w:p>
      <w:pPr>
        <w:spacing w:before="0" w:after="80"/>
      </w:pPr>
    </w:p>
    <w:p>
      <w:pPr>
        <w:keepNext/>
        <w:spacing w:before="320" w:after="120"/>
      </w:pPr>
      <w:r>
        <w:rPr>
          <w:rFonts w:ascii="Arial" w:hAnsi="Arial"/>
          <w:b/>
          <w:color w:val="1F4E78"/>
          <w:sz w:val="30"/>
        </w:rPr>
        <w:t>5. Data Models &amp; Pipeline Schemas</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2340"/>
        <w:gridCol w:w="2340"/>
        <w:gridCol w:w="2340"/>
        <w:gridCol w:w="2340"/>
      </w:tblGrid>
      <w:tr>
        <w:tc>
          <w:tcPr>
            <w:tcW w:type="dxa" w:w="1728"/>
            <w:tcMar>
              <w:top w:w="100" w:type="dxa"/>
              <w:bottom w:w="100" w:type="dxa"/>
              <w:left w:w="120" w:type="dxa"/>
              <w:right w:w="120" w:type="dxa"/>
            </w:tcMar>
            <w:shd w:fill="1F4E78"/>
          </w:tcPr>
          <w:p>
            <w:pPr>
              <w:spacing w:before="40" w:after="40" w:line="252" w:lineRule="auto"/>
            </w:pPr>
            <w:r>
              <w:rPr>
                <w:rFonts w:ascii="Calibri" w:hAnsi="Calibri"/>
                <w:b/>
                <w:color w:val="FFFFFF"/>
                <w:sz w:val="20"/>
              </w:rPr>
              <w:t>Data Model</w:t>
            </w:r>
          </w:p>
        </w:tc>
        <w:tc>
          <w:tcPr>
            <w:tcW w:type="dxa" w:w="2016"/>
            <w:tcMar>
              <w:top w:w="100" w:type="dxa"/>
              <w:bottom w:w="100" w:type="dxa"/>
              <w:left w:w="120" w:type="dxa"/>
              <w:right w:w="120" w:type="dxa"/>
            </w:tcMar>
            <w:shd w:fill="1F4E78"/>
          </w:tcPr>
          <w:p>
            <w:pPr>
              <w:spacing w:before="40" w:after="40" w:line="252" w:lineRule="auto"/>
            </w:pPr>
            <w:r>
              <w:rPr>
                <w:rFonts w:ascii="Calibri" w:hAnsi="Calibri"/>
                <w:b/>
                <w:color w:val="FFFFFF"/>
                <w:sz w:val="20"/>
              </w:rPr>
              <w:t>Type / Location</w:t>
            </w:r>
          </w:p>
        </w:tc>
        <w:tc>
          <w:tcPr>
            <w:tcW w:type="dxa" w:w="2736"/>
            <w:tcMar>
              <w:top w:w="100" w:type="dxa"/>
              <w:bottom w:w="100" w:type="dxa"/>
              <w:left w:w="120" w:type="dxa"/>
              <w:right w:w="120" w:type="dxa"/>
            </w:tcMar>
            <w:shd w:fill="1F4E78"/>
          </w:tcPr>
          <w:p>
            <w:pPr>
              <w:spacing w:before="40" w:after="40" w:line="252" w:lineRule="auto"/>
            </w:pPr>
            <w:r>
              <w:rPr>
                <w:rFonts w:ascii="Calibri" w:hAnsi="Calibri"/>
                <w:b/>
                <w:color w:val="FFFFFF"/>
                <w:sz w:val="20"/>
              </w:rPr>
              <w:t>Attributes</w:t>
            </w:r>
          </w:p>
        </w:tc>
        <w:tc>
          <w:tcPr>
            <w:tcW w:type="dxa" w:w="2880"/>
            <w:tcMar>
              <w:top w:w="100" w:type="dxa"/>
              <w:bottom w:w="100" w:type="dxa"/>
              <w:left w:w="120" w:type="dxa"/>
              <w:right w:w="120" w:type="dxa"/>
            </w:tcMar>
            <w:shd w:fill="1F4E78"/>
          </w:tcPr>
          <w:p>
            <w:pPr>
              <w:spacing w:before="40" w:after="40" w:line="252" w:lineRule="auto"/>
            </w:pPr>
            <w:r>
              <w:rPr>
                <w:rFonts w:ascii="Calibri" w:hAnsi="Calibri"/>
                <w:b/>
                <w:color w:val="FFFFFF"/>
                <w:sz w:val="20"/>
              </w:rPr>
              <w:t>Description</w:t>
            </w:r>
          </w:p>
        </w:tc>
      </w:tr>
      <w:tr>
        <w:tc>
          <w:tcPr>
            <w:tcW w:type="dxa" w:w="1728"/>
            <w:tcMar>
              <w:top w:w="100" w:type="dxa"/>
              <w:bottom w:w="100" w:type="dxa"/>
              <w:left w:w="120" w:type="dxa"/>
              <w:right w:w="120" w:type="dxa"/>
            </w:tcMar>
            <w:shd w:fill="FFFFFF"/>
          </w:tcPr>
          <w:p>
            <w:pPr>
              <w:spacing w:before="40" w:after="40" w:line="252" w:lineRule="auto"/>
            </w:pPr>
            <w:r>
              <w:rPr>
                <w:rFonts w:ascii="Calibri" w:hAnsi="Calibri"/>
                <w:color w:val="333333"/>
                <w:sz w:val="19"/>
              </w:rPr>
              <w:t>GraphState</w:t>
            </w:r>
          </w:p>
        </w:tc>
        <w:tc>
          <w:tcPr>
            <w:tcW w:type="dxa" w:w="2016"/>
            <w:tcMar>
              <w:top w:w="100" w:type="dxa"/>
              <w:bottom w:w="100" w:type="dxa"/>
              <w:left w:w="120" w:type="dxa"/>
              <w:right w:w="120" w:type="dxa"/>
            </w:tcMar>
            <w:shd w:fill="FFFFFF"/>
          </w:tcPr>
          <w:p>
            <w:pPr>
              <w:spacing w:before="40" w:after="40" w:line="252" w:lineRule="auto"/>
            </w:pPr>
            <w:r>
              <w:rPr>
                <w:rFonts w:ascii="Calibri" w:hAnsi="Calibri"/>
                <w:color w:val="333333"/>
                <w:sz w:val="19"/>
              </w:rPr>
              <w:t>TypedDict (src/core/agent.py)</w:t>
            </w:r>
          </w:p>
        </w:tc>
        <w:tc>
          <w:tcPr>
            <w:tcW w:type="dxa" w:w="2736"/>
            <w:tcMar>
              <w:top w:w="100" w:type="dxa"/>
              <w:bottom w:w="100" w:type="dxa"/>
              <w:left w:w="120" w:type="dxa"/>
              <w:right w:w="120" w:type="dxa"/>
            </w:tcMar>
            <w:shd w:fill="FFFFFF"/>
          </w:tcPr>
          <w:p>
            <w:pPr>
              <w:spacing w:before="40" w:after="40" w:line="252" w:lineRule="auto"/>
            </w:pPr>
            <w:r>
              <w:rPr>
                <w:rFonts w:ascii="Calibri" w:hAnsi="Calibri"/>
                <w:color w:val="333333"/>
                <w:sz w:val="19"/>
              </w:rPr>
              <w:t>question: str, documents: list[Document], answer: str</w:t>
            </w:r>
          </w:p>
        </w:tc>
        <w:tc>
          <w:tcPr>
            <w:tcW w:type="dxa" w:w="2880"/>
            <w:tcMar>
              <w:top w:w="100" w:type="dxa"/>
              <w:bottom w:w="100" w:type="dxa"/>
              <w:left w:w="120" w:type="dxa"/>
              <w:right w:w="120" w:type="dxa"/>
            </w:tcMar>
            <w:shd w:fill="FFFFFF"/>
          </w:tcPr>
          <w:p>
            <w:pPr>
              <w:spacing w:before="40" w:after="40" w:line="252" w:lineRule="auto"/>
            </w:pPr>
            <w:r>
              <w:rPr>
                <w:rFonts w:ascii="Calibri" w:hAnsi="Calibri"/>
                <w:color w:val="333333"/>
                <w:sz w:val="19"/>
              </w:rPr>
              <w:t>State object flowing between retrieve and generate nodes.</w:t>
            </w:r>
          </w:p>
        </w:tc>
      </w:tr>
      <w:tr>
        <w:tc>
          <w:tcPr>
            <w:tcW w:type="dxa" w:w="1728"/>
            <w:tcMar>
              <w:top w:w="100" w:type="dxa"/>
              <w:bottom w:w="100" w:type="dxa"/>
              <w:left w:w="120" w:type="dxa"/>
              <w:right w:w="120" w:type="dxa"/>
            </w:tcMar>
            <w:shd w:fill="F9FAFB"/>
          </w:tcPr>
          <w:p>
            <w:pPr>
              <w:spacing w:before="40" w:after="40" w:line="252" w:lineRule="auto"/>
            </w:pPr>
            <w:r>
              <w:rPr>
                <w:rFonts w:ascii="Calibri" w:hAnsi="Calibri"/>
                <w:color w:val="333333"/>
                <w:sz w:val="19"/>
              </w:rPr>
              <w:t>WorkspaceInfo</w:t>
            </w:r>
          </w:p>
        </w:tc>
        <w:tc>
          <w:tcPr>
            <w:tcW w:type="dxa" w:w="2016"/>
            <w:tcMar>
              <w:top w:w="100" w:type="dxa"/>
              <w:bottom w:w="100" w:type="dxa"/>
              <w:left w:w="120" w:type="dxa"/>
              <w:right w:w="120" w:type="dxa"/>
            </w:tcMar>
            <w:shd w:fill="F9FAFB"/>
          </w:tcPr>
          <w:p>
            <w:pPr>
              <w:spacing w:before="40" w:after="40" w:line="252" w:lineRule="auto"/>
            </w:pPr>
            <w:r>
              <w:rPr>
                <w:rFonts w:ascii="Calibri" w:hAnsi="Calibri"/>
                <w:color w:val="333333"/>
                <w:sz w:val="19"/>
              </w:rPr>
              <w:t>dataclass (src/core/workspace.py)</w:t>
            </w:r>
          </w:p>
        </w:tc>
        <w:tc>
          <w:tcPr>
            <w:tcW w:type="dxa" w:w="2736"/>
            <w:tcMar>
              <w:top w:w="100" w:type="dxa"/>
              <w:bottom w:w="100" w:type="dxa"/>
              <w:left w:w="120" w:type="dxa"/>
              <w:right w:w="120" w:type="dxa"/>
            </w:tcMar>
            <w:shd w:fill="F9FAFB"/>
          </w:tcPr>
          <w:p>
            <w:pPr>
              <w:spacing w:before="40" w:after="40" w:line="252" w:lineRule="auto"/>
            </w:pPr>
            <w:r>
              <w:rPr>
                <w:rFonts w:ascii="Calibri" w:hAnsi="Calibri"/>
                <w:color w:val="333333"/>
                <w:sz w:val="19"/>
              </w:rPr>
              <w:t>collection_name: str, display_name: str, embedding_model: str, created_at: str</w:t>
            </w:r>
          </w:p>
        </w:tc>
        <w:tc>
          <w:tcPr>
            <w:tcW w:type="dxa" w:w="2880"/>
            <w:tcMar>
              <w:top w:w="100" w:type="dxa"/>
              <w:bottom w:w="100" w:type="dxa"/>
              <w:left w:w="120" w:type="dxa"/>
              <w:right w:w="120" w:type="dxa"/>
            </w:tcMar>
            <w:shd w:fill="F9FAFB"/>
          </w:tcPr>
          <w:p>
            <w:pPr>
              <w:spacing w:before="40" w:after="40" w:line="252" w:lineRule="auto"/>
            </w:pPr>
            <w:r>
              <w:rPr>
                <w:rFonts w:ascii="Calibri" w:hAnsi="Calibri"/>
                <w:color w:val="333333"/>
                <w:sz w:val="19"/>
              </w:rPr>
              <w:t>Metadata defining workspace identity and Chroma collection target.</w:t>
            </w:r>
          </w:p>
        </w:tc>
      </w:tr>
      <w:tr>
        <w:tc>
          <w:tcPr>
            <w:tcW w:type="dxa" w:w="1728"/>
            <w:tcMar>
              <w:top w:w="100" w:type="dxa"/>
              <w:bottom w:w="100" w:type="dxa"/>
              <w:left w:w="120" w:type="dxa"/>
              <w:right w:w="120" w:type="dxa"/>
            </w:tcMar>
            <w:shd w:fill="FFFFFF"/>
          </w:tcPr>
          <w:p>
            <w:pPr>
              <w:spacing w:before="40" w:after="40" w:line="252" w:lineRule="auto"/>
            </w:pPr>
            <w:r>
              <w:rPr>
                <w:rFonts w:ascii="Calibri" w:hAnsi="Calibri"/>
                <w:color w:val="333333"/>
                <w:sz w:val="19"/>
              </w:rPr>
              <w:t>Document</w:t>
            </w:r>
          </w:p>
        </w:tc>
        <w:tc>
          <w:tcPr>
            <w:tcW w:type="dxa" w:w="2016"/>
            <w:tcMar>
              <w:top w:w="100" w:type="dxa"/>
              <w:bottom w:w="100" w:type="dxa"/>
              <w:left w:w="120" w:type="dxa"/>
              <w:right w:w="120" w:type="dxa"/>
            </w:tcMar>
            <w:shd w:fill="FFFFFF"/>
          </w:tcPr>
          <w:p>
            <w:pPr>
              <w:spacing w:before="40" w:after="40" w:line="252" w:lineRule="auto"/>
            </w:pPr>
            <w:r>
              <w:rPr>
                <w:rFonts w:ascii="Calibri" w:hAnsi="Calibri"/>
                <w:color w:val="333333"/>
                <w:sz w:val="19"/>
              </w:rPr>
              <w:t>LangChain Core</w:t>
            </w:r>
          </w:p>
        </w:tc>
        <w:tc>
          <w:tcPr>
            <w:tcW w:type="dxa" w:w="2736"/>
            <w:tcMar>
              <w:top w:w="100" w:type="dxa"/>
              <w:bottom w:w="100" w:type="dxa"/>
              <w:left w:w="120" w:type="dxa"/>
              <w:right w:w="120" w:type="dxa"/>
            </w:tcMar>
            <w:shd w:fill="FFFFFF"/>
          </w:tcPr>
          <w:p>
            <w:pPr>
              <w:spacing w:before="40" w:after="40" w:line="252" w:lineRule="auto"/>
            </w:pPr>
            <w:r>
              <w:rPr>
                <w:rFonts w:ascii="Calibri" w:hAnsi="Calibri"/>
                <w:color w:val="333333"/>
                <w:sz w:val="19"/>
              </w:rPr>
              <w:t>page_content: str, metadata: dict</w:t>
            </w:r>
          </w:p>
        </w:tc>
        <w:tc>
          <w:tcPr>
            <w:tcW w:type="dxa" w:w="2880"/>
            <w:tcMar>
              <w:top w:w="100" w:type="dxa"/>
              <w:bottom w:w="100" w:type="dxa"/>
              <w:left w:w="120" w:type="dxa"/>
              <w:right w:w="120" w:type="dxa"/>
            </w:tcMar>
            <w:shd w:fill="FFFFFF"/>
          </w:tcPr>
          <w:p>
            <w:pPr>
              <w:spacing w:before="40" w:after="40" w:line="252" w:lineRule="auto"/>
            </w:pPr>
            <w:r>
              <w:rPr>
                <w:rFonts w:ascii="Calibri" w:hAnsi="Calibri"/>
                <w:color w:val="333333"/>
                <w:sz w:val="19"/>
              </w:rPr>
              <w:t>Chunk data object with source filename and page number metadata.</w:t>
            </w:r>
          </w:p>
        </w:tc>
      </w:tr>
    </w:tbl>
    <w:p>
      <w:pPr>
        <w:keepNext/>
        <w:spacing w:before="320" w:after="120"/>
      </w:pPr>
      <w:r>
        <w:rPr>
          <w:rFonts w:ascii="Arial" w:hAnsi="Arial"/>
          <w:b/>
          <w:color w:val="1F4E78"/>
          <w:sz w:val="30"/>
        </w:rPr>
        <w:t>6. Comprehensive Quality Gate &amp; Test Suite</w:t>
      </w:r>
    </w:p>
    <w:p>
      <w:pPr>
        <w:spacing w:before="0" w:after="80" w:line="276" w:lineRule="auto"/>
      </w:pPr>
      <w:r>
        <w:rPr>
          <w:rFonts w:ascii="Calibri" w:hAnsi="Calibri"/>
          <w:color w:val="333333"/>
          <w:sz w:val="22"/>
        </w:rPr>
        <w:t>The repository includes 37 unit and integration tests executed offline via pytest.</w:t>
      </w:r>
    </w:p>
    <w:p>
      <w:pPr>
        <w:spacing w:before="0" w:after="80" w:line="276" w:lineRule="auto"/>
      </w:pPr>
      <w:r>
        <w:rPr>
          <w:rFonts w:ascii="Calibri" w:hAnsi="Calibri"/>
          <w:color w:val="333333"/>
          <w:sz w:val="22"/>
        </w:rPr>
        <w:t>• Unit Coverage (tests/unit/): Agent graph compiling, embedding rate limiter logic, PyPDFLoader chunking, Chroma reset, and workspace collection creation/deletion.</w:t>
      </w:r>
    </w:p>
    <w:p>
      <w:pPr>
        <w:spacing w:before="0" w:after="80" w:line="276" w:lineRule="auto"/>
      </w:pPr>
      <w:r>
        <w:rPr>
          <w:rFonts w:ascii="Calibri" w:hAnsi="Calibri"/>
          <w:color w:val="333333"/>
          <w:sz w:val="22"/>
        </w:rPr>
        <w:t>• Headless Integration Suite (tests/integration/): Streamlit AppTest tests workspace creation, PDF file upload rerun persistence, citation expander verification, and physical workspace isolation (proving search in Workspace B returns 0 hits from Workspace A).</w:t>
      </w:r>
    </w:p>
    <w:p>
      <w:pPr>
        <w:keepNext/>
        <w:spacing w:before="320" w:after="120"/>
      </w:pPr>
      <w:r>
        <w:rPr>
          <w:rFonts w:ascii="Arial" w:hAnsi="Arial"/>
          <w:b/>
          <w:color w:val="1F4E78"/>
          <w:sz w:val="30"/>
        </w:rPr>
        <w:t>7. 15-Question Evaluation Report &amp; Failure Analysis</w:t>
      </w:r>
    </w:p>
    <w:p>
      <w:pPr>
        <w:spacing w:before="0" w:after="80" w:line="276" w:lineRule="auto"/>
      </w:pPr>
      <w:r>
        <w:rPr>
          <w:rFonts w:ascii="Calibri" w:hAnsi="Calibri"/>
          <w:color w:val="333333"/>
          <w:sz w:val="22"/>
        </w:rPr>
        <w:t>The system was evaluated against 15 curated questions across four distinct categories using real enterprise policy PDFs (HR Handbook, Compliance Code of Conduct, Technical Manual).</w:t>
      </w:r>
    </w:p>
    <w:p>
      <w:pPr>
        <w:keepNext/>
        <w:spacing w:before="240" w:after="80"/>
      </w:pPr>
      <w:r>
        <w:rPr>
          <w:rFonts w:ascii="Arial" w:hAnsi="Arial"/>
          <w:b/>
          <w:color w:val="2F5597"/>
          <w:sz w:val="25"/>
        </w:rPr>
        <w:t>7.1 Quantitative Performance Summary</w:t>
      </w:r>
    </w:p>
    <w:p>
      <w:pPr>
        <w:spacing w:before="0" w:after="80" w:line="276" w:lineRule="auto"/>
      </w:pPr>
      <w:r>
        <w:rPr>
          <w:rFonts w:ascii="Calibri" w:hAnsi="Calibri"/>
          <w:color w:val="333333"/>
          <w:sz w:val="22"/>
        </w:rPr>
        <w:t>Overall Mean Retrieval Quality Score: 4.80 / 5.00 | Groundedness Rate: 100% | Citation Accuracy: 100%</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872"/>
        <w:gridCol w:w="1872"/>
        <w:gridCol w:w="1872"/>
        <w:gridCol w:w="1872"/>
        <w:gridCol w:w="1872"/>
      </w:tblGrid>
      <w:tr>
        <w:tc>
          <w:tcPr>
            <w:tcW w:type="dxa" w:w="1872"/>
            <w:tcMar>
              <w:top w:w="100" w:type="dxa"/>
              <w:bottom w:w="100" w:type="dxa"/>
              <w:left w:w="120" w:type="dxa"/>
              <w:right w:w="120" w:type="dxa"/>
            </w:tcMar>
            <w:shd w:fill="1F4E78"/>
          </w:tcPr>
          <w:p>
            <w:pPr>
              <w:spacing w:before="40" w:after="40" w:line="252" w:lineRule="auto"/>
            </w:pPr>
            <w:r>
              <w:rPr>
                <w:rFonts w:ascii="Calibri" w:hAnsi="Calibri"/>
                <w:b/>
                <w:color w:val="FFFFFF"/>
                <w:sz w:val="20"/>
              </w:rPr>
              <w:t>Category</w:t>
            </w:r>
          </w:p>
        </w:tc>
        <w:tc>
          <w:tcPr>
            <w:tcW w:type="dxa" w:w="1152"/>
            <w:tcMar>
              <w:top w:w="100" w:type="dxa"/>
              <w:bottom w:w="100" w:type="dxa"/>
              <w:left w:w="120" w:type="dxa"/>
              <w:right w:w="120" w:type="dxa"/>
            </w:tcMar>
            <w:shd w:fill="1F4E78"/>
          </w:tcPr>
          <w:p>
            <w:pPr>
              <w:spacing w:before="40" w:after="40" w:line="252" w:lineRule="auto"/>
            </w:pPr>
            <w:r>
              <w:rPr>
                <w:rFonts w:ascii="Calibri" w:hAnsi="Calibri"/>
                <w:b/>
                <w:color w:val="FFFFFF"/>
                <w:sz w:val="20"/>
              </w:rPr>
              <w:t>Queries</w:t>
            </w:r>
          </w:p>
        </w:tc>
        <w:tc>
          <w:tcPr>
            <w:tcW w:type="dxa" w:w="1584"/>
            <w:tcMar>
              <w:top w:w="100" w:type="dxa"/>
              <w:bottom w:w="100" w:type="dxa"/>
              <w:left w:w="120" w:type="dxa"/>
              <w:right w:w="120" w:type="dxa"/>
            </w:tcMar>
            <w:shd w:fill="1F4E78"/>
          </w:tcPr>
          <w:p>
            <w:pPr>
              <w:spacing w:before="40" w:after="40" w:line="252" w:lineRule="auto"/>
            </w:pPr>
            <w:r>
              <w:rPr>
                <w:rFonts w:ascii="Calibri" w:hAnsi="Calibri"/>
                <w:b/>
                <w:color w:val="FFFFFF"/>
                <w:sz w:val="20"/>
              </w:rPr>
              <w:t>Mean Score (1-5)</w:t>
            </w:r>
          </w:p>
        </w:tc>
        <w:tc>
          <w:tcPr>
            <w:tcW w:type="dxa" w:w="1584"/>
            <w:tcMar>
              <w:top w:w="100" w:type="dxa"/>
              <w:bottom w:w="100" w:type="dxa"/>
              <w:left w:w="120" w:type="dxa"/>
              <w:right w:w="120" w:type="dxa"/>
            </w:tcMar>
            <w:shd w:fill="1F4E78"/>
          </w:tcPr>
          <w:p>
            <w:pPr>
              <w:spacing w:before="40" w:after="40" w:line="252" w:lineRule="auto"/>
            </w:pPr>
            <w:r>
              <w:rPr>
                <w:rFonts w:ascii="Calibri" w:hAnsi="Calibri"/>
                <w:b/>
                <w:color w:val="FFFFFF"/>
                <w:sz w:val="20"/>
              </w:rPr>
              <w:t>Groundedness %</w:t>
            </w:r>
          </w:p>
        </w:tc>
        <w:tc>
          <w:tcPr>
            <w:tcW w:type="dxa" w:w="3168"/>
            <w:tcMar>
              <w:top w:w="100" w:type="dxa"/>
              <w:bottom w:w="100" w:type="dxa"/>
              <w:left w:w="120" w:type="dxa"/>
              <w:right w:w="120" w:type="dxa"/>
            </w:tcMar>
            <w:shd w:fill="1F4E78"/>
          </w:tcPr>
          <w:p>
            <w:pPr>
              <w:spacing w:before="40" w:after="40" w:line="252" w:lineRule="auto"/>
            </w:pPr>
            <w:r>
              <w:rPr>
                <w:rFonts w:ascii="Calibri" w:hAnsi="Calibri"/>
                <w:b/>
                <w:color w:val="FFFFFF"/>
                <w:sz w:val="20"/>
              </w:rPr>
              <w:t>Primary Observed Performance / Bottleneck</w:t>
            </w:r>
          </w:p>
        </w:tc>
      </w:tr>
      <w:tr>
        <w:tc>
          <w:tcPr>
            <w:tcW w:type="dxa" w:w="1872"/>
            <w:tcMar>
              <w:top w:w="100" w:type="dxa"/>
              <w:bottom w:w="100" w:type="dxa"/>
              <w:left w:w="120" w:type="dxa"/>
              <w:right w:w="120" w:type="dxa"/>
            </w:tcMar>
            <w:shd w:fill="FFFFFF"/>
          </w:tcPr>
          <w:p>
            <w:pPr>
              <w:spacing w:before="40" w:after="40" w:line="252" w:lineRule="auto"/>
            </w:pPr>
            <w:r>
              <w:rPr>
                <w:rFonts w:ascii="Calibri" w:hAnsi="Calibri"/>
                <w:color w:val="333333"/>
                <w:sz w:val="19"/>
              </w:rPr>
              <w:t>HR Policy</w:t>
            </w:r>
          </w:p>
        </w:tc>
        <w:tc>
          <w:tcPr>
            <w:tcW w:type="dxa" w:w="1152"/>
            <w:tcMar>
              <w:top w:w="100" w:type="dxa"/>
              <w:bottom w:w="100" w:type="dxa"/>
              <w:left w:w="120" w:type="dxa"/>
              <w:right w:w="120" w:type="dxa"/>
            </w:tcMar>
            <w:shd w:fill="FFFFFF"/>
          </w:tcPr>
          <w:p>
            <w:pPr>
              <w:spacing w:before="40" w:after="40" w:line="252" w:lineRule="auto"/>
            </w:pPr>
            <w:r>
              <w:rPr>
                <w:rFonts w:ascii="Calibri" w:hAnsi="Calibri"/>
                <w:color w:val="333333"/>
                <w:sz w:val="19"/>
              </w:rPr>
              <w:t>Q1 – Q4</w:t>
            </w:r>
          </w:p>
        </w:tc>
        <w:tc>
          <w:tcPr>
            <w:tcW w:type="dxa" w:w="1584"/>
            <w:tcMar>
              <w:top w:w="100" w:type="dxa"/>
              <w:bottom w:w="100" w:type="dxa"/>
              <w:left w:w="120" w:type="dxa"/>
              <w:right w:w="120" w:type="dxa"/>
            </w:tcMar>
            <w:shd w:fill="FFFFFF"/>
          </w:tcPr>
          <w:p>
            <w:pPr>
              <w:spacing w:before="40" w:after="40" w:line="252" w:lineRule="auto"/>
            </w:pPr>
            <w:r>
              <w:rPr>
                <w:rFonts w:ascii="Calibri" w:hAnsi="Calibri"/>
                <w:color w:val="333333"/>
                <w:sz w:val="19"/>
              </w:rPr>
              <w:t>5.00 / 5.0</w:t>
            </w:r>
          </w:p>
        </w:tc>
        <w:tc>
          <w:tcPr>
            <w:tcW w:type="dxa" w:w="1584"/>
            <w:tcMar>
              <w:top w:w="100" w:type="dxa"/>
              <w:bottom w:w="100" w:type="dxa"/>
              <w:left w:w="120" w:type="dxa"/>
              <w:right w:w="120" w:type="dxa"/>
            </w:tcMar>
            <w:shd w:fill="FFFFFF"/>
          </w:tcPr>
          <w:p>
            <w:pPr>
              <w:spacing w:before="40" w:after="40" w:line="252" w:lineRule="auto"/>
            </w:pPr>
            <w:r>
              <w:rPr>
                <w:rFonts w:ascii="Calibri" w:hAnsi="Calibri"/>
                <w:color w:val="333333"/>
                <w:sz w:val="19"/>
              </w:rPr>
              <w:t>100%</w:t>
            </w:r>
          </w:p>
        </w:tc>
        <w:tc>
          <w:tcPr>
            <w:tcW w:type="dxa" w:w="3168"/>
            <w:tcMar>
              <w:top w:w="100" w:type="dxa"/>
              <w:bottom w:w="100" w:type="dxa"/>
              <w:left w:w="120" w:type="dxa"/>
              <w:right w:w="120" w:type="dxa"/>
            </w:tcMar>
            <w:shd w:fill="FFFFFF"/>
          </w:tcPr>
          <w:p>
            <w:pPr>
              <w:spacing w:before="40" w:after="40" w:line="252" w:lineRule="auto"/>
            </w:pPr>
            <w:r>
              <w:rPr>
                <w:rFonts w:ascii="Calibri" w:hAnsi="Calibri"/>
                <w:color w:val="333333"/>
                <w:sz w:val="19"/>
              </w:rPr>
              <w:t>High precision vector matching on explicit policy clauses.</w:t>
            </w:r>
          </w:p>
        </w:tc>
      </w:tr>
      <w:tr>
        <w:tc>
          <w:tcPr>
            <w:tcW w:type="dxa" w:w="1872"/>
            <w:tcMar>
              <w:top w:w="100" w:type="dxa"/>
              <w:bottom w:w="100" w:type="dxa"/>
              <w:left w:w="120" w:type="dxa"/>
              <w:right w:w="120" w:type="dxa"/>
            </w:tcMar>
            <w:shd w:fill="F9FAFB"/>
          </w:tcPr>
          <w:p>
            <w:pPr>
              <w:spacing w:before="40" w:after="40" w:line="252" w:lineRule="auto"/>
            </w:pPr>
            <w:r>
              <w:rPr>
                <w:rFonts w:ascii="Calibri" w:hAnsi="Calibri"/>
                <w:color w:val="333333"/>
                <w:sz w:val="19"/>
              </w:rPr>
              <w:t>Technical Manual</w:t>
            </w:r>
          </w:p>
        </w:tc>
        <w:tc>
          <w:tcPr>
            <w:tcW w:type="dxa" w:w="1152"/>
            <w:tcMar>
              <w:top w:w="100" w:type="dxa"/>
              <w:bottom w:w="100" w:type="dxa"/>
              <w:left w:w="120" w:type="dxa"/>
              <w:right w:w="120" w:type="dxa"/>
            </w:tcMar>
            <w:shd w:fill="F9FAFB"/>
          </w:tcPr>
          <w:p>
            <w:pPr>
              <w:spacing w:before="40" w:after="40" w:line="252" w:lineRule="auto"/>
            </w:pPr>
            <w:r>
              <w:rPr>
                <w:rFonts w:ascii="Calibri" w:hAnsi="Calibri"/>
                <w:color w:val="333333"/>
                <w:sz w:val="19"/>
              </w:rPr>
              <w:t>Q5 – Q7</w:t>
            </w:r>
          </w:p>
        </w:tc>
        <w:tc>
          <w:tcPr>
            <w:tcW w:type="dxa" w:w="1584"/>
            <w:tcMar>
              <w:top w:w="100" w:type="dxa"/>
              <w:bottom w:w="100" w:type="dxa"/>
              <w:left w:w="120" w:type="dxa"/>
              <w:right w:w="120" w:type="dxa"/>
            </w:tcMar>
            <w:shd w:fill="F9FAFB"/>
          </w:tcPr>
          <w:p>
            <w:pPr>
              <w:spacing w:before="40" w:after="40" w:line="252" w:lineRule="auto"/>
            </w:pPr>
            <w:r>
              <w:rPr>
                <w:rFonts w:ascii="Calibri" w:hAnsi="Calibri"/>
                <w:color w:val="333333"/>
                <w:sz w:val="19"/>
              </w:rPr>
              <w:t>5.00 / 5.0</w:t>
            </w:r>
          </w:p>
        </w:tc>
        <w:tc>
          <w:tcPr>
            <w:tcW w:type="dxa" w:w="1584"/>
            <w:tcMar>
              <w:top w:w="100" w:type="dxa"/>
              <w:bottom w:w="100" w:type="dxa"/>
              <w:left w:w="120" w:type="dxa"/>
              <w:right w:w="120" w:type="dxa"/>
            </w:tcMar>
            <w:shd w:fill="F9FAFB"/>
          </w:tcPr>
          <w:p>
            <w:pPr>
              <w:spacing w:before="40" w:after="40" w:line="252" w:lineRule="auto"/>
            </w:pPr>
            <w:r>
              <w:rPr>
                <w:rFonts w:ascii="Calibri" w:hAnsi="Calibri"/>
                <w:color w:val="333333"/>
                <w:sz w:val="19"/>
              </w:rPr>
              <w:t>100%</w:t>
            </w:r>
          </w:p>
        </w:tc>
        <w:tc>
          <w:tcPr>
            <w:tcW w:type="dxa" w:w="3168"/>
            <w:tcMar>
              <w:top w:w="100" w:type="dxa"/>
              <w:bottom w:w="100" w:type="dxa"/>
              <w:left w:w="120" w:type="dxa"/>
              <w:right w:w="120" w:type="dxa"/>
            </w:tcMar>
            <w:shd w:fill="F9FAFB"/>
          </w:tcPr>
          <w:p>
            <w:pPr>
              <w:spacing w:before="40" w:after="40" w:line="252" w:lineRule="auto"/>
            </w:pPr>
            <w:r>
              <w:rPr>
                <w:rFonts w:ascii="Calibri" w:hAnsi="Calibri"/>
                <w:color w:val="333333"/>
                <w:sz w:val="19"/>
              </w:rPr>
              <w:t>Exact code, parameter, and error code retrieval.</w:t>
            </w:r>
          </w:p>
        </w:tc>
      </w:tr>
      <w:tr>
        <w:tc>
          <w:tcPr>
            <w:tcW w:type="dxa" w:w="1872"/>
            <w:tcMar>
              <w:top w:w="100" w:type="dxa"/>
              <w:bottom w:w="100" w:type="dxa"/>
              <w:left w:w="120" w:type="dxa"/>
              <w:right w:w="120" w:type="dxa"/>
            </w:tcMar>
            <w:shd w:fill="FFFFFF"/>
          </w:tcPr>
          <w:p>
            <w:pPr>
              <w:spacing w:before="40" w:after="40" w:line="252" w:lineRule="auto"/>
            </w:pPr>
            <w:r>
              <w:rPr>
                <w:rFonts w:ascii="Calibri" w:hAnsi="Calibri"/>
                <w:color w:val="333333"/>
                <w:sz w:val="19"/>
              </w:rPr>
              <w:t>Compliance Code</w:t>
            </w:r>
          </w:p>
        </w:tc>
        <w:tc>
          <w:tcPr>
            <w:tcW w:type="dxa" w:w="1152"/>
            <w:tcMar>
              <w:top w:w="100" w:type="dxa"/>
              <w:bottom w:w="100" w:type="dxa"/>
              <w:left w:w="120" w:type="dxa"/>
              <w:right w:w="120" w:type="dxa"/>
            </w:tcMar>
            <w:shd w:fill="FFFFFF"/>
          </w:tcPr>
          <w:p>
            <w:pPr>
              <w:spacing w:before="40" w:after="40" w:line="252" w:lineRule="auto"/>
            </w:pPr>
            <w:r>
              <w:rPr>
                <w:rFonts w:ascii="Calibri" w:hAnsi="Calibri"/>
                <w:color w:val="333333"/>
                <w:sz w:val="19"/>
              </w:rPr>
              <w:t>Q8 – Q10</w:t>
            </w:r>
          </w:p>
        </w:tc>
        <w:tc>
          <w:tcPr>
            <w:tcW w:type="dxa" w:w="1584"/>
            <w:tcMar>
              <w:top w:w="100" w:type="dxa"/>
              <w:bottom w:w="100" w:type="dxa"/>
              <w:left w:w="120" w:type="dxa"/>
              <w:right w:w="120" w:type="dxa"/>
            </w:tcMar>
            <w:shd w:fill="FFFFFF"/>
          </w:tcPr>
          <w:p>
            <w:pPr>
              <w:spacing w:before="40" w:after="40" w:line="252" w:lineRule="auto"/>
            </w:pPr>
            <w:r>
              <w:rPr>
                <w:rFonts w:ascii="Calibri" w:hAnsi="Calibri"/>
                <w:color w:val="333333"/>
                <w:sz w:val="19"/>
              </w:rPr>
              <w:t>4.67 / 5.0</w:t>
            </w:r>
          </w:p>
        </w:tc>
        <w:tc>
          <w:tcPr>
            <w:tcW w:type="dxa" w:w="1584"/>
            <w:tcMar>
              <w:top w:w="100" w:type="dxa"/>
              <w:bottom w:w="100" w:type="dxa"/>
              <w:left w:w="120" w:type="dxa"/>
              <w:right w:w="120" w:type="dxa"/>
            </w:tcMar>
            <w:shd w:fill="FFFFFF"/>
          </w:tcPr>
          <w:p>
            <w:pPr>
              <w:spacing w:before="40" w:after="40" w:line="252" w:lineRule="auto"/>
            </w:pPr>
            <w:r>
              <w:rPr>
                <w:rFonts w:ascii="Calibri" w:hAnsi="Calibri"/>
                <w:color w:val="333333"/>
                <w:sz w:val="19"/>
              </w:rPr>
              <w:t>100%</w:t>
            </w:r>
          </w:p>
        </w:tc>
        <w:tc>
          <w:tcPr>
            <w:tcW w:type="dxa" w:w="3168"/>
            <w:tcMar>
              <w:top w:w="100" w:type="dxa"/>
              <w:bottom w:w="100" w:type="dxa"/>
              <w:left w:w="120" w:type="dxa"/>
              <w:right w:w="120" w:type="dxa"/>
            </w:tcMar>
            <w:shd w:fill="FFFFFF"/>
          </w:tcPr>
          <w:p>
            <w:pPr>
              <w:spacing w:before="40" w:after="40" w:line="252" w:lineRule="auto"/>
            </w:pPr>
            <w:r>
              <w:rPr>
                <w:rFonts w:ascii="Calibri" w:hAnsi="Calibri"/>
                <w:color w:val="333333"/>
                <w:sz w:val="19"/>
              </w:rPr>
              <w:t>PyPDFLoader collapsed multi-column vendor approval table.</w:t>
            </w:r>
          </w:p>
        </w:tc>
      </w:tr>
      <w:tr>
        <w:tc>
          <w:tcPr>
            <w:tcW w:type="dxa" w:w="1872"/>
            <w:tcMar>
              <w:top w:w="100" w:type="dxa"/>
              <w:bottom w:w="100" w:type="dxa"/>
              <w:left w:w="120" w:type="dxa"/>
              <w:right w:w="120" w:type="dxa"/>
            </w:tcMar>
            <w:shd w:fill="F9FAFB"/>
          </w:tcPr>
          <w:p>
            <w:pPr>
              <w:spacing w:before="40" w:after="40" w:line="252" w:lineRule="auto"/>
            </w:pPr>
            <w:r>
              <w:rPr>
                <w:rFonts w:ascii="Calibri" w:hAnsi="Calibri"/>
                <w:color w:val="333333"/>
                <w:sz w:val="19"/>
              </w:rPr>
              <w:t>Edge Cases &amp; Traps</w:t>
            </w:r>
          </w:p>
        </w:tc>
        <w:tc>
          <w:tcPr>
            <w:tcW w:type="dxa" w:w="1152"/>
            <w:tcMar>
              <w:top w:w="100" w:type="dxa"/>
              <w:bottom w:w="100" w:type="dxa"/>
              <w:left w:w="120" w:type="dxa"/>
              <w:right w:w="120" w:type="dxa"/>
            </w:tcMar>
            <w:shd w:fill="F9FAFB"/>
          </w:tcPr>
          <w:p>
            <w:pPr>
              <w:spacing w:before="40" w:after="40" w:line="252" w:lineRule="auto"/>
            </w:pPr>
            <w:r>
              <w:rPr>
                <w:rFonts w:ascii="Calibri" w:hAnsi="Calibri"/>
                <w:color w:val="333333"/>
                <w:sz w:val="19"/>
              </w:rPr>
              <w:t>Q11 – Q15</w:t>
            </w:r>
          </w:p>
        </w:tc>
        <w:tc>
          <w:tcPr>
            <w:tcW w:type="dxa" w:w="1584"/>
            <w:tcMar>
              <w:top w:w="100" w:type="dxa"/>
              <w:bottom w:w="100" w:type="dxa"/>
              <w:left w:w="120" w:type="dxa"/>
              <w:right w:w="120" w:type="dxa"/>
            </w:tcMar>
            <w:shd w:fill="F9FAFB"/>
          </w:tcPr>
          <w:p>
            <w:pPr>
              <w:spacing w:before="40" w:after="40" w:line="252" w:lineRule="auto"/>
            </w:pPr>
            <w:r>
              <w:rPr>
                <w:rFonts w:ascii="Calibri" w:hAnsi="Calibri"/>
                <w:color w:val="333333"/>
                <w:sz w:val="19"/>
              </w:rPr>
              <w:t>4.60 / 5.0</w:t>
            </w:r>
          </w:p>
        </w:tc>
        <w:tc>
          <w:tcPr>
            <w:tcW w:type="dxa" w:w="1584"/>
            <w:tcMar>
              <w:top w:w="100" w:type="dxa"/>
              <w:bottom w:w="100" w:type="dxa"/>
              <w:left w:w="120" w:type="dxa"/>
              <w:right w:w="120" w:type="dxa"/>
            </w:tcMar>
            <w:shd w:fill="F9FAFB"/>
          </w:tcPr>
          <w:p>
            <w:pPr>
              <w:spacing w:before="40" w:after="40" w:line="252" w:lineRule="auto"/>
            </w:pPr>
            <w:r>
              <w:rPr>
                <w:rFonts w:ascii="Calibri" w:hAnsi="Calibri"/>
                <w:color w:val="333333"/>
                <w:sz w:val="19"/>
              </w:rPr>
              <w:t>100%</w:t>
            </w:r>
          </w:p>
        </w:tc>
        <w:tc>
          <w:tcPr>
            <w:tcW w:type="dxa" w:w="3168"/>
            <w:tcMar>
              <w:top w:w="100" w:type="dxa"/>
              <w:bottom w:w="100" w:type="dxa"/>
              <w:left w:w="120" w:type="dxa"/>
              <w:right w:w="120" w:type="dxa"/>
            </w:tcMar>
            <w:shd w:fill="F9FAFB"/>
          </w:tcPr>
          <w:p>
            <w:pPr>
              <w:spacing w:before="40" w:after="40" w:line="252" w:lineRule="auto"/>
            </w:pPr>
            <w:r>
              <w:rPr>
                <w:rFonts w:ascii="Calibri" w:hAnsi="Calibri"/>
                <w:color w:val="333333"/>
                <w:sz w:val="19"/>
              </w:rPr>
              <w:t>Grounding prompt successfully refused out-of-scope traps.</w:t>
            </w:r>
          </w:p>
        </w:tc>
      </w:tr>
    </w:tbl>
    <w:p>
      <w:pPr>
        <w:keepNext/>
        <w:spacing w:before="240" w:after="80"/>
      </w:pPr>
      <w:r>
        <w:rPr>
          <w:rFonts w:ascii="Arial" w:hAnsi="Arial"/>
          <w:b/>
          <w:color w:val="2F5597"/>
          <w:sz w:val="25"/>
        </w:rPr>
        <w:t>7.2 In-Depth Failure Mode &amp; Root-Cause Analysis</w:t>
      </w:r>
    </w:p>
    <w:p>
      <w:pPr>
        <w:spacing w:before="0" w:after="80" w:line="276" w:lineRule="auto"/>
      </w:pPr>
      <w:r>
        <w:rPr>
          <w:rFonts w:ascii="Calibri" w:hAnsi="Calibri"/>
          <w:color w:val="333333"/>
          <w:sz w:val="22"/>
        </w:rPr>
        <w:t>1. PDF Table Layout Collapse (Q10): PyPDFLoader extracts raw text streams from PDFs, discarding structural XML grid tags. In Q10 (vendor approval workflow), a 4-column table was flattened into a single text sequence, merging step 2 (SOC 2 review) and step 3 (DPA legal review). While 3 of 4 steps were correctly answered, table collapse represents the primary retrieval bottleneck.</w:t>
      </w:r>
    </w:p>
    <w:p>
      <w:pPr>
        <w:spacing w:before="0" w:after="80" w:line="276" w:lineRule="auto"/>
      </w:pPr>
      <w:r>
        <w:rPr>
          <w:rFonts w:ascii="Calibri" w:hAnsi="Calibri"/>
          <w:color w:val="333333"/>
          <w:sz w:val="22"/>
        </w:rPr>
        <w:t>2. Fixed-Size Chunk Boundary Truncation: Splitting text at fixed 800-character boundaries occasionally splits multi-sentence definitions. This was mitigated by the 150-character chunk overlap.</w:t>
      </w:r>
    </w:p>
    <w:p>
      <w:pPr>
        <w:spacing w:before="0" w:after="80" w:line="276" w:lineRule="auto"/>
      </w:pPr>
      <w:r>
        <w:rPr>
          <w:rFonts w:ascii="Calibri" w:hAnsi="Calibri"/>
          <w:color w:val="333333"/>
          <w:sz w:val="22"/>
        </w:rPr>
        <w:t>3. Vector Distance Dynamics in Multi-Document Corpora: In a workspace containing both HR (96 pages) and Compliance (11 pages), HR queries exclusively retrieved HR chunks. Vector cosine distance analysis proved this was correct retrieval behavior: the worst HR match in the top 8 scored ~0.55–0.66, whereas the best Compliance match scored ~0.73–0.80. The retriever does not force diversity from irrelevant documents.</w:t>
      </w:r>
    </w:p>
    <w:p>
      <w:pPr>
        <w:spacing w:before="0" w:after="80" w:line="276" w:lineRule="auto"/>
      </w:pPr>
      <w:r>
        <w:rPr>
          <w:rFonts w:ascii="Calibri" w:hAnsi="Calibri"/>
          <w:color w:val="333333"/>
          <w:sz w:val="22"/>
        </w:rPr>
        <w:t>4. Trap Query Refusal Efficacy (Q12, Q15): For queries asking for unmentioned data (Q12 stock price, Q15 IRS 401k limits), the grounding prompt successfully instructed the LLM to output explicit 'not found in context' responses rather than hallucinating external knowledge.</w:t>
      </w:r>
    </w:p>
    <w:p>
      <w:pPr>
        <w:keepNext/>
        <w:spacing w:before="240" w:after="80"/>
      </w:pPr>
      <w:r>
        <w:rPr>
          <w:rFonts w:ascii="Arial" w:hAnsi="Arial"/>
          <w:b/>
          <w:color w:val="2F5597"/>
          <w:sz w:val="25"/>
        </w:rPr>
        <w:t>7.3 Complete 15-Question Evaluation Matrix</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1337"/>
        <w:gridCol w:w="1337"/>
        <w:gridCol w:w="1337"/>
        <w:gridCol w:w="1337"/>
        <w:gridCol w:w="1337"/>
        <w:gridCol w:w="1337"/>
        <w:gridCol w:w="1337"/>
      </w:tblGrid>
      <w:tr>
        <w:tc>
          <w:tcPr>
            <w:tcW w:type="dxa" w:w="576"/>
            <w:tcMar>
              <w:top w:w="100" w:type="dxa"/>
              <w:bottom w:w="100" w:type="dxa"/>
              <w:left w:w="120" w:type="dxa"/>
              <w:right w:w="120" w:type="dxa"/>
            </w:tcMar>
            <w:shd w:fill="1F4E78"/>
          </w:tcPr>
          <w:p>
            <w:pPr>
              <w:spacing w:before="40" w:after="40" w:line="252" w:lineRule="auto"/>
            </w:pPr>
            <w:r>
              <w:rPr>
                <w:rFonts w:ascii="Calibri" w:hAnsi="Calibri"/>
                <w:b/>
                <w:color w:val="FFFFFF"/>
                <w:sz w:val="20"/>
              </w:rPr>
              <w:t>Q#</w:t>
            </w:r>
          </w:p>
        </w:tc>
        <w:tc>
          <w:tcPr>
            <w:tcW w:type="dxa" w:w="1296"/>
            <w:tcMar>
              <w:top w:w="100" w:type="dxa"/>
              <w:bottom w:w="100" w:type="dxa"/>
              <w:left w:w="120" w:type="dxa"/>
              <w:right w:w="120" w:type="dxa"/>
            </w:tcMar>
            <w:shd w:fill="1F4E78"/>
          </w:tcPr>
          <w:p>
            <w:pPr>
              <w:spacing w:before="40" w:after="40" w:line="252" w:lineRule="auto"/>
            </w:pPr>
            <w:r>
              <w:rPr>
                <w:rFonts w:ascii="Calibri" w:hAnsi="Calibri"/>
                <w:b/>
                <w:color w:val="FFFFFF"/>
                <w:sz w:val="20"/>
              </w:rPr>
              <w:t>Category</w:t>
            </w:r>
          </w:p>
        </w:tc>
        <w:tc>
          <w:tcPr>
            <w:tcW w:type="dxa" w:w="1728"/>
            <w:tcMar>
              <w:top w:w="100" w:type="dxa"/>
              <w:bottom w:w="100" w:type="dxa"/>
              <w:left w:w="120" w:type="dxa"/>
              <w:right w:w="120" w:type="dxa"/>
            </w:tcMar>
            <w:shd w:fill="1F4E78"/>
          </w:tcPr>
          <w:p>
            <w:pPr>
              <w:spacing w:before="40" w:after="40" w:line="252" w:lineRule="auto"/>
            </w:pPr>
            <w:r>
              <w:rPr>
                <w:rFonts w:ascii="Calibri" w:hAnsi="Calibri"/>
                <w:b/>
                <w:color w:val="FFFFFF"/>
                <w:sz w:val="20"/>
              </w:rPr>
              <w:t>Question Text</w:t>
            </w:r>
          </w:p>
        </w:tc>
        <w:tc>
          <w:tcPr>
            <w:tcW w:type="dxa" w:w="1728"/>
            <w:tcMar>
              <w:top w:w="100" w:type="dxa"/>
              <w:bottom w:w="100" w:type="dxa"/>
              <w:left w:w="120" w:type="dxa"/>
              <w:right w:w="120" w:type="dxa"/>
            </w:tcMar>
            <w:shd w:fill="1F4E78"/>
          </w:tcPr>
          <w:p>
            <w:pPr>
              <w:spacing w:before="40" w:after="40" w:line="252" w:lineRule="auto"/>
            </w:pPr>
            <w:r>
              <w:rPr>
                <w:rFonts w:ascii="Calibri" w:hAnsi="Calibri"/>
                <w:b/>
                <w:color w:val="FFFFFF"/>
                <w:sz w:val="20"/>
              </w:rPr>
              <w:t>Expected Answer (Ground Truth)</w:t>
            </w:r>
          </w:p>
        </w:tc>
        <w:tc>
          <w:tcPr>
            <w:tcW w:type="dxa" w:w="2016"/>
            <w:tcMar>
              <w:top w:w="100" w:type="dxa"/>
              <w:bottom w:w="100" w:type="dxa"/>
              <w:left w:w="120" w:type="dxa"/>
              <w:right w:w="120" w:type="dxa"/>
            </w:tcMar>
            <w:shd w:fill="1F4E78"/>
          </w:tcPr>
          <w:p>
            <w:pPr>
              <w:spacing w:before="40" w:after="40" w:line="252" w:lineRule="auto"/>
            </w:pPr>
            <w:r>
              <w:rPr>
                <w:rFonts w:ascii="Calibri" w:hAnsi="Calibri"/>
                <w:b/>
                <w:color w:val="FFFFFF"/>
                <w:sz w:val="20"/>
              </w:rPr>
              <w:t>Generated System Response</w:t>
            </w:r>
          </w:p>
        </w:tc>
        <w:tc>
          <w:tcPr>
            <w:tcW w:type="dxa" w:w="576"/>
            <w:tcMar>
              <w:top w:w="100" w:type="dxa"/>
              <w:bottom w:w="100" w:type="dxa"/>
              <w:left w:w="120" w:type="dxa"/>
              <w:right w:w="120" w:type="dxa"/>
            </w:tcMar>
            <w:shd w:fill="1F4E78"/>
          </w:tcPr>
          <w:p>
            <w:pPr>
              <w:spacing w:before="40" w:after="40" w:line="252" w:lineRule="auto"/>
            </w:pPr>
            <w:r>
              <w:rPr>
                <w:rFonts w:ascii="Calibri" w:hAnsi="Calibri"/>
                <w:b/>
                <w:color w:val="FFFFFF"/>
                <w:sz w:val="20"/>
              </w:rPr>
              <w:t>Score</w:t>
            </w:r>
          </w:p>
        </w:tc>
        <w:tc>
          <w:tcPr>
            <w:tcW w:type="dxa" w:w="1440"/>
            <w:tcMar>
              <w:top w:w="100" w:type="dxa"/>
              <w:bottom w:w="100" w:type="dxa"/>
              <w:left w:w="120" w:type="dxa"/>
              <w:right w:w="120" w:type="dxa"/>
            </w:tcMar>
            <w:shd w:fill="1F4E78"/>
          </w:tcPr>
          <w:p>
            <w:pPr>
              <w:spacing w:before="40" w:after="40" w:line="252" w:lineRule="auto"/>
            </w:pPr>
            <w:r>
              <w:rPr>
                <w:rFonts w:ascii="Calibri" w:hAnsi="Calibri"/>
                <w:b/>
                <w:color w:val="FFFFFF"/>
                <w:sz w:val="20"/>
              </w:rPr>
              <w:t>Diagnostic / Failure Notes</w:t>
            </w:r>
          </w:p>
        </w:tc>
      </w:tr>
      <w:tr>
        <w:tc>
          <w:tcPr>
            <w:tcW w:type="dxa" w:w="576"/>
            <w:tcMar>
              <w:top w:w="100" w:type="dxa"/>
              <w:bottom w:w="100" w:type="dxa"/>
              <w:left w:w="120" w:type="dxa"/>
              <w:right w:w="120" w:type="dxa"/>
            </w:tcMar>
            <w:shd w:fill="FFFFFF"/>
          </w:tcPr>
          <w:p>
            <w:pPr>
              <w:spacing w:before="40" w:after="40" w:line="252" w:lineRule="auto"/>
            </w:pPr>
            <w:r>
              <w:rPr>
                <w:rFonts w:ascii="Calibri" w:hAnsi="Calibri"/>
                <w:color w:val="333333"/>
                <w:sz w:val="19"/>
              </w:rPr>
              <w:t>Q1</w:t>
            </w:r>
          </w:p>
        </w:tc>
        <w:tc>
          <w:tcPr>
            <w:tcW w:type="dxa" w:w="1296"/>
            <w:tcMar>
              <w:top w:w="100" w:type="dxa"/>
              <w:bottom w:w="100" w:type="dxa"/>
              <w:left w:w="120" w:type="dxa"/>
              <w:right w:w="120" w:type="dxa"/>
            </w:tcMar>
            <w:shd w:fill="FFFFFF"/>
          </w:tcPr>
          <w:p>
            <w:pPr>
              <w:spacing w:before="40" w:after="40" w:line="252" w:lineRule="auto"/>
            </w:pPr>
            <w:r>
              <w:rPr>
                <w:rFonts w:ascii="Calibri" w:hAnsi="Calibri"/>
                <w:color w:val="333333"/>
                <w:sz w:val="19"/>
              </w:rPr>
              <w:t>HR</w:t>
            </w:r>
          </w:p>
        </w:tc>
        <w:tc>
          <w:tcPr>
            <w:tcW w:type="dxa" w:w="1728"/>
            <w:tcMar>
              <w:top w:w="100" w:type="dxa"/>
              <w:bottom w:w="100" w:type="dxa"/>
              <w:left w:w="120" w:type="dxa"/>
              <w:right w:w="120" w:type="dxa"/>
            </w:tcMar>
            <w:shd w:fill="FFFFFF"/>
          </w:tcPr>
          <w:p>
            <w:pPr>
              <w:spacing w:before="40" w:after="40" w:line="252" w:lineRule="auto"/>
            </w:pPr>
            <w:r>
              <w:rPr>
                <w:rFonts w:ascii="Calibri" w:hAnsi="Calibri"/>
                <w:color w:val="333333"/>
                <w:sz w:val="19"/>
              </w:rPr>
              <w:t>How many days of annual leave do full-time employees get per year?</w:t>
            </w:r>
          </w:p>
        </w:tc>
        <w:tc>
          <w:tcPr>
            <w:tcW w:type="dxa" w:w="1728"/>
            <w:tcMar>
              <w:top w:w="100" w:type="dxa"/>
              <w:bottom w:w="100" w:type="dxa"/>
              <w:left w:w="120" w:type="dxa"/>
              <w:right w:w="120" w:type="dxa"/>
            </w:tcMar>
            <w:shd w:fill="FFFFFF"/>
          </w:tcPr>
          <w:p>
            <w:pPr>
              <w:spacing w:before="40" w:after="40" w:line="252" w:lineRule="auto"/>
            </w:pPr>
            <w:r>
              <w:rPr>
                <w:rFonts w:ascii="Calibri" w:hAnsi="Calibri"/>
                <w:color w:val="333333"/>
                <w:sz w:val="19"/>
              </w:rPr>
              <w:t>15 days per year, accrues at 1.25 days/month. Max 5 days carry-over.</w:t>
            </w:r>
          </w:p>
        </w:tc>
        <w:tc>
          <w:tcPr>
            <w:tcW w:type="dxa" w:w="2016"/>
            <w:tcMar>
              <w:top w:w="100" w:type="dxa"/>
              <w:bottom w:w="100" w:type="dxa"/>
              <w:left w:w="120" w:type="dxa"/>
              <w:right w:w="120" w:type="dxa"/>
            </w:tcMar>
            <w:shd w:fill="FFFFFF"/>
          </w:tcPr>
          <w:p>
            <w:pPr>
              <w:spacing w:before="40" w:after="40" w:line="252" w:lineRule="auto"/>
            </w:pPr>
            <w:r>
              <w:rPr>
                <w:rFonts w:ascii="Calibri" w:hAnsi="Calibri"/>
                <w:color w:val="333333"/>
                <w:sz w:val="19"/>
              </w:rPr>
              <w:t>Full-time employees receive 15 days of annual leave per calendar year, accruing at 1.25 days per month, with max 5-day carry-over.</w:t>
            </w:r>
          </w:p>
        </w:tc>
        <w:tc>
          <w:tcPr>
            <w:tcW w:type="dxa" w:w="576"/>
            <w:tcMar>
              <w:top w:w="100" w:type="dxa"/>
              <w:bottom w:w="100" w:type="dxa"/>
              <w:left w:w="120" w:type="dxa"/>
              <w:right w:w="120" w:type="dxa"/>
            </w:tcMar>
            <w:shd w:fill="FFFFFF"/>
          </w:tcPr>
          <w:p>
            <w:pPr>
              <w:spacing w:before="40" w:after="40" w:line="252" w:lineRule="auto"/>
            </w:pPr>
            <w:r>
              <w:rPr>
                <w:rFonts w:ascii="Calibri" w:hAnsi="Calibri"/>
                <w:color w:val="333333"/>
                <w:sz w:val="19"/>
              </w:rPr>
              <w:t>5/5</w:t>
            </w:r>
          </w:p>
        </w:tc>
        <w:tc>
          <w:tcPr>
            <w:tcW w:type="dxa" w:w="1440"/>
            <w:tcMar>
              <w:top w:w="100" w:type="dxa"/>
              <w:bottom w:w="100" w:type="dxa"/>
              <w:left w:w="120" w:type="dxa"/>
              <w:right w:w="120" w:type="dxa"/>
            </w:tcMar>
            <w:shd w:fill="FFFFFF"/>
          </w:tcPr>
          <w:p>
            <w:pPr>
              <w:spacing w:before="40" w:after="40" w:line="252" w:lineRule="auto"/>
            </w:pPr>
            <w:r>
              <w:rPr>
                <w:rFonts w:ascii="Calibri" w:hAnsi="Calibri"/>
                <w:color w:val="333333"/>
                <w:sz w:val="19"/>
              </w:rPr>
              <w:t>Exact hit on HR Handbook Section 3.1. Vector distance: 0.24.</w:t>
            </w:r>
          </w:p>
        </w:tc>
      </w:tr>
      <w:tr>
        <w:tc>
          <w:tcPr>
            <w:tcW w:type="dxa" w:w="576"/>
            <w:tcMar>
              <w:top w:w="100" w:type="dxa"/>
              <w:bottom w:w="100" w:type="dxa"/>
              <w:left w:w="120" w:type="dxa"/>
              <w:right w:w="120" w:type="dxa"/>
            </w:tcMar>
            <w:shd w:fill="F9FAFB"/>
          </w:tcPr>
          <w:p>
            <w:pPr>
              <w:spacing w:before="40" w:after="40" w:line="252" w:lineRule="auto"/>
            </w:pPr>
            <w:r>
              <w:rPr>
                <w:rFonts w:ascii="Calibri" w:hAnsi="Calibri"/>
                <w:color w:val="333333"/>
                <w:sz w:val="19"/>
              </w:rPr>
              <w:t>Q2</w:t>
            </w:r>
          </w:p>
        </w:tc>
        <w:tc>
          <w:tcPr>
            <w:tcW w:type="dxa" w:w="1296"/>
            <w:tcMar>
              <w:top w:w="100" w:type="dxa"/>
              <w:bottom w:w="100" w:type="dxa"/>
              <w:left w:w="120" w:type="dxa"/>
              <w:right w:w="120" w:type="dxa"/>
            </w:tcMar>
            <w:shd w:fill="F9FAFB"/>
          </w:tcPr>
          <w:p>
            <w:pPr>
              <w:spacing w:before="40" w:after="40" w:line="252" w:lineRule="auto"/>
            </w:pPr>
            <w:r>
              <w:rPr>
                <w:rFonts w:ascii="Calibri" w:hAnsi="Calibri"/>
                <w:color w:val="333333"/>
                <w:sz w:val="19"/>
              </w:rPr>
              <w:t>HR</w:t>
            </w:r>
          </w:p>
        </w:tc>
        <w:tc>
          <w:tcPr>
            <w:tcW w:type="dxa" w:w="1728"/>
            <w:tcMar>
              <w:top w:w="100" w:type="dxa"/>
              <w:bottom w:w="100" w:type="dxa"/>
              <w:left w:w="120" w:type="dxa"/>
              <w:right w:w="120" w:type="dxa"/>
            </w:tcMar>
            <w:shd w:fill="F9FAFB"/>
          </w:tcPr>
          <w:p>
            <w:pPr>
              <w:spacing w:before="40" w:after="40" w:line="252" w:lineRule="auto"/>
            </w:pPr>
            <w:r>
              <w:rPr>
                <w:rFonts w:ascii="Calibri" w:hAnsi="Calibri"/>
                <w:color w:val="333333"/>
                <w:sz w:val="19"/>
              </w:rPr>
              <w:t>How many days per week can employees work remotely?</w:t>
            </w:r>
          </w:p>
        </w:tc>
        <w:tc>
          <w:tcPr>
            <w:tcW w:type="dxa" w:w="1728"/>
            <w:tcMar>
              <w:top w:w="100" w:type="dxa"/>
              <w:bottom w:w="100" w:type="dxa"/>
              <w:left w:w="120" w:type="dxa"/>
              <w:right w:w="120" w:type="dxa"/>
            </w:tcMar>
            <w:shd w:fill="F9FAFB"/>
          </w:tcPr>
          <w:p>
            <w:pPr>
              <w:spacing w:before="40" w:after="40" w:line="252" w:lineRule="auto"/>
            </w:pPr>
            <w:r>
              <w:rPr>
                <w:rFonts w:ascii="Calibri" w:hAnsi="Calibri"/>
                <w:color w:val="333333"/>
                <w:sz w:val="19"/>
              </w:rPr>
              <w:t>Up to 3 days per week after 6-month probation.</w:t>
            </w:r>
          </w:p>
        </w:tc>
        <w:tc>
          <w:tcPr>
            <w:tcW w:type="dxa" w:w="2016"/>
            <w:tcMar>
              <w:top w:w="100" w:type="dxa"/>
              <w:bottom w:w="100" w:type="dxa"/>
              <w:left w:w="120" w:type="dxa"/>
              <w:right w:w="120" w:type="dxa"/>
            </w:tcMar>
            <w:shd w:fill="F9FAFB"/>
          </w:tcPr>
          <w:p>
            <w:pPr>
              <w:spacing w:before="40" w:after="40" w:line="252" w:lineRule="auto"/>
            </w:pPr>
            <w:r>
              <w:rPr>
                <w:rFonts w:ascii="Calibri" w:hAnsi="Calibri"/>
                <w:color w:val="333333"/>
                <w:sz w:val="19"/>
              </w:rPr>
              <w:t>Employees may work remotely up to 3 days per week upon completing their 6-month probation. Core hours 10 AM – 3 PM.</w:t>
            </w:r>
          </w:p>
        </w:tc>
        <w:tc>
          <w:tcPr>
            <w:tcW w:type="dxa" w:w="576"/>
            <w:tcMar>
              <w:top w:w="100" w:type="dxa"/>
              <w:bottom w:w="100" w:type="dxa"/>
              <w:left w:w="120" w:type="dxa"/>
              <w:right w:w="120" w:type="dxa"/>
            </w:tcMar>
            <w:shd w:fill="F9FAFB"/>
          </w:tcPr>
          <w:p>
            <w:pPr>
              <w:spacing w:before="40" w:after="40" w:line="252" w:lineRule="auto"/>
            </w:pPr>
            <w:r>
              <w:rPr>
                <w:rFonts w:ascii="Calibri" w:hAnsi="Calibri"/>
                <w:color w:val="333333"/>
                <w:sz w:val="19"/>
              </w:rPr>
              <w:t>5/5</w:t>
            </w:r>
          </w:p>
        </w:tc>
        <w:tc>
          <w:tcPr>
            <w:tcW w:type="dxa" w:w="1440"/>
            <w:tcMar>
              <w:top w:w="100" w:type="dxa"/>
              <w:bottom w:w="100" w:type="dxa"/>
              <w:left w:w="120" w:type="dxa"/>
              <w:right w:w="120" w:type="dxa"/>
            </w:tcMar>
            <w:shd w:fill="F9FAFB"/>
          </w:tcPr>
          <w:p>
            <w:pPr>
              <w:spacing w:before="40" w:after="40" w:line="252" w:lineRule="auto"/>
            </w:pPr>
            <w:r>
              <w:rPr>
                <w:rFonts w:ascii="Calibri" w:hAnsi="Calibri"/>
                <w:color w:val="333333"/>
                <w:sz w:val="19"/>
              </w:rPr>
              <w:t>Clean extraction from HR Remote Work Policy.</w:t>
            </w:r>
          </w:p>
        </w:tc>
      </w:tr>
      <w:tr>
        <w:tc>
          <w:tcPr>
            <w:tcW w:type="dxa" w:w="576"/>
            <w:tcMar>
              <w:top w:w="100" w:type="dxa"/>
              <w:bottom w:w="100" w:type="dxa"/>
              <w:left w:w="120" w:type="dxa"/>
              <w:right w:w="120" w:type="dxa"/>
            </w:tcMar>
            <w:shd w:fill="FFFFFF"/>
          </w:tcPr>
          <w:p>
            <w:pPr>
              <w:spacing w:before="40" w:after="40" w:line="252" w:lineRule="auto"/>
            </w:pPr>
            <w:r>
              <w:rPr>
                <w:rFonts w:ascii="Calibri" w:hAnsi="Calibri"/>
                <w:color w:val="333333"/>
                <w:sz w:val="19"/>
              </w:rPr>
              <w:t>Q3</w:t>
            </w:r>
          </w:p>
        </w:tc>
        <w:tc>
          <w:tcPr>
            <w:tcW w:type="dxa" w:w="1296"/>
            <w:tcMar>
              <w:top w:w="100" w:type="dxa"/>
              <w:bottom w:w="100" w:type="dxa"/>
              <w:left w:w="120" w:type="dxa"/>
              <w:right w:w="120" w:type="dxa"/>
            </w:tcMar>
            <w:shd w:fill="FFFFFF"/>
          </w:tcPr>
          <w:p>
            <w:pPr>
              <w:spacing w:before="40" w:after="40" w:line="252" w:lineRule="auto"/>
            </w:pPr>
            <w:r>
              <w:rPr>
                <w:rFonts w:ascii="Calibri" w:hAnsi="Calibri"/>
                <w:color w:val="333333"/>
                <w:sz w:val="19"/>
              </w:rPr>
              <w:t>HR</w:t>
            </w:r>
          </w:p>
        </w:tc>
        <w:tc>
          <w:tcPr>
            <w:tcW w:type="dxa" w:w="1728"/>
            <w:tcMar>
              <w:top w:w="100" w:type="dxa"/>
              <w:bottom w:w="100" w:type="dxa"/>
              <w:left w:w="120" w:type="dxa"/>
              <w:right w:w="120" w:type="dxa"/>
            </w:tcMar>
            <w:shd w:fill="FFFFFF"/>
          </w:tcPr>
          <w:p>
            <w:pPr>
              <w:spacing w:before="40" w:after="40" w:line="252" w:lineRule="auto"/>
            </w:pPr>
            <w:r>
              <w:rPr>
                <w:rFonts w:ascii="Calibri" w:hAnsi="Calibri"/>
                <w:color w:val="333333"/>
                <w:sz w:val="19"/>
              </w:rPr>
              <w:t>How does the 401k matching work?</w:t>
            </w:r>
          </w:p>
        </w:tc>
        <w:tc>
          <w:tcPr>
            <w:tcW w:type="dxa" w:w="1728"/>
            <w:tcMar>
              <w:top w:w="100" w:type="dxa"/>
              <w:bottom w:w="100" w:type="dxa"/>
              <w:left w:w="120" w:type="dxa"/>
              <w:right w:w="120" w:type="dxa"/>
            </w:tcMar>
            <w:shd w:fill="FFFFFF"/>
          </w:tcPr>
          <w:p>
            <w:pPr>
              <w:spacing w:before="40" w:after="40" w:line="252" w:lineRule="auto"/>
            </w:pPr>
            <w:r>
              <w:rPr>
                <w:rFonts w:ascii="Calibri" w:hAnsi="Calibri"/>
                <w:color w:val="333333"/>
                <w:sz w:val="19"/>
              </w:rPr>
              <w:t>100% match up to 5% of salary after 90 days.</w:t>
            </w:r>
          </w:p>
        </w:tc>
        <w:tc>
          <w:tcPr>
            <w:tcW w:type="dxa" w:w="2016"/>
            <w:tcMar>
              <w:top w:w="100" w:type="dxa"/>
              <w:bottom w:w="100" w:type="dxa"/>
              <w:left w:w="120" w:type="dxa"/>
              <w:right w:w="120" w:type="dxa"/>
            </w:tcMar>
            <w:shd w:fill="FFFFFF"/>
          </w:tcPr>
          <w:p>
            <w:pPr>
              <w:spacing w:before="40" w:after="40" w:line="252" w:lineRule="auto"/>
            </w:pPr>
            <w:r>
              <w:rPr>
                <w:rFonts w:ascii="Calibri" w:hAnsi="Calibri"/>
                <w:color w:val="333333"/>
                <w:sz w:val="19"/>
              </w:rPr>
              <w:t>ACME provides a 100% employer match on 401(k) contributions up to 5% of gross salary, eligible after 90 days.</w:t>
            </w:r>
          </w:p>
        </w:tc>
        <w:tc>
          <w:tcPr>
            <w:tcW w:type="dxa" w:w="576"/>
            <w:tcMar>
              <w:top w:w="100" w:type="dxa"/>
              <w:bottom w:w="100" w:type="dxa"/>
              <w:left w:w="120" w:type="dxa"/>
              <w:right w:w="120" w:type="dxa"/>
            </w:tcMar>
            <w:shd w:fill="FFFFFF"/>
          </w:tcPr>
          <w:p>
            <w:pPr>
              <w:spacing w:before="40" w:after="40" w:line="252" w:lineRule="auto"/>
            </w:pPr>
            <w:r>
              <w:rPr>
                <w:rFonts w:ascii="Calibri" w:hAnsi="Calibri"/>
                <w:color w:val="333333"/>
                <w:sz w:val="19"/>
              </w:rPr>
              <w:t>5/5</w:t>
            </w:r>
          </w:p>
        </w:tc>
        <w:tc>
          <w:tcPr>
            <w:tcW w:type="dxa" w:w="1440"/>
            <w:tcMar>
              <w:top w:w="100" w:type="dxa"/>
              <w:bottom w:w="100" w:type="dxa"/>
              <w:left w:w="120" w:type="dxa"/>
              <w:right w:w="120" w:type="dxa"/>
            </w:tcMar>
            <w:shd w:fill="FFFFFF"/>
          </w:tcPr>
          <w:p>
            <w:pPr>
              <w:spacing w:before="40" w:after="40" w:line="252" w:lineRule="auto"/>
            </w:pPr>
            <w:r>
              <w:rPr>
                <w:rFonts w:ascii="Calibri" w:hAnsi="Calibri"/>
                <w:color w:val="333333"/>
                <w:sz w:val="19"/>
              </w:rPr>
              <w:t>Targeted retrieval fetched exact 401k benefit clause.</w:t>
            </w:r>
          </w:p>
        </w:tc>
      </w:tr>
      <w:tr>
        <w:tc>
          <w:tcPr>
            <w:tcW w:type="dxa" w:w="576"/>
            <w:tcMar>
              <w:top w:w="100" w:type="dxa"/>
              <w:bottom w:w="100" w:type="dxa"/>
              <w:left w:w="120" w:type="dxa"/>
              <w:right w:w="120" w:type="dxa"/>
            </w:tcMar>
            <w:shd w:fill="F9FAFB"/>
          </w:tcPr>
          <w:p>
            <w:pPr>
              <w:spacing w:before="40" w:after="40" w:line="252" w:lineRule="auto"/>
            </w:pPr>
            <w:r>
              <w:rPr>
                <w:rFonts w:ascii="Calibri" w:hAnsi="Calibri"/>
                <w:color w:val="333333"/>
                <w:sz w:val="19"/>
              </w:rPr>
              <w:t>Q4</w:t>
            </w:r>
          </w:p>
        </w:tc>
        <w:tc>
          <w:tcPr>
            <w:tcW w:type="dxa" w:w="1296"/>
            <w:tcMar>
              <w:top w:w="100" w:type="dxa"/>
              <w:bottom w:w="100" w:type="dxa"/>
              <w:left w:w="120" w:type="dxa"/>
              <w:right w:w="120" w:type="dxa"/>
            </w:tcMar>
            <w:shd w:fill="F9FAFB"/>
          </w:tcPr>
          <w:p>
            <w:pPr>
              <w:spacing w:before="40" w:after="40" w:line="252" w:lineRule="auto"/>
            </w:pPr>
            <w:r>
              <w:rPr>
                <w:rFonts w:ascii="Calibri" w:hAnsi="Calibri"/>
                <w:color w:val="333333"/>
                <w:sz w:val="19"/>
              </w:rPr>
              <w:t>HR</w:t>
            </w:r>
          </w:p>
        </w:tc>
        <w:tc>
          <w:tcPr>
            <w:tcW w:type="dxa" w:w="1728"/>
            <w:tcMar>
              <w:top w:w="100" w:type="dxa"/>
              <w:bottom w:w="100" w:type="dxa"/>
              <w:left w:w="120" w:type="dxa"/>
              <w:right w:w="120" w:type="dxa"/>
            </w:tcMar>
            <w:shd w:fill="F9FAFB"/>
          </w:tcPr>
          <w:p>
            <w:pPr>
              <w:spacing w:before="40" w:after="40" w:line="252" w:lineRule="auto"/>
            </w:pPr>
            <w:r>
              <w:rPr>
                <w:rFonts w:ascii="Calibri" w:hAnsi="Calibri"/>
                <w:color w:val="333333"/>
                <w:sz w:val="19"/>
              </w:rPr>
              <w:t>What happens after two consecutive 'Below Expectations' ratings?</w:t>
            </w:r>
          </w:p>
        </w:tc>
        <w:tc>
          <w:tcPr>
            <w:tcW w:type="dxa" w:w="1728"/>
            <w:tcMar>
              <w:top w:w="100" w:type="dxa"/>
              <w:bottom w:w="100" w:type="dxa"/>
              <w:left w:w="120" w:type="dxa"/>
              <w:right w:w="120" w:type="dxa"/>
            </w:tcMar>
            <w:shd w:fill="F9FAFB"/>
          </w:tcPr>
          <w:p>
            <w:pPr>
              <w:spacing w:before="40" w:after="40" w:line="252" w:lineRule="auto"/>
            </w:pPr>
            <w:r>
              <w:rPr>
                <w:rFonts w:ascii="Calibri" w:hAnsi="Calibri"/>
                <w:color w:val="333333"/>
                <w:sz w:val="19"/>
              </w:rPr>
              <w:t>Placed on a 60-day Performance Improvement Plan (PIP).</w:t>
            </w:r>
          </w:p>
        </w:tc>
        <w:tc>
          <w:tcPr>
            <w:tcW w:type="dxa" w:w="2016"/>
            <w:tcMar>
              <w:top w:w="100" w:type="dxa"/>
              <w:bottom w:w="100" w:type="dxa"/>
              <w:left w:w="120" w:type="dxa"/>
              <w:right w:w="120" w:type="dxa"/>
            </w:tcMar>
            <w:shd w:fill="F9FAFB"/>
          </w:tcPr>
          <w:p>
            <w:pPr>
              <w:spacing w:before="40" w:after="40" w:line="252" w:lineRule="auto"/>
            </w:pPr>
            <w:r>
              <w:rPr>
                <w:rFonts w:ascii="Calibri" w:hAnsi="Calibri"/>
                <w:color w:val="333333"/>
                <w:sz w:val="19"/>
              </w:rPr>
              <w:t>Two consecutive 'Below Expectations' performance ratings result in placement on a formal 60-day PIP.</w:t>
            </w:r>
          </w:p>
        </w:tc>
        <w:tc>
          <w:tcPr>
            <w:tcW w:type="dxa" w:w="576"/>
            <w:tcMar>
              <w:top w:w="100" w:type="dxa"/>
              <w:bottom w:w="100" w:type="dxa"/>
              <w:left w:w="120" w:type="dxa"/>
              <w:right w:w="120" w:type="dxa"/>
            </w:tcMar>
            <w:shd w:fill="F9FAFB"/>
          </w:tcPr>
          <w:p>
            <w:pPr>
              <w:spacing w:before="40" w:after="40" w:line="252" w:lineRule="auto"/>
            </w:pPr>
            <w:r>
              <w:rPr>
                <w:rFonts w:ascii="Calibri" w:hAnsi="Calibri"/>
                <w:color w:val="333333"/>
                <w:sz w:val="19"/>
              </w:rPr>
              <w:t>5/5</w:t>
            </w:r>
          </w:p>
        </w:tc>
        <w:tc>
          <w:tcPr>
            <w:tcW w:type="dxa" w:w="1440"/>
            <w:tcMar>
              <w:top w:w="100" w:type="dxa"/>
              <w:bottom w:w="100" w:type="dxa"/>
              <w:left w:w="120" w:type="dxa"/>
              <w:right w:w="120" w:type="dxa"/>
            </w:tcMar>
            <w:shd w:fill="F9FAFB"/>
          </w:tcPr>
          <w:p>
            <w:pPr>
              <w:spacing w:before="40" w:after="40" w:line="252" w:lineRule="auto"/>
            </w:pPr>
            <w:r>
              <w:rPr>
                <w:rFonts w:ascii="Calibri" w:hAnsi="Calibri"/>
                <w:color w:val="333333"/>
                <w:sz w:val="19"/>
              </w:rPr>
              <w:t>Precise hit on HR Performance Review section.</w:t>
            </w:r>
          </w:p>
        </w:tc>
      </w:tr>
      <w:tr>
        <w:tc>
          <w:tcPr>
            <w:tcW w:type="dxa" w:w="576"/>
            <w:tcMar>
              <w:top w:w="100" w:type="dxa"/>
              <w:bottom w:w="100" w:type="dxa"/>
              <w:left w:w="120" w:type="dxa"/>
              <w:right w:w="120" w:type="dxa"/>
            </w:tcMar>
            <w:shd w:fill="FFFFFF"/>
          </w:tcPr>
          <w:p>
            <w:pPr>
              <w:spacing w:before="40" w:after="40" w:line="252" w:lineRule="auto"/>
            </w:pPr>
            <w:r>
              <w:rPr>
                <w:rFonts w:ascii="Calibri" w:hAnsi="Calibri"/>
                <w:color w:val="333333"/>
                <w:sz w:val="19"/>
              </w:rPr>
              <w:t>Q5</w:t>
            </w:r>
          </w:p>
        </w:tc>
        <w:tc>
          <w:tcPr>
            <w:tcW w:type="dxa" w:w="1296"/>
            <w:tcMar>
              <w:top w:w="100" w:type="dxa"/>
              <w:bottom w:w="100" w:type="dxa"/>
              <w:left w:w="120" w:type="dxa"/>
              <w:right w:w="120" w:type="dxa"/>
            </w:tcMar>
            <w:shd w:fill="FFFFFF"/>
          </w:tcPr>
          <w:p>
            <w:pPr>
              <w:spacing w:before="40" w:after="40" w:line="252" w:lineRule="auto"/>
            </w:pPr>
            <w:r>
              <w:rPr>
                <w:rFonts w:ascii="Calibri" w:hAnsi="Calibri"/>
                <w:color w:val="333333"/>
                <w:sz w:val="19"/>
              </w:rPr>
              <w:t>Technical</w:t>
            </w:r>
          </w:p>
        </w:tc>
        <w:tc>
          <w:tcPr>
            <w:tcW w:type="dxa" w:w="1728"/>
            <w:tcMar>
              <w:top w:w="100" w:type="dxa"/>
              <w:bottom w:w="100" w:type="dxa"/>
              <w:left w:w="120" w:type="dxa"/>
              <w:right w:w="120" w:type="dxa"/>
            </w:tcMar>
            <w:shd w:fill="FFFFFF"/>
          </w:tcPr>
          <w:p>
            <w:pPr>
              <w:spacing w:before="40" w:after="40" w:line="252" w:lineRule="auto"/>
            </w:pPr>
            <w:r>
              <w:rPr>
                <w:rFonts w:ascii="Calibri" w:hAnsi="Calibri"/>
                <w:color w:val="333333"/>
                <w:sz w:val="19"/>
              </w:rPr>
              <w:t>How do I authenticate with the ACME API?</w:t>
            </w:r>
          </w:p>
        </w:tc>
        <w:tc>
          <w:tcPr>
            <w:tcW w:type="dxa" w:w="1728"/>
            <w:tcMar>
              <w:top w:w="100" w:type="dxa"/>
              <w:bottom w:w="100" w:type="dxa"/>
              <w:left w:w="120" w:type="dxa"/>
              <w:right w:w="120" w:type="dxa"/>
            </w:tcMar>
            <w:shd w:fill="FFFFFF"/>
          </w:tcPr>
          <w:p>
            <w:pPr>
              <w:spacing w:before="40" w:after="40" w:line="252" w:lineRule="auto"/>
            </w:pPr>
            <w:r>
              <w:rPr>
                <w:rFonts w:ascii="Calibri" w:hAnsi="Calibri"/>
                <w:color w:val="333333"/>
                <w:sz w:val="19"/>
              </w:rPr>
              <w:t>OAuth 2.0 Bearer Token in Authorization header. Valid 3600s.</w:t>
            </w:r>
          </w:p>
        </w:tc>
        <w:tc>
          <w:tcPr>
            <w:tcW w:type="dxa" w:w="2016"/>
            <w:tcMar>
              <w:top w:w="100" w:type="dxa"/>
              <w:bottom w:w="100" w:type="dxa"/>
              <w:left w:w="120" w:type="dxa"/>
              <w:right w:w="120" w:type="dxa"/>
            </w:tcMar>
            <w:shd w:fill="FFFFFF"/>
          </w:tcPr>
          <w:p>
            <w:pPr>
              <w:spacing w:before="40" w:after="40" w:line="252" w:lineRule="auto"/>
            </w:pPr>
            <w:r>
              <w:rPr>
                <w:rFonts w:ascii="Calibri" w:hAnsi="Calibri"/>
                <w:color w:val="333333"/>
                <w:sz w:val="19"/>
              </w:rPr>
              <w:t>ACME API authentication requires OAuth 2.0 Bearer Tokens in the Authorization header. Tokens expire in 3,600 seconds.</w:t>
            </w:r>
          </w:p>
        </w:tc>
        <w:tc>
          <w:tcPr>
            <w:tcW w:type="dxa" w:w="576"/>
            <w:tcMar>
              <w:top w:w="100" w:type="dxa"/>
              <w:bottom w:w="100" w:type="dxa"/>
              <w:left w:w="120" w:type="dxa"/>
              <w:right w:w="120" w:type="dxa"/>
            </w:tcMar>
            <w:shd w:fill="FFFFFF"/>
          </w:tcPr>
          <w:p>
            <w:pPr>
              <w:spacing w:before="40" w:after="40" w:line="252" w:lineRule="auto"/>
            </w:pPr>
            <w:r>
              <w:rPr>
                <w:rFonts w:ascii="Calibri" w:hAnsi="Calibri"/>
                <w:color w:val="333333"/>
                <w:sz w:val="19"/>
              </w:rPr>
              <w:t>5/5</w:t>
            </w:r>
          </w:p>
        </w:tc>
        <w:tc>
          <w:tcPr>
            <w:tcW w:type="dxa" w:w="1440"/>
            <w:tcMar>
              <w:top w:w="100" w:type="dxa"/>
              <w:bottom w:w="100" w:type="dxa"/>
              <w:left w:w="120" w:type="dxa"/>
              <w:right w:w="120" w:type="dxa"/>
            </w:tcMar>
            <w:shd w:fill="FFFFFF"/>
          </w:tcPr>
          <w:p>
            <w:pPr>
              <w:spacing w:before="40" w:after="40" w:line="252" w:lineRule="auto"/>
            </w:pPr>
            <w:r>
              <w:rPr>
                <w:rFonts w:ascii="Calibri" w:hAnsi="Calibri"/>
                <w:color w:val="333333"/>
                <w:sz w:val="19"/>
              </w:rPr>
              <w:t>Technical Manual Section 2.1 exact match.</w:t>
            </w:r>
          </w:p>
        </w:tc>
      </w:tr>
      <w:tr>
        <w:tc>
          <w:tcPr>
            <w:tcW w:type="dxa" w:w="576"/>
            <w:tcMar>
              <w:top w:w="100" w:type="dxa"/>
              <w:bottom w:w="100" w:type="dxa"/>
              <w:left w:w="120" w:type="dxa"/>
              <w:right w:w="120" w:type="dxa"/>
            </w:tcMar>
            <w:shd w:fill="F9FAFB"/>
          </w:tcPr>
          <w:p>
            <w:pPr>
              <w:spacing w:before="40" w:after="40" w:line="252" w:lineRule="auto"/>
            </w:pPr>
            <w:r>
              <w:rPr>
                <w:rFonts w:ascii="Calibri" w:hAnsi="Calibri"/>
                <w:color w:val="333333"/>
                <w:sz w:val="19"/>
              </w:rPr>
              <w:t>Q6</w:t>
            </w:r>
          </w:p>
        </w:tc>
        <w:tc>
          <w:tcPr>
            <w:tcW w:type="dxa" w:w="1296"/>
            <w:tcMar>
              <w:top w:w="100" w:type="dxa"/>
              <w:bottom w:w="100" w:type="dxa"/>
              <w:left w:w="120" w:type="dxa"/>
              <w:right w:w="120" w:type="dxa"/>
            </w:tcMar>
            <w:shd w:fill="F9FAFB"/>
          </w:tcPr>
          <w:p>
            <w:pPr>
              <w:spacing w:before="40" w:after="40" w:line="252" w:lineRule="auto"/>
            </w:pPr>
            <w:r>
              <w:rPr>
                <w:rFonts w:ascii="Calibri" w:hAnsi="Calibri"/>
                <w:color w:val="333333"/>
                <w:sz w:val="19"/>
              </w:rPr>
              <w:t>Technical</w:t>
            </w:r>
          </w:p>
        </w:tc>
        <w:tc>
          <w:tcPr>
            <w:tcW w:type="dxa" w:w="1728"/>
            <w:tcMar>
              <w:top w:w="100" w:type="dxa"/>
              <w:bottom w:w="100" w:type="dxa"/>
              <w:left w:w="120" w:type="dxa"/>
              <w:right w:w="120" w:type="dxa"/>
            </w:tcMar>
            <w:shd w:fill="F9FAFB"/>
          </w:tcPr>
          <w:p>
            <w:pPr>
              <w:spacing w:before="40" w:after="40" w:line="252" w:lineRule="auto"/>
            </w:pPr>
            <w:r>
              <w:rPr>
                <w:rFonts w:ascii="Calibri" w:hAnsi="Calibri"/>
                <w:color w:val="333333"/>
                <w:sz w:val="19"/>
              </w:rPr>
              <w:t>What is the rate limit for standard tier &amp; when exceeded?</w:t>
            </w:r>
          </w:p>
        </w:tc>
        <w:tc>
          <w:tcPr>
            <w:tcW w:type="dxa" w:w="1728"/>
            <w:tcMar>
              <w:top w:w="100" w:type="dxa"/>
              <w:bottom w:w="100" w:type="dxa"/>
              <w:left w:w="120" w:type="dxa"/>
              <w:right w:w="120" w:type="dxa"/>
            </w:tcMar>
            <w:shd w:fill="F9FAFB"/>
          </w:tcPr>
          <w:p>
            <w:pPr>
              <w:spacing w:before="40" w:after="40" w:line="252" w:lineRule="auto"/>
            </w:pPr>
            <w:r>
              <w:rPr>
                <w:rFonts w:ascii="Calibri" w:hAnsi="Calibri"/>
                <w:color w:val="333333"/>
                <w:sz w:val="19"/>
              </w:rPr>
              <w:t>100 req/min. Returns HTTP 429 with Retry-After header.</w:t>
            </w:r>
          </w:p>
        </w:tc>
        <w:tc>
          <w:tcPr>
            <w:tcW w:type="dxa" w:w="2016"/>
            <w:tcMar>
              <w:top w:w="100" w:type="dxa"/>
              <w:bottom w:w="100" w:type="dxa"/>
              <w:left w:w="120" w:type="dxa"/>
              <w:right w:w="120" w:type="dxa"/>
            </w:tcMar>
            <w:shd w:fill="F9FAFB"/>
          </w:tcPr>
          <w:p>
            <w:pPr>
              <w:spacing w:before="40" w:after="40" w:line="252" w:lineRule="auto"/>
            </w:pPr>
            <w:r>
              <w:rPr>
                <w:rFonts w:ascii="Calibri" w:hAnsi="Calibri"/>
                <w:color w:val="333333"/>
                <w:sz w:val="19"/>
              </w:rPr>
              <w:t>Standard tier rate limit is 100 requests/min. Exceeding this returns HTTP 429 Too Many Requests with Retry-After header.</w:t>
            </w:r>
          </w:p>
        </w:tc>
        <w:tc>
          <w:tcPr>
            <w:tcW w:type="dxa" w:w="576"/>
            <w:tcMar>
              <w:top w:w="100" w:type="dxa"/>
              <w:bottom w:w="100" w:type="dxa"/>
              <w:left w:w="120" w:type="dxa"/>
              <w:right w:w="120" w:type="dxa"/>
            </w:tcMar>
            <w:shd w:fill="F9FAFB"/>
          </w:tcPr>
          <w:p>
            <w:pPr>
              <w:spacing w:before="40" w:after="40" w:line="252" w:lineRule="auto"/>
            </w:pPr>
            <w:r>
              <w:rPr>
                <w:rFonts w:ascii="Calibri" w:hAnsi="Calibri"/>
                <w:color w:val="333333"/>
                <w:sz w:val="19"/>
              </w:rPr>
              <w:t>5/5</w:t>
            </w:r>
          </w:p>
        </w:tc>
        <w:tc>
          <w:tcPr>
            <w:tcW w:type="dxa" w:w="1440"/>
            <w:tcMar>
              <w:top w:w="100" w:type="dxa"/>
              <w:bottom w:w="100" w:type="dxa"/>
              <w:left w:w="120" w:type="dxa"/>
              <w:right w:w="120" w:type="dxa"/>
            </w:tcMar>
            <w:shd w:fill="F9FAFB"/>
          </w:tcPr>
          <w:p>
            <w:pPr>
              <w:spacing w:before="40" w:after="40" w:line="252" w:lineRule="auto"/>
            </w:pPr>
            <w:r>
              <w:rPr>
                <w:rFonts w:ascii="Calibri" w:hAnsi="Calibri"/>
                <w:color w:val="333333"/>
                <w:sz w:val="19"/>
              </w:rPr>
              <w:t>Technical Rate Limiting section fetched cleanly.</w:t>
            </w:r>
          </w:p>
        </w:tc>
      </w:tr>
      <w:tr>
        <w:tc>
          <w:tcPr>
            <w:tcW w:type="dxa" w:w="576"/>
            <w:tcMar>
              <w:top w:w="100" w:type="dxa"/>
              <w:bottom w:w="100" w:type="dxa"/>
              <w:left w:w="120" w:type="dxa"/>
              <w:right w:w="120" w:type="dxa"/>
            </w:tcMar>
            <w:shd w:fill="FFFFFF"/>
          </w:tcPr>
          <w:p>
            <w:pPr>
              <w:spacing w:before="40" w:after="40" w:line="252" w:lineRule="auto"/>
            </w:pPr>
            <w:r>
              <w:rPr>
                <w:rFonts w:ascii="Calibri" w:hAnsi="Calibri"/>
                <w:color w:val="333333"/>
                <w:sz w:val="19"/>
              </w:rPr>
              <w:t>Q7</w:t>
            </w:r>
          </w:p>
        </w:tc>
        <w:tc>
          <w:tcPr>
            <w:tcW w:type="dxa" w:w="1296"/>
            <w:tcMar>
              <w:top w:w="100" w:type="dxa"/>
              <w:bottom w:w="100" w:type="dxa"/>
              <w:left w:w="120" w:type="dxa"/>
              <w:right w:w="120" w:type="dxa"/>
            </w:tcMar>
            <w:shd w:fill="FFFFFF"/>
          </w:tcPr>
          <w:p>
            <w:pPr>
              <w:spacing w:before="40" w:after="40" w:line="252" w:lineRule="auto"/>
            </w:pPr>
            <w:r>
              <w:rPr>
                <w:rFonts w:ascii="Calibri" w:hAnsi="Calibri"/>
                <w:color w:val="333333"/>
                <w:sz w:val="19"/>
              </w:rPr>
              <w:t>Technical</w:t>
            </w:r>
          </w:p>
        </w:tc>
        <w:tc>
          <w:tcPr>
            <w:tcW w:type="dxa" w:w="1728"/>
            <w:tcMar>
              <w:top w:w="100" w:type="dxa"/>
              <w:bottom w:w="100" w:type="dxa"/>
              <w:left w:w="120" w:type="dxa"/>
              <w:right w:w="120" w:type="dxa"/>
            </w:tcMar>
            <w:shd w:fill="FFFFFF"/>
          </w:tcPr>
          <w:p>
            <w:pPr>
              <w:spacing w:before="40" w:after="40" w:line="252" w:lineRule="auto"/>
            </w:pPr>
            <w:r>
              <w:rPr>
                <w:rFonts w:ascii="Calibri" w:hAnsi="Calibri"/>
                <w:color w:val="333333"/>
                <w:sz w:val="19"/>
              </w:rPr>
              <w:t>What is the difference between a 401 and 403 error?</w:t>
            </w:r>
          </w:p>
        </w:tc>
        <w:tc>
          <w:tcPr>
            <w:tcW w:type="dxa" w:w="1728"/>
            <w:tcMar>
              <w:top w:w="100" w:type="dxa"/>
              <w:bottom w:w="100" w:type="dxa"/>
              <w:left w:w="120" w:type="dxa"/>
              <w:right w:w="120" w:type="dxa"/>
            </w:tcMar>
            <w:shd w:fill="FFFFFF"/>
          </w:tcPr>
          <w:p>
            <w:pPr>
              <w:spacing w:before="40" w:after="40" w:line="252" w:lineRule="auto"/>
            </w:pPr>
            <w:r>
              <w:rPr>
                <w:rFonts w:ascii="Calibri" w:hAnsi="Calibri"/>
                <w:color w:val="333333"/>
                <w:sz w:val="19"/>
              </w:rPr>
              <w:t>401 = invalid/missing token. 403 = valid token, insufficient permission.</w:t>
            </w:r>
          </w:p>
        </w:tc>
        <w:tc>
          <w:tcPr>
            <w:tcW w:type="dxa" w:w="2016"/>
            <w:tcMar>
              <w:top w:w="100" w:type="dxa"/>
              <w:bottom w:w="100" w:type="dxa"/>
              <w:left w:w="120" w:type="dxa"/>
              <w:right w:w="120" w:type="dxa"/>
            </w:tcMar>
            <w:shd w:fill="FFFFFF"/>
          </w:tcPr>
          <w:p>
            <w:pPr>
              <w:spacing w:before="40" w:after="40" w:line="252" w:lineRule="auto"/>
            </w:pPr>
            <w:r>
              <w:rPr>
                <w:rFonts w:ascii="Calibri" w:hAnsi="Calibri"/>
                <w:color w:val="333333"/>
                <w:sz w:val="19"/>
              </w:rPr>
              <w:t>A 401 Unauthorized indicates missing/invalid token. A 403 Forbidden indicates valid token but insufficient permissions.</w:t>
            </w:r>
          </w:p>
        </w:tc>
        <w:tc>
          <w:tcPr>
            <w:tcW w:type="dxa" w:w="576"/>
            <w:tcMar>
              <w:top w:w="100" w:type="dxa"/>
              <w:bottom w:w="100" w:type="dxa"/>
              <w:left w:w="120" w:type="dxa"/>
              <w:right w:w="120" w:type="dxa"/>
            </w:tcMar>
            <w:shd w:fill="FFFFFF"/>
          </w:tcPr>
          <w:p>
            <w:pPr>
              <w:spacing w:before="40" w:after="40" w:line="252" w:lineRule="auto"/>
            </w:pPr>
            <w:r>
              <w:rPr>
                <w:rFonts w:ascii="Calibri" w:hAnsi="Calibri"/>
                <w:color w:val="333333"/>
                <w:sz w:val="19"/>
              </w:rPr>
              <w:t>5/5</w:t>
            </w:r>
          </w:p>
        </w:tc>
        <w:tc>
          <w:tcPr>
            <w:tcW w:type="dxa" w:w="1440"/>
            <w:tcMar>
              <w:top w:w="100" w:type="dxa"/>
              <w:bottom w:w="100" w:type="dxa"/>
              <w:left w:w="120" w:type="dxa"/>
              <w:right w:w="120" w:type="dxa"/>
            </w:tcMar>
            <w:shd w:fill="FFFFFF"/>
          </w:tcPr>
          <w:p>
            <w:pPr>
              <w:spacing w:before="40" w:after="40" w:line="252" w:lineRule="auto"/>
            </w:pPr>
            <w:r>
              <w:rPr>
                <w:rFonts w:ascii="Calibri" w:hAnsi="Calibri"/>
                <w:color w:val="333333"/>
                <w:sz w:val="19"/>
              </w:rPr>
              <w:t>Retrieved Error Reference table cleanly.</w:t>
            </w:r>
          </w:p>
        </w:tc>
      </w:tr>
      <w:tr>
        <w:tc>
          <w:tcPr>
            <w:tcW w:type="dxa" w:w="576"/>
            <w:tcMar>
              <w:top w:w="100" w:type="dxa"/>
              <w:bottom w:w="100" w:type="dxa"/>
              <w:left w:w="120" w:type="dxa"/>
              <w:right w:w="120" w:type="dxa"/>
            </w:tcMar>
            <w:shd w:fill="F9FAFB"/>
          </w:tcPr>
          <w:p>
            <w:pPr>
              <w:spacing w:before="40" w:after="40" w:line="252" w:lineRule="auto"/>
            </w:pPr>
            <w:r>
              <w:rPr>
                <w:rFonts w:ascii="Calibri" w:hAnsi="Calibri"/>
                <w:color w:val="333333"/>
                <w:sz w:val="19"/>
              </w:rPr>
              <w:t>Q8</w:t>
            </w:r>
          </w:p>
        </w:tc>
        <w:tc>
          <w:tcPr>
            <w:tcW w:type="dxa" w:w="1296"/>
            <w:tcMar>
              <w:top w:w="100" w:type="dxa"/>
              <w:bottom w:w="100" w:type="dxa"/>
              <w:left w:w="120" w:type="dxa"/>
              <w:right w:w="120" w:type="dxa"/>
            </w:tcMar>
            <w:shd w:fill="F9FAFB"/>
          </w:tcPr>
          <w:p>
            <w:pPr>
              <w:spacing w:before="40" w:after="40" w:line="252" w:lineRule="auto"/>
            </w:pPr>
            <w:r>
              <w:rPr>
                <w:rFonts w:ascii="Calibri" w:hAnsi="Calibri"/>
                <w:color w:val="333333"/>
                <w:sz w:val="19"/>
              </w:rPr>
              <w:t>Compliance</w:t>
            </w:r>
          </w:p>
        </w:tc>
        <w:tc>
          <w:tcPr>
            <w:tcW w:type="dxa" w:w="1728"/>
            <w:tcMar>
              <w:top w:w="100" w:type="dxa"/>
              <w:bottom w:w="100" w:type="dxa"/>
              <w:left w:w="120" w:type="dxa"/>
              <w:right w:w="120" w:type="dxa"/>
            </w:tcMar>
            <w:shd w:fill="F9FAFB"/>
          </w:tcPr>
          <w:p>
            <w:pPr>
              <w:spacing w:before="40" w:after="40" w:line="252" w:lineRule="auto"/>
            </w:pPr>
            <w:r>
              <w:rPr>
                <w:rFonts w:ascii="Calibri" w:hAnsi="Calibri"/>
                <w:color w:val="333333"/>
                <w:sz w:val="19"/>
              </w:rPr>
              <w:t>How long must employee personal data be retained after leaving?</w:t>
            </w:r>
          </w:p>
        </w:tc>
        <w:tc>
          <w:tcPr>
            <w:tcW w:type="dxa" w:w="1728"/>
            <w:tcMar>
              <w:top w:w="100" w:type="dxa"/>
              <w:bottom w:w="100" w:type="dxa"/>
              <w:left w:w="120" w:type="dxa"/>
              <w:right w:w="120" w:type="dxa"/>
            </w:tcMar>
            <w:shd w:fill="F9FAFB"/>
          </w:tcPr>
          <w:p>
            <w:pPr>
              <w:spacing w:before="40" w:after="40" w:line="252" w:lineRule="auto"/>
            </w:pPr>
            <w:r>
              <w:rPr>
                <w:rFonts w:ascii="Calibri" w:hAnsi="Calibri"/>
                <w:color w:val="333333"/>
                <w:sz w:val="19"/>
              </w:rPr>
              <w:t>3 years after employment termination.</w:t>
            </w:r>
          </w:p>
        </w:tc>
        <w:tc>
          <w:tcPr>
            <w:tcW w:type="dxa" w:w="2016"/>
            <w:tcMar>
              <w:top w:w="100" w:type="dxa"/>
              <w:bottom w:w="100" w:type="dxa"/>
              <w:left w:w="120" w:type="dxa"/>
              <w:right w:w="120" w:type="dxa"/>
            </w:tcMar>
            <w:shd w:fill="F9FAFB"/>
          </w:tcPr>
          <w:p>
            <w:pPr>
              <w:spacing w:before="40" w:after="40" w:line="252" w:lineRule="auto"/>
            </w:pPr>
            <w:r>
              <w:rPr>
                <w:rFonts w:ascii="Calibri" w:hAnsi="Calibri"/>
                <w:color w:val="333333"/>
                <w:sz w:val="19"/>
              </w:rPr>
              <w:t>Employee personal data must be retained for 3 years following employment termination per Compliance Data Schedule.</w:t>
            </w:r>
          </w:p>
        </w:tc>
        <w:tc>
          <w:tcPr>
            <w:tcW w:type="dxa" w:w="576"/>
            <w:tcMar>
              <w:top w:w="100" w:type="dxa"/>
              <w:bottom w:w="100" w:type="dxa"/>
              <w:left w:w="120" w:type="dxa"/>
              <w:right w:w="120" w:type="dxa"/>
            </w:tcMar>
            <w:shd w:fill="F9FAFB"/>
          </w:tcPr>
          <w:p>
            <w:pPr>
              <w:spacing w:before="40" w:after="40" w:line="252" w:lineRule="auto"/>
            </w:pPr>
            <w:r>
              <w:rPr>
                <w:rFonts w:ascii="Calibri" w:hAnsi="Calibri"/>
                <w:color w:val="333333"/>
                <w:sz w:val="19"/>
              </w:rPr>
              <w:t>5/5</w:t>
            </w:r>
          </w:p>
        </w:tc>
        <w:tc>
          <w:tcPr>
            <w:tcW w:type="dxa" w:w="1440"/>
            <w:tcMar>
              <w:top w:w="100" w:type="dxa"/>
              <w:bottom w:w="100" w:type="dxa"/>
              <w:left w:w="120" w:type="dxa"/>
              <w:right w:w="120" w:type="dxa"/>
            </w:tcMar>
            <w:shd w:fill="F9FAFB"/>
          </w:tcPr>
          <w:p>
            <w:pPr>
              <w:spacing w:before="40" w:after="40" w:line="252" w:lineRule="auto"/>
            </w:pPr>
            <w:r>
              <w:rPr>
                <w:rFonts w:ascii="Calibri" w:hAnsi="Calibri"/>
                <w:color w:val="333333"/>
                <w:sz w:val="19"/>
              </w:rPr>
              <w:t>Retrieved from Compliance Data Retention Schedule B.</w:t>
            </w:r>
          </w:p>
        </w:tc>
      </w:tr>
      <w:tr>
        <w:tc>
          <w:tcPr>
            <w:tcW w:type="dxa" w:w="576"/>
            <w:tcMar>
              <w:top w:w="100" w:type="dxa"/>
              <w:bottom w:w="100" w:type="dxa"/>
              <w:left w:w="120" w:type="dxa"/>
              <w:right w:w="120" w:type="dxa"/>
            </w:tcMar>
            <w:shd w:fill="FFFFFF"/>
          </w:tcPr>
          <w:p>
            <w:pPr>
              <w:spacing w:before="40" w:after="40" w:line="252" w:lineRule="auto"/>
            </w:pPr>
            <w:r>
              <w:rPr>
                <w:rFonts w:ascii="Calibri" w:hAnsi="Calibri"/>
                <w:color w:val="333333"/>
                <w:sz w:val="19"/>
              </w:rPr>
              <w:t>Q9</w:t>
            </w:r>
          </w:p>
        </w:tc>
        <w:tc>
          <w:tcPr>
            <w:tcW w:type="dxa" w:w="1296"/>
            <w:tcMar>
              <w:top w:w="100" w:type="dxa"/>
              <w:bottom w:w="100" w:type="dxa"/>
              <w:left w:w="120" w:type="dxa"/>
              <w:right w:w="120" w:type="dxa"/>
            </w:tcMar>
            <w:shd w:fill="FFFFFF"/>
          </w:tcPr>
          <w:p>
            <w:pPr>
              <w:spacing w:before="40" w:after="40" w:line="252" w:lineRule="auto"/>
            </w:pPr>
            <w:r>
              <w:rPr>
                <w:rFonts w:ascii="Calibri" w:hAnsi="Calibri"/>
                <w:color w:val="333333"/>
                <w:sz w:val="19"/>
              </w:rPr>
              <w:t>Compliance</w:t>
            </w:r>
          </w:p>
        </w:tc>
        <w:tc>
          <w:tcPr>
            <w:tcW w:type="dxa" w:w="1728"/>
            <w:tcMar>
              <w:top w:w="100" w:type="dxa"/>
              <w:bottom w:w="100" w:type="dxa"/>
              <w:left w:w="120" w:type="dxa"/>
              <w:right w:w="120" w:type="dxa"/>
            </w:tcMar>
            <w:shd w:fill="FFFFFF"/>
          </w:tcPr>
          <w:p>
            <w:pPr>
              <w:spacing w:before="40" w:after="40" w:line="252" w:lineRule="auto"/>
            </w:pPr>
            <w:r>
              <w:rPr>
                <w:rFonts w:ascii="Calibri" w:hAnsi="Calibri"/>
                <w:color w:val="333333"/>
                <w:sz w:val="19"/>
              </w:rPr>
              <w:t>Within how many hours must a data breach be reported?</w:t>
            </w:r>
          </w:p>
        </w:tc>
        <w:tc>
          <w:tcPr>
            <w:tcW w:type="dxa" w:w="1728"/>
            <w:tcMar>
              <w:top w:w="100" w:type="dxa"/>
              <w:bottom w:w="100" w:type="dxa"/>
              <w:left w:w="120" w:type="dxa"/>
              <w:right w:w="120" w:type="dxa"/>
            </w:tcMar>
            <w:shd w:fill="FFFFFF"/>
          </w:tcPr>
          <w:p>
            <w:pPr>
              <w:spacing w:before="40" w:after="40" w:line="252" w:lineRule="auto"/>
            </w:pPr>
            <w:r>
              <w:rPr>
                <w:rFonts w:ascii="Calibri" w:hAnsi="Calibri"/>
                <w:color w:val="333333"/>
                <w:sz w:val="19"/>
              </w:rPr>
              <w:t>72 hours (GDPR Article 33).</w:t>
            </w:r>
          </w:p>
        </w:tc>
        <w:tc>
          <w:tcPr>
            <w:tcW w:type="dxa" w:w="2016"/>
            <w:tcMar>
              <w:top w:w="100" w:type="dxa"/>
              <w:bottom w:w="100" w:type="dxa"/>
              <w:left w:w="120" w:type="dxa"/>
              <w:right w:w="120" w:type="dxa"/>
            </w:tcMar>
            <w:shd w:fill="FFFFFF"/>
          </w:tcPr>
          <w:p>
            <w:pPr>
              <w:spacing w:before="40" w:after="40" w:line="252" w:lineRule="auto"/>
            </w:pPr>
            <w:r>
              <w:rPr>
                <w:rFonts w:ascii="Calibri" w:hAnsi="Calibri"/>
                <w:color w:val="333333"/>
                <w:sz w:val="19"/>
              </w:rPr>
              <w:t>Personal data breaches must be reported to the supervisory authority within 72 hours of discovery.</w:t>
            </w:r>
          </w:p>
        </w:tc>
        <w:tc>
          <w:tcPr>
            <w:tcW w:type="dxa" w:w="576"/>
            <w:tcMar>
              <w:top w:w="100" w:type="dxa"/>
              <w:bottom w:w="100" w:type="dxa"/>
              <w:left w:w="120" w:type="dxa"/>
              <w:right w:w="120" w:type="dxa"/>
            </w:tcMar>
            <w:shd w:fill="FFFFFF"/>
          </w:tcPr>
          <w:p>
            <w:pPr>
              <w:spacing w:before="40" w:after="40" w:line="252" w:lineRule="auto"/>
            </w:pPr>
            <w:r>
              <w:rPr>
                <w:rFonts w:ascii="Calibri" w:hAnsi="Calibri"/>
                <w:color w:val="333333"/>
                <w:sz w:val="19"/>
              </w:rPr>
              <w:t>5/5</w:t>
            </w:r>
          </w:p>
        </w:tc>
        <w:tc>
          <w:tcPr>
            <w:tcW w:type="dxa" w:w="1440"/>
            <w:tcMar>
              <w:top w:w="100" w:type="dxa"/>
              <w:bottom w:w="100" w:type="dxa"/>
              <w:left w:w="120" w:type="dxa"/>
              <w:right w:w="120" w:type="dxa"/>
            </w:tcMar>
            <w:shd w:fill="FFFFFF"/>
          </w:tcPr>
          <w:p>
            <w:pPr>
              <w:spacing w:before="40" w:after="40" w:line="252" w:lineRule="auto"/>
            </w:pPr>
            <w:r>
              <w:rPr>
                <w:rFonts w:ascii="Calibri" w:hAnsi="Calibri"/>
                <w:color w:val="333333"/>
                <w:sz w:val="19"/>
              </w:rPr>
              <w:t>Compliance Incident Response plan exact match.</w:t>
            </w:r>
          </w:p>
        </w:tc>
      </w:tr>
      <w:tr>
        <w:tc>
          <w:tcPr>
            <w:tcW w:type="dxa" w:w="576"/>
            <w:tcMar>
              <w:top w:w="100" w:type="dxa"/>
              <w:bottom w:w="100" w:type="dxa"/>
              <w:left w:w="120" w:type="dxa"/>
              <w:right w:w="120" w:type="dxa"/>
            </w:tcMar>
            <w:shd w:fill="F9FAFB"/>
          </w:tcPr>
          <w:p>
            <w:pPr>
              <w:spacing w:before="40" w:after="40" w:line="252" w:lineRule="auto"/>
            </w:pPr>
            <w:r>
              <w:rPr>
                <w:rFonts w:ascii="Calibri" w:hAnsi="Calibri"/>
                <w:color w:val="333333"/>
                <w:sz w:val="19"/>
              </w:rPr>
              <w:t>Q10</w:t>
            </w:r>
          </w:p>
        </w:tc>
        <w:tc>
          <w:tcPr>
            <w:tcW w:type="dxa" w:w="1296"/>
            <w:tcMar>
              <w:top w:w="100" w:type="dxa"/>
              <w:bottom w:w="100" w:type="dxa"/>
              <w:left w:w="120" w:type="dxa"/>
              <w:right w:w="120" w:type="dxa"/>
            </w:tcMar>
            <w:shd w:fill="F9FAFB"/>
          </w:tcPr>
          <w:p>
            <w:pPr>
              <w:spacing w:before="40" w:after="40" w:line="252" w:lineRule="auto"/>
            </w:pPr>
            <w:r>
              <w:rPr>
                <w:rFonts w:ascii="Calibri" w:hAnsi="Calibri"/>
                <w:color w:val="333333"/>
                <w:sz w:val="19"/>
              </w:rPr>
              <w:t>Compliance</w:t>
            </w:r>
          </w:p>
        </w:tc>
        <w:tc>
          <w:tcPr>
            <w:tcW w:type="dxa" w:w="1728"/>
            <w:tcMar>
              <w:top w:w="100" w:type="dxa"/>
              <w:bottom w:w="100" w:type="dxa"/>
              <w:left w:w="120" w:type="dxa"/>
              <w:right w:w="120" w:type="dxa"/>
            </w:tcMar>
            <w:shd w:fill="F9FAFB"/>
          </w:tcPr>
          <w:p>
            <w:pPr>
              <w:spacing w:before="40" w:after="40" w:line="252" w:lineRule="auto"/>
            </w:pPr>
            <w:r>
              <w:rPr>
                <w:rFonts w:ascii="Calibri" w:hAnsi="Calibri"/>
                <w:color w:val="333333"/>
                <w:sz w:val="19"/>
              </w:rPr>
              <w:t>What steps are involved in approving a new third-party vendor?</w:t>
            </w:r>
          </w:p>
        </w:tc>
        <w:tc>
          <w:tcPr>
            <w:tcW w:type="dxa" w:w="1728"/>
            <w:tcMar>
              <w:top w:w="100" w:type="dxa"/>
              <w:bottom w:w="100" w:type="dxa"/>
              <w:left w:w="120" w:type="dxa"/>
              <w:right w:w="120" w:type="dxa"/>
            </w:tcMar>
            <w:shd w:fill="F9FAFB"/>
          </w:tcPr>
          <w:p>
            <w:pPr>
              <w:spacing w:before="40" w:after="40" w:line="252" w:lineRule="auto"/>
            </w:pPr>
            <w:r>
              <w:rPr>
                <w:rFonts w:ascii="Calibri" w:hAnsi="Calibri"/>
                <w:color w:val="333333"/>
                <w:sz w:val="19"/>
              </w:rPr>
              <w:t>Risk assessment, SOC 2 / ISO 27001 audit, DPA review, CISO sign-off.</w:t>
            </w:r>
          </w:p>
        </w:tc>
        <w:tc>
          <w:tcPr>
            <w:tcW w:type="dxa" w:w="2016"/>
            <w:tcMar>
              <w:top w:w="100" w:type="dxa"/>
              <w:bottom w:w="100" w:type="dxa"/>
              <w:left w:w="120" w:type="dxa"/>
              <w:right w:w="120" w:type="dxa"/>
            </w:tcMar>
            <w:shd w:fill="F9FAFB"/>
          </w:tcPr>
          <w:p>
            <w:pPr>
              <w:spacing w:before="40" w:after="40" w:line="252" w:lineRule="auto"/>
            </w:pPr>
            <w:r>
              <w:rPr>
                <w:rFonts w:ascii="Calibri" w:hAnsi="Calibri"/>
                <w:color w:val="333333"/>
                <w:sz w:val="19"/>
              </w:rPr>
              <w:t>Vendor approval requires: 1) Risk assessment, 2) SOC 2 / ISO 27001 audit review, and 3) Final CISO sign-off.</w:t>
            </w:r>
          </w:p>
        </w:tc>
        <w:tc>
          <w:tcPr>
            <w:tcW w:type="dxa" w:w="576"/>
            <w:tcMar>
              <w:top w:w="100" w:type="dxa"/>
              <w:bottom w:w="100" w:type="dxa"/>
              <w:left w:w="120" w:type="dxa"/>
              <w:right w:w="120" w:type="dxa"/>
            </w:tcMar>
            <w:shd w:fill="F9FAFB"/>
          </w:tcPr>
          <w:p>
            <w:pPr>
              <w:spacing w:before="40" w:after="40" w:line="252" w:lineRule="auto"/>
            </w:pPr>
            <w:r>
              <w:rPr>
                <w:rFonts w:ascii="Calibri" w:hAnsi="Calibri"/>
                <w:color w:val="333333"/>
                <w:sz w:val="19"/>
              </w:rPr>
              <w:t>4/5</w:t>
            </w:r>
          </w:p>
        </w:tc>
        <w:tc>
          <w:tcPr>
            <w:tcW w:type="dxa" w:w="1440"/>
            <w:tcMar>
              <w:top w:w="100" w:type="dxa"/>
              <w:bottom w:w="100" w:type="dxa"/>
              <w:left w:w="120" w:type="dxa"/>
              <w:right w:w="120" w:type="dxa"/>
            </w:tcMar>
            <w:shd w:fill="F9FAFB"/>
          </w:tcPr>
          <w:p>
            <w:pPr>
              <w:spacing w:before="40" w:after="40" w:line="252" w:lineRule="auto"/>
            </w:pPr>
            <w:r>
              <w:rPr>
                <w:rFonts w:ascii="Calibri" w:hAnsi="Calibri"/>
                <w:color w:val="333333"/>
                <w:sz w:val="19"/>
              </w:rPr>
              <w:t>PDF table layout collapse merged DPA legal review into step 2 text stream. Core steps extracted.</w:t>
            </w:r>
          </w:p>
        </w:tc>
      </w:tr>
      <w:tr>
        <w:tc>
          <w:tcPr>
            <w:tcW w:type="dxa" w:w="576"/>
            <w:tcMar>
              <w:top w:w="100" w:type="dxa"/>
              <w:bottom w:w="100" w:type="dxa"/>
              <w:left w:w="120" w:type="dxa"/>
              <w:right w:w="120" w:type="dxa"/>
            </w:tcMar>
            <w:shd w:fill="FFFFFF"/>
          </w:tcPr>
          <w:p>
            <w:pPr>
              <w:spacing w:before="40" w:after="40" w:line="252" w:lineRule="auto"/>
            </w:pPr>
            <w:r>
              <w:rPr>
                <w:rFonts w:ascii="Calibri" w:hAnsi="Calibri"/>
                <w:color w:val="333333"/>
                <w:sz w:val="19"/>
              </w:rPr>
              <w:t>Q11</w:t>
            </w:r>
          </w:p>
        </w:tc>
        <w:tc>
          <w:tcPr>
            <w:tcW w:type="dxa" w:w="1296"/>
            <w:tcMar>
              <w:top w:w="100" w:type="dxa"/>
              <w:bottom w:w="100" w:type="dxa"/>
              <w:left w:w="120" w:type="dxa"/>
              <w:right w:w="120" w:type="dxa"/>
            </w:tcMar>
            <w:shd w:fill="FFFFFF"/>
          </w:tcPr>
          <w:p>
            <w:pPr>
              <w:spacing w:before="40" w:after="40" w:line="252" w:lineRule="auto"/>
            </w:pPr>
            <w:r>
              <w:rPr>
                <w:rFonts w:ascii="Calibri" w:hAnsi="Calibri"/>
                <w:color w:val="333333"/>
                <w:sz w:val="19"/>
              </w:rPr>
              <w:t>Edge (Cross-Doc)</w:t>
            </w:r>
          </w:p>
        </w:tc>
        <w:tc>
          <w:tcPr>
            <w:tcW w:type="dxa" w:w="1728"/>
            <w:tcMar>
              <w:top w:w="100" w:type="dxa"/>
              <w:bottom w:w="100" w:type="dxa"/>
              <w:left w:w="120" w:type="dxa"/>
              <w:right w:w="120" w:type="dxa"/>
            </w:tcMar>
            <w:shd w:fill="FFFFFF"/>
          </w:tcPr>
          <w:p>
            <w:pPr>
              <w:spacing w:before="40" w:after="40" w:line="252" w:lineRule="auto"/>
            </w:pPr>
            <w:r>
              <w:rPr>
                <w:rFonts w:ascii="Calibri" w:hAnsi="Calibri"/>
                <w:color w:val="333333"/>
                <w:sz w:val="19"/>
              </w:rPr>
              <w:t>How do remote work &amp; data security policies interact for remote staff?</w:t>
            </w:r>
          </w:p>
        </w:tc>
        <w:tc>
          <w:tcPr>
            <w:tcW w:type="dxa" w:w="1728"/>
            <w:tcMar>
              <w:top w:w="100" w:type="dxa"/>
              <w:bottom w:w="100" w:type="dxa"/>
              <w:left w:w="120" w:type="dxa"/>
              <w:right w:w="120" w:type="dxa"/>
            </w:tcMar>
            <w:shd w:fill="FFFFFF"/>
          </w:tcPr>
          <w:p>
            <w:pPr>
              <w:spacing w:before="40" w:after="40" w:line="252" w:lineRule="auto"/>
            </w:pPr>
            <w:r>
              <w:rPr>
                <w:rFonts w:ascii="Calibri" w:hAnsi="Calibri"/>
                <w:color w:val="333333"/>
                <w:sz w:val="19"/>
              </w:rPr>
              <w:t>Spans HR + Compliance. VPN, full-disk encryption, clean desk required.</w:t>
            </w:r>
          </w:p>
        </w:tc>
        <w:tc>
          <w:tcPr>
            <w:tcW w:type="dxa" w:w="2016"/>
            <w:tcMar>
              <w:top w:w="100" w:type="dxa"/>
              <w:bottom w:w="100" w:type="dxa"/>
              <w:left w:w="120" w:type="dxa"/>
              <w:right w:w="120" w:type="dxa"/>
            </w:tcMar>
            <w:shd w:fill="FFFFFF"/>
          </w:tcPr>
          <w:p>
            <w:pPr>
              <w:spacing w:before="40" w:after="40" w:line="252" w:lineRule="auto"/>
            </w:pPr>
            <w:r>
              <w:rPr>
                <w:rFonts w:ascii="Calibri" w:hAnsi="Calibri"/>
                <w:color w:val="333333"/>
                <w:sz w:val="19"/>
              </w:rPr>
              <w:t>Remote staff (HR policy) must comply with mandatory ACME VPN, full-disk encryption, and clean desk security rules (Compliance).</w:t>
            </w:r>
          </w:p>
        </w:tc>
        <w:tc>
          <w:tcPr>
            <w:tcW w:type="dxa" w:w="576"/>
            <w:tcMar>
              <w:top w:w="100" w:type="dxa"/>
              <w:bottom w:w="100" w:type="dxa"/>
              <w:left w:w="120" w:type="dxa"/>
              <w:right w:w="120" w:type="dxa"/>
            </w:tcMar>
            <w:shd w:fill="FFFFFF"/>
          </w:tcPr>
          <w:p>
            <w:pPr>
              <w:spacing w:before="40" w:after="40" w:line="252" w:lineRule="auto"/>
            </w:pPr>
            <w:r>
              <w:rPr>
                <w:rFonts w:ascii="Calibri" w:hAnsi="Calibri"/>
                <w:color w:val="333333"/>
                <w:sz w:val="19"/>
              </w:rPr>
              <w:t>4/5</w:t>
            </w:r>
          </w:p>
        </w:tc>
        <w:tc>
          <w:tcPr>
            <w:tcW w:type="dxa" w:w="1440"/>
            <w:tcMar>
              <w:top w:w="100" w:type="dxa"/>
              <w:bottom w:w="100" w:type="dxa"/>
              <w:left w:w="120" w:type="dxa"/>
              <w:right w:w="120" w:type="dxa"/>
            </w:tcMar>
            <w:shd w:fill="FFFFFF"/>
          </w:tcPr>
          <w:p>
            <w:pPr>
              <w:spacing w:before="40" w:after="40" w:line="252" w:lineRule="auto"/>
            </w:pPr>
            <w:r>
              <w:rPr>
                <w:rFonts w:ascii="Calibri" w:hAnsi="Calibri"/>
                <w:color w:val="333333"/>
                <w:sz w:val="19"/>
              </w:rPr>
              <w:t>Multi-document query retrieved chunks from both PDFs. Generator synthesized interaction.</w:t>
            </w:r>
          </w:p>
        </w:tc>
      </w:tr>
      <w:tr>
        <w:tc>
          <w:tcPr>
            <w:tcW w:type="dxa" w:w="576"/>
            <w:tcMar>
              <w:top w:w="100" w:type="dxa"/>
              <w:bottom w:w="100" w:type="dxa"/>
              <w:left w:w="120" w:type="dxa"/>
              <w:right w:w="120" w:type="dxa"/>
            </w:tcMar>
            <w:shd w:fill="F9FAFB"/>
          </w:tcPr>
          <w:p>
            <w:pPr>
              <w:spacing w:before="40" w:after="40" w:line="252" w:lineRule="auto"/>
            </w:pPr>
            <w:r>
              <w:rPr>
                <w:rFonts w:ascii="Calibri" w:hAnsi="Calibri"/>
                <w:color w:val="333333"/>
                <w:sz w:val="19"/>
              </w:rPr>
              <w:t>Q12</w:t>
            </w:r>
          </w:p>
        </w:tc>
        <w:tc>
          <w:tcPr>
            <w:tcW w:type="dxa" w:w="1296"/>
            <w:tcMar>
              <w:top w:w="100" w:type="dxa"/>
              <w:bottom w:w="100" w:type="dxa"/>
              <w:left w:w="120" w:type="dxa"/>
              <w:right w:w="120" w:type="dxa"/>
            </w:tcMar>
            <w:shd w:fill="F9FAFB"/>
          </w:tcPr>
          <w:p>
            <w:pPr>
              <w:spacing w:before="40" w:after="40" w:line="252" w:lineRule="auto"/>
            </w:pPr>
            <w:r>
              <w:rPr>
                <w:rFonts w:ascii="Calibri" w:hAnsi="Calibri"/>
                <w:color w:val="333333"/>
                <w:sz w:val="19"/>
              </w:rPr>
              <w:t>Edge (Out-of-Scope)</w:t>
            </w:r>
          </w:p>
        </w:tc>
        <w:tc>
          <w:tcPr>
            <w:tcW w:type="dxa" w:w="1728"/>
            <w:tcMar>
              <w:top w:w="100" w:type="dxa"/>
              <w:bottom w:w="100" w:type="dxa"/>
              <w:left w:w="120" w:type="dxa"/>
              <w:right w:w="120" w:type="dxa"/>
            </w:tcMar>
            <w:shd w:fill="F9FAFB"/>
          </w:tcPr>
          <w:p>
            <w:pPr>
              <w:spacing w:before="40" w:after="40" w:line="252" w:lineRule="auto"/>
            </w:pPr>
            <w:r>
              <w:rPr>
                <w:rFonts w:ascii="Calibri" w:hAnsi="Calibri"/>
                <w:color w:val="333333"/>
                <w:sz w:val="19"/>
              </w:rPr>
              <w:t>What is the company's stock price today?</w:t>
            </w:r>
          </w:p>
        </w:tc>
        <w:tc>
          <w:tcPr>
            <w:tcW w:type="dxa" w:w="1728"/>
            <w:tcMar>
              <w:top w:w="100" w:type="dxa"/>
              <w:bottom w:w="100" w:type="dxa"/>
              <w:left w:w="120" w:type="dxa"/>
              <w:right w:w="120" w:type="dxa"/>
            </w:tcMar>
            <w:shd w:fill="F9FAFB"/>
          </w:tcPr>
          <w:p>
            <w:pPr>
              <w:spacing w:before="40" w:after="40" w:line="252" w:lineRule="auto"/>
            </w:pPr>
            <w:r>
              <w:rPr>
                <w:rFonts w:ascii="Calibri" w:hAnsi="Calibri"/>
                <w:color w:val="333333"/>
                <w:sz w:val="19"/>
              </w:rPr>
              <w:t>Not in KB. System must refuse to answer.</w:t>
            </w:r>
          </w:p>
        </w:tc>
        <w:tc>
          <w:tcPr>
            <w:tcW w:type="dxa" w:w="2016"/>
            <w:tcMar>
              <w:top w:w="100" w:type="dxa"/>
              <w:bottom w:w="100" w:type="dxa"/>
              <w:left w:w="120" w:type="dxa"/>
              <w:right w:w="120" w:type="dxa"/>
            </w:tcMar>
            <w:shd w:fill="F9FAFB"/>
          </w:tcPr>
          <w:p>
            <w:pPr>
              <w:spacing w:before="40" w:after="40" w:line="252" w:lineRule="auto"/>
            </w:pPr>
            <w:r>
              <w:rPr>
                <w:rFonts w:ascii="Calibri" w:hAnsi="Calibri"/>
                <w:color w:val="333333"/>
                <w:sz w:val="19"/>
              </w:rPr>
              <w:t>I couldn't find information about the company's stock price in the provided context documents.</w:t>
            </w:r>
          </w:p>
        </w:tc>
        <w:tc>
          <w:tcPr>
            <w:tcW w:type="dxa" w:w="576"/>
            <w:tcMar>
              <w:top w:w="100" w:type="dxa"/>
              <w:bottom w:w="100" w:type="dxa"/>
              <w:left w:w="120" w:type="dxa"/>
              <w:right w:w="120" w:type="dxa"/>
            </w:tcMar>
            <w:shd w:fill="F9FAFB"/>
          </w:tcPr>
          <w:p>
            <w:pPr>
              <w:spacing w:before="40" w:after="40" w:line="252" w:lineRule="auto"/>
            </w:pPr>
            <w:r>
              <w:rPr>
                <w:rFonts w:ascii="Calibri" w:hAnsi="Calibri"/>
                <w:color w:val="333333"/>
                <w:sz w:val="19"/>
              </w:rPr>
              <w:t>5/5</w:t>
            </w:r>
          </w:p>
        </w:tc>
        <w:tc>
          <w:tcPr>
            <w:tcW w:type="dxa" w:w="1440"/>
            <w:tcMar>
              <w:top w:w="100" w:type="dxa"/>
              <w:bottom w:w="100" w:type="dxa"/>
              <w:left w:w="120" w:type="dxa"/>
              <w:right w:w="120" w:type="dxa"/>
            </w:tcMar>
            <w:shd w:fill="F9FAFB"/>
          </w:tcPr>
          <w:p>
            <w:pPr>
              <w:spacing w:before="40" w:after="40" w:line="252" w:lineRule="auto"/>
            </w:pPr>
            <w:r>
              <w:rPr>
                <w:rFonts w:ascii="Calibri" w:hAnsi="Calibri"/>
                <w:color w:val="333333"/>
                <w:sz w:val="19"/>
              </w:rPr>
              <w:t>Grounding prompt prevented hallucination of live stock price.</w:t>
            </w:r>
          </w:p>
        </w:tc>
      </w:tr>
      <w:tr>
        <w:tc>
          <w:tcPr>
            <w:tcW w:type="dxa" w:w="576"/>
            <w:tcMar>
              <w:top w:w="100" w:type="dxa"/>
              <w:bottom w:w="100" w:type="dxa"/>
              <w:left w:w="120" w:type="dxa"/>
              <w:right w:w="120" w:type="dxa"/>
            </w:tcMar>
            <w:shd w:fill="FFFFFF"/>
          </w:tcPr>
          <w:p>
            <w:pPr>
              <w:spacing w:before="40" w:after="40" w:line="252" w:lineRule="auto"/>
            </w:pPr>
            <w:r>
              <w:rPr>
                <w:rFonts w:ascii="Calibri" w:hAnsi="Calibri"/>
                <w:color w:val="333333"/>
                <w:sz w:val="19"/>
              </w:rPr>
              <w:t>Q13</w:t>
            </w:r>
          </w:p>
        </w:tc>
        <w:tc>
          <w:tcPr>
            <w:tcW w:type="dxa" w:w="1296"/>
            <w:tcMar>
              <w:top w:w="100" w:type="dxa"/>
              <w:bottom w:w="100" w:type="dxa"/>
              <w:left w:w="120" w:type="dxa"/>
              <w:right w:w="120" w:type="dxa"/>
            </w:tcMar>
            <w:shd w:fill="FFFFFF"/>
          </w:tcPr>
          <w:p>
            <w:pPr>
              <w:spacing w:before="40" w:after="40" w:line="252" w:lineRule="auto"/>
            </w:pPr>
            <w:r>
              <w:rPr>
                <w:rFonts w:ascii="Calibri" w:hAnsi="Calibri"/>
                <w:color w:val="333333"/>
                <w:sz w:val="19"/>
              </w:rPr>
              <w:t>Edge (Ambiguous)</w:t>
            </w:r>
          </w:p>
        </w:tc>
        <w:tc>
          <w:tcPr>
            <w:tcW w:type="dxa" w:w="1728"/>
            <w:tcMar>
              <w:top w:w="100" w:type="dxa"/>
              <w:bottom w:w="100" w:type="dxa"/>
              <w:left w:w="120" w:type="dxa"/>
              <w:right w:w="120" w:type="dxa"/>
            </w:tcMar>
            <w:shd w:fill="FFFFFF"/>
          </w:tcPr>
          <w:p>
            <w:pPr>
              <w:spacing w:before="40" w:after="40" w:line="252" w:lineRule="auto"/>
            </w:pPr>
            <w:r>
              <w:rPr>
                <w:rFonts w:ascii="Calibri" w:hAnsi="Calibri"/>
                <w:color w:val="333333"/>
                <w:sz w:val="19"/>
              </w:rPr>
              <w:t>Tell me about policies.</w:t>
            </w:r>
          </w:p>
        </w:tc>
        <w:tc>
          <w:tcPr>
            <w:tcW w:type="dxa" w:w="1728"/>
            <w:tcMar>
              <w:top w:w="100" w:type="dxa"/>
              <w:bottom w:w="100" w:type="dxa"/>
              <w:left w:w="120" w:type="dxa"/>
              <w:right w:w="120" w:type="dxa"/>
            </w:tcMar>
            <w:shd w:fill="FFFFFF"/>
          </w:tcPr>
          <w:p>
            <w:pPr>
              <w:spacing w:before="40" w:after="40" w:line="252" w:lineRule="auto"/>
            </w:pPr>
            <w:r>
              <w:rPr>
                <w:rFonts w:ascii="Calibri" w:hAnsi="Calibri"/>
                <w:color w:val="333333"/>
                <w:sz w:val="19"/>
              </w:rPr>
              <w:t>Vague query. System should summarize high-level policy areas.</w:t>
            </w:r>
          </w:p>
        </w:tc>
        <w:tc>
          <w:tcPr>
            <w:tcW w:type="dxa" w:w="2016"/>
            <w:tcMar>
              <w:top w:w="100" w:type="dxa"/>
              <w:bottom w:w="100" w:type="dxa"/>
              <w:left w:w="120" w:type="dxa"/>
              <w:right w:w="120" w:type="dxa"/>
            </w:tcMar>
            <w:shd w:fill="FFFFFF"/>
          </w:tcPr>
          <w:p>
            <w:pPr>
              <w:spacing w:before="40" w:after="40" w:line="252" w:lineRule="auto"/>
            </w:pPr>
            <w:r>
              <w:rPr>
                <w:rFonts w:ascii="Calibri" w:hAnsi="Calibri"/>
                <w:color w:val="333333"/>
                <w:sz w:val="19"/>
              </w:rPr>
              <w:t>ACME policy documents cover HR (leave, 401k), Technical (APIs, rate limits), and Compliance (GDPR, breaches). Please specify.</w:t>
            </w:r>
          </w:p>
        </w:tc>
        <w:tc>
          <w:tcPr>
            <w:tcW w:type="dxa" w:w="576"/>
            <w:tcMar>
              <w:top w:w="100" w:type="dxa"/>
              <w:bottom w:w="100" w:type="dxa"/>
              <w:left w:w="120" w:type="dxa"/>
              <w:right w:w="120" w:type="dxa"/>
            </w:tcMar>
            <w:shd w:fill="FFFFFF"/>
          </w:tcPr>
          <w:p>
            <w:pPr>
              <w:spacing w:before="40" w:after="40" w:line="252" w:lineRule="auto"/>
            </w:pPr>
            <w:r>
              <w:rPr>
                <w:rFonts w:ascii="Calibri" w:hAnsi="Calibri"/>
                <w:color w:val="333333"/>
                <w:sz w:val="19"/>
              </w:rPr>
              <w:t>4/5</w:t>
            </w:r>
          </w:p>
        </w:tc>
        <w:tc>
          <w:tcPr>
            <w:tcW w:type="dxa" w:w="1440"/>
            <w:tcMar>
              <w:top w:w="100" w:type="dxa"/>
              <w:bottom w:w="100" w:type="dxa"/>
              <w:left w:w="120" w:type="dxa"/>
              <w:right w:w="120" w:type="dxa"/>
            </w:tcMar>
            <w:shd w:fill="FFFFFF"/>
          </w:tcPr>
          <w:p>
            <w:pPr>
              <w:spacing w:before="40" w:after="40" w:line="252" w:lineRule="auto"/>
            </w:pPr>
            <w:r>
              <w:rPr>
                <w:rFonts w:ascii="Calibri" w:hAnsi="Calibri"/>
                <w:color w:val="333333"/>
                <w:sz w:val="19"/>
              </w:rPr>
              <w:t>Retrieved top chunks across workspace and generated category summary.</w:t>
            </w:r>
          </w:p>
        </w:tc>
      </w:tr>
      <w:tr>
        <w:tc>
          <w:tcPr>
            <w:tcW w:type="dxa" w:w="576"/>
            <w:tcMar>
              <w:top w:w="100" w:type="dxa"/>
              <w:bottom w:w="100" w:type="dxa"/>
              <w:left w:w="120" w:type="dxa"/>
              <w:right w:w="120" w:type="dxa"/>
            </w:tcMar>
            <w:shd w:fill="F9FAFB"/>
          </w:tcPr>
          <w:p>
            <w:pPr>
              <w:spacing w:before="40" w:after="40" w:line="252" w:lineRule="auto"/>
            </w:pPr>
            <w:r>
              <w:rPr>
                <w:rFonts w:ascii="Calibri" w:hAnsi="Calibri"/>
                <w:color w:val="333333"/>
                <w:sz w:val="19"/>
              </w:rPr>
              <w:t>Q14</w:t>
            </w:r>
          </w:p>
        </w:tc>
        <w:tc>
          <w:tcPr>
            <w:tcW w:type="dxa" w:w="1296"/>
            <w:tcMar>
              <w:top w:w="100" w:type="dxa"/>
              <w:bottom w:w="100" w:type="dxa"/>
              <w:left w:w="120" w:type="dxa"/>
              <w:right w:w="120" w:type="dxa"/>
            </w:tcMar>
            <w:shd w:fill="F9FAFB"/>
          </w:tcPr>
          <w:p>
            <w:pPr>
              <w:spacing w:before="40" w:after="40" w:line="252" w:lineRule="auto"/>
            </w:pPr>
            <w:r>
              <w:rPr>
                <w:rFonts w:ascii="Calibri" w:hAnsi="Calibri"/>
                <w:color w:val="333333"/>
                <w:sz w:val="19"/>
              </w:rPr>
              <w:t>Edge (Multi-Doc)</w:t>
            </w:r>
          </w:p>
        </w:tc>
        <w:tc>
          <w:tcPr>
            <w:tcW w:type="dxa" w:w="1728"/>
            <w:tcMar>
              <w:top w:w="100" w:type="dxa"/>
              <w:bottom w:w="100" w:type="dxa"/>
              <w:left w:w="120" w:type="dxa"/>
              <w:right w:w="120" w:type="dxa"/>
            </w:tcMar>
            <w:shd w:fill="F9FAFB"/>
          </w:tcPr>
          <w:p>
            <w:pPr>
              <w:spacing w:before="40" w:after="40" w:line="252" w:lineRule="auto"/>
            </w:pPr>
            <w:r>
              <w:rPr>
                <w:rFonts w:ascii="Calibri" w:hAnsi="Calibri"/>
                <w:color w:val="333333"/>
                <w:sz w:val="19"/>
              </w:rPr>
              <w:t>What is the API uptime SLA &amp; how does it relate to incident response?</w:t>
            </w:r>
          </w:p>
        </w:tc>
        <w:tc>
          <w:tcPr>
            <w:tcW w:type="dxa" w:w="1728"/>
            <w:tcMar>
              <w:top w:w="100" w:type="dxa"/>
              <w:bottom w:w="100" w:type="dxa"/>
              <w:left w:w="120" w:type="dxa"/>
              <w:right w:w="120" w:type="dxa"/>
            </w:tcMar>
            <w:shd w:fill="F9FAFB"/>
          </w:tcPr>
          <w:p>
            <w:pPr>
              <w:spacing w:before="40" w:after="40" w:line="252" w:lineRule="auto"/>
            </w:pPr>
            <w:r>
              <w:rPr>
                <w:rFonts w:ascii="Calibri" w:hAnsi="Calibri"/>
                <w:color w:val="333333"/>
                <w:sz w:val="19"/>
              </w:rPr>
              <w:t>Spans Technical (99.9% SLA) + Compliance (P1 = 15 min response).</w:t>
            </w:r>
          </w:p>
        </w:tc>
        <w:tc>
          <w:tcPr>
            <w:tcW w:type="dxa" w:w="2016"/>
            <w:tcMar>
              <w:top w:w="100" w:type="dxa"/>
              <w:bottom w:w="100" w:type="dxa"/>
              <w:left w:w="120" w:type="dxa"/>
              <w:right w:w="120" w:type="dxa"/>
            </w:tcMar>
            <w:shd w:fill="F9FAFB"/>
          </w:tcPr>
          <w:p>
            <w:pPr>
              <w:spacing w:before="40" w:after="40" w:line="252" w:lineRule="auto"/>
            </w:pPr>
            <w:r>
              <w:rPr>
                <w:rFonts w:ascii="Calibri" w:hAnsi="Calibri"/>
                <w:color w:val="333333"/>
                <w:sz w:val="19"/>
              </w:rPr>
              <w:t>ACME guarantees 99.9% API uptime SLA (Technical). Outages breaching SLA trigger P1 Incident Response within 15 mins (Compliance).</w:t>
            </w:r>
          </w:p>
        </w:tc>
        <w:tc>
          <w:tcPr>
            <w:tcW w:type="dxa" w:w="576"/>
            <w:tcMar>
              <w:top w:w="100" w:type="dxa"/>
              <w:bottom w:w="100" w:type="dxa"/>
              <w:left w:w="120" w:type="dxa"/>
              <w:right w:w="120" w:type="dxa"/>
            </w:tcMar>
            <w:shd w:fill="F9FAFB"/>
          </w:tcPr>
          <w:p>
            <w:pPr>
              <w:spacing w:before="40" w:after="40" w:line="252" w:lineRule="auto"/>
            </w:pPr>
            <w:r>
              <w:rPr>
                <w:rFonts w:ascii="Calibri" w:hAnsi="Calibri"/>
                <w:color w:val="333333"/>
                <w:sz w:val="19"/>
              </w:rPr>
              <w:t>5/5</w:t>
            </w:r>
          </w:p>
        </w:tc>
        <w:tc>
          <w:tcPr>
            <w:tcW w:type="dxa" w:w="1440"/>
            <w:tcMar>
              <w:top w:w="100" w:type="dxa"/>
              <w:bottom w:w="100" w:type="dxa"/>
              <w:left w:w="120" w:type="dxa"/>
              <w:right w:w="120" w:type="dxa"/>
            </w:tcMar>
            <w:shd w:fill="F9FAFB"/>
          </w:tcPr>
          <w:p>
            <w:pPr>
              <w:spacing w:before="40" w:after="40" w:line="252" w:lineRule="auto"/>
            </w:pPr>
            <w:r>
              <w:rPr>
                <w:rFonts w:ascii="Calibri" w:hAnsi="Calibri"/>
                <w:color w:val="333333"/>
                <w:sz w:val="19"/>
              </w:rPr>
              <w:t>Successfully synthesized Technical SLA chunk with Compliance P1 incident response chunk.</w:t>
            </w:r>
          </w:p>
        </w:tc>
      </w:tr>
      <w:tr>
        <w:tc>
          <w:tcPr>
            <w:tcW w:type="dxa" w:w="576"/>
            <w:tcMar>
              <w:top w:w="100" w:type="dxa"/>
              <w:bottom w:w="100" w:type="dxa"/>
              <w:left w:w="120" w:type="dxa"/>
              <w:right w:w="120" w:type="dxa"/>
            </w:tcMar>
            <w:shd w:fill="FFFFFF"/>
          </w:tcPr>
          <w:p>
            <w:pPr>
              <w:spacing w:before="40" w:after="40" w:line="252" w:lineRule="auto"/>
            </w:pPr>
            <w:r>
              <w:rPr>
                <w:rFonts w:ascii="Calibri" w:hAnsi="Calibri"/>
                <w:color w:val="333333"/>
                <w:sz w:val="19"/>
              </w:rPr>
              <w:t>Q15</w:t>
            </w:r>
          </w:p>
        </w:tc>
        <w:tc>
          <w:tcPr>
            <w:tcW w:type="dxa" w:w="1296"/>
            <w:tcMar>
              <w:top w:w="100" w:type="dxa"/>
              <w:bottom w:w="100" w:type="dxa"/>
              <w:left w:w="120" w:type="dxa"/>
              <w:right w:w="120" w:type="dxa"/>
            </w:tcMar>
            <w:shd w:fill="FFFFFF"/>
          </w:tcPr>
          <w:p>
            <w:pPr>
              <w:spacing w:before="40" w:after="40" w:line="252" w:lineRule="auto"/>
            </w:pPr>
            <w:r>
              <w:rPr>
                <w:rFonts w:ascii="Calibri" w:hAnsi="Calibri"/>
                <w:color w:val="333333"/>
                <w:sz w:val="19"/>
              </w:rPr>
              <w:t>Edge (Trap Query)</w:t>
            </w:r>
          </w:p>
        </w:tc>
        <w:tc>
          <w:tcPr>
            <w:tcW w:type="dxa" w:w="1728"/>
            <w:tcMar>
              <w:top w:w="100" w:type="dxa"/>
              <w:bottom w:w="100" w:type="dxa"/>
              <w:left w:w="120" w:type="dxa"/>
              <w:right w:w="120" w:type="dxa"/>
            </w:tcMar>
            <w:shd w:fill="FFFFFF"/>
          </w:tcPr>
          <w:p>
            <w:pPr>
              <w:spacing w:before="40" w:after="40" w:line="252" w:lineRule="auto"/>
            </w:pPr>
            <w:r>
              <w:rPr>
                <w:rFonts w:ascii="Calibri" w:hAnsi="Calibri"/>
                <w:color w:val="333333"/>
                <w:sz w:val="19"/>
              </w:rPr>
              <w:t>What is the IRS contribution limit for 401k?</w:t>
            </w:r>
          </w:p>
        </w:tc>
        <w:tc>
          <w:tcPr>
            <w:tcW w:type="dxa" w:w="1728"/>
            <w:tcMar>
              <w:top w:w="100" w:type="dxa"/>
              <w:bottom w:w="100" w:type="dxa"/>
              <w:left w:w="120" w:type="dxa"/>
              <w:right w:w="120" w:type="dxa"/>
            </w:tcMar>
            <w:shd w:fill="FFFFFF"/>
          </w:tcPr>
          <w:p>
            <w:pPr>
              <w:spacing w:before="40" w:after="40" w:line="252" w:lineRule="auto"/>
            </w:pPr>
            <w:r>
              <w:rPr>
                <w:rFonts w:ascii="Calibri" w:hAnsi="Calibri"/>
                <w:color w:val="333333"/>
                <w:sz w:val="19"/>
              </w:rPr>
              <w:t>Not in KB (looks like HR). System must not hallucinate IRS figures.</w:t>
            </w:r>
          </w:p>
        </w:tc>
        <w:tc>
          <w:tcPr>
            <w:tcW w:type="dxa" w:w="2016"/>
            <w:tcMar>
              <w:top w:w="100" w:type="dxa"/>
              <w:bottom w:w="100" w:type="dxa"/>
              <w:left w:w="120" w:type="dxa"/>
              <w:right w:w="120" w:type="dxa"/>
            </w:tcMar>
            <w:shd w:fill="FFFFFF"/>
          </w:tcPr>
          <w:p>
            <w:pPr>
              <w:spacing w:before="40" w:after="40" w:line="252" w:lineRule="auto"/>
            </w:pPr>
            <w:r>
              <w:rPr>
                <w:rFonts w:ascii="Calibri" w:hAnsi="Calibri"/>
                <w:color w:val="333333"/>
                <w:sz w:val="19"/>
              </w:rPr>
              <w:t>I couldn't find official IRS contribution limits in the context documents. The policy only states ACME's internal 5% match.</w:t>
            </w:r>
          </w:p>
        </w:tc>
        <w:tc>
          <w:tcPr>
            <w:tcW w:type="dxa" w:w="576"/>
            <w:tcMar>
              <w:top w:w="100" w:type="dxa"/>
              <w:bottom w:w="100" w:type="dxa"/>
              <w:left w:w="120" w:type="dxa"/>
              <w:right w:w="120" w:type="dxa"/>
            </w:tcMar>
            <w:shd w:fill="FFFFFF"/>
          </w:tcPr>
          <w:p>
            <w:pPr>
              <w:spacing w:before="40" w:after="40" w:line="252" w:lineRule="auto"/>
            </w:pPr>
            <w:r>
              <w:rPr>
                <w:rFonts w:ascii="Calibri" w:hAnsi="Calibri"/>
                <w:color w:val="333333"/>
                <w:sz w:val="19"/>
              </w:rPr>
              <w:t>5/5</w:t>
            </w:r>
          </w:p>
        </w:tc>
        <w:tc>
          <w:tcPr>
            <w:tcW w:type="dxa" w:w="1440"/>
            <w:tcMar>
              <w:top w:w="100" w:type="dxa"/>
              <w:bottom w:w="100" w:type="dxa"/>
              <w:left w:w="120" w:type="dxa"/>
              <w:right w:w="120" w:type="dxa"/>
            </w:tcMar>
            <w:shd w:fill="FFFFFF"/>
          </w:tcPr>
          <w:p>
            <w:pPr>
              <w:spacing w:before="40" w:after="40" w:line="252" w:lineRule="auto"/>
            </w:pPr>
            <w:r>
              <w:rPr>
                <w:rFonts w:ascii="Calibri" w:hAnsi="Calibri"/>
                <w:color w:val="333333"/>
                <w:sz w:val="19"/>
              </w:rPr>
              <w:t>Retrieved internal 401k chunk; grounding rule correctly refused to hallucinate external IRS limits.</w:t>
            </w:r>
          </w:p>
        </w:tc>
      </w:tr>
    </w:tbl>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88888"/>
        <w:sz w:val="17"/>
      </w:rPr>
      <w:t>Enterprise Policy Q&amp;A Bot  ·  System Architecture &amp; 15-Question Evaluation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