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F4E78"/>
          <w:sz w:val="44"/>
        </w:rPr>
        <w:t>Enterprise Policy Q&amp;A Bot</w:t>
      </w:r>
    </w:p>
    <w:p>
      <w:pPr>
        <w:spacing w:before="0" w:after="240"/>
      </w:pPr>
      <w:r>
        <w:rPr>
          <w:rFonts w:ascii="Arial" w:hAnsi="Arial"/>
          <w:b/>
          <w:color w:val="2F5597"/>
          <w:sz w:val="26"/>
        </w:rPr>
        <w:t>Streamlit, LangGraph &amp; Chroma Multi-Workspace Solution Kit &amp; 15-Question Evaluation Report</w:t>
      </w:r>
    </w:p>
    <w:p>
      <w:pPr>
        <w:spacing w:before="0"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Project Track: </w:t>
      </w:r>
      <w:r>
        <w:rPr>
          <w:rFonts w:ascii="Calibri" w:hAnsi="Calibri"/>
          <w:color w:val="333333"/>
          <w:sz w:val="22"/>
        </w:rPr>
        <w:t>Rohit / Course Assignment — Enterprise RAG Q&amp;A System</w:t>
      </w:r>
    </w:p>
    <w:p>
      <w:pPr>
        <w:spacing w:before="0"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Technology Stack: </w:t>
      </w:r>
      <w:r>
        <w:rPr>
          <w:rFonts w:ascii="Calibri" w:hAnsi="Calibri"/>
          <w:color w:val="333333"/>
          <w:sz w:val="22"/>
        </w:rPr>
        <w:t>Python 3.13, Streamlit, LangChain 1.0, LangGraph 1.0, ChromaDB, Google Gemini API</w:t>
      </w:r>
    </w:p>
    <w:p>
      <w:pPr>
        <w:spacing w:before="0"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Repository Path: </w:t>
      </w:r>
      <w:r>
        <w:rPr>
          <w:rFonts w:ascii="Calibri" w:hAnsi="Calibri"/>
          <w:color w:val="333333"/>
          <w:sz w:val="22"/>
        </w:rPr>
        <w:t>f:\_GIT\11_RAG_Assignment\00_Enterprise_OnA_Bot</w:t>
      </w:r>
    </w:p>
    <w:p>
      <w:pPr>
        <w:keepNext/>
        <w:spacing w:before="320" w:after="120"/>
      </w:pPr>
      <w:r>
        <w:rPr>
          <w:rFonts w:ascii="Arial" w:hAnsi="Arial"/>
          <w:b/>
          <w:color w:val="1F4E78"/>
          <w:sz w:val="30"/>
        </w:rPr>
        <w:t>1. Executive Summary &amp; Architecture Overview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The Enterprise Policy Q&amp;A Bot is a single-process, local Retrieval-Augmented Generation (RAG) application built to answer natural-language questions over enterprise policy PDFs (HR handbooks, compliance codes of conduct, technical documentation). Streamlit serves as both the application host and user interface, calling core business logic in-process without an unnecessary network or API boundary.</w:t>
      </w:r>
    </w:p>
    <w:p>
      <w:pPr>
        <w:keepNext/>
        <w:spacing w:before="240" w:after="80"/>
      </w:pPr>
      <w:r>
        <w:rPr>
          <w:rFonts w:ascii="Arial" w:hAnsi="Arial"/>
          <w:b/>
          <w:color w:val="2F5597"/>
          <w:sz w:val="25"/>
        </w:rPr>
        <w:t>System Component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1F4E78"/>
              <w:top w:val="none"/>
              <w:right w:val="none"/>
              <w:bottom w:val="non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Streamlit UI Process (src/api/app.py)</w:t>
              <w:br/>
              <w:t xml:space="preserve">  ├── Workspace Picker &amp; PDF Uploader</w:t>
              <w:br/>
              <w:t xml:space="preserve">  ├── Ingestion Engine (src/core/ingestion.py)</w:t>
              <w:br/>
              <w:t xml:space="preserve">  │     └── PyPDFLoader -&gt; RecursiveCharacterTextSplitter (800/150) -&gt; _RateLimitedEmbeddings</w:t>
              <w:br/>
              <w:t xml:space="preserve">  ├── Chroma Vector Store (src/core/vectorstore.py &amp; src/core/workspace.py)</w:t>
              <w:br/>
              <w:t xml:space="preserve">  │     └── Isolated collections per workspace (HNSW indexed on disk)</w:t>
              <w:br/>
              <w:t xml:space="preserve">  └── LangGraph RAG Agent (src/core/agent.py)</w:t>
              <w:br/>
              <w:t xml:space="preserve">        └── START -&gt; retrieve (similarity search, k=4) -&gt; generate (grounded prompt) -&gt; END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2F5597"/>
          <w:sz w:val="25"/>
        </w:rPr>
        <w:t>Core Ingestion Pipeline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1. PDF Document Upload: Uploaded PDF bytes are written to a temporary file on disk.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2. Page-Level Loading: PyPDFLoader loads the document into single-page Document objects.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3. Character Chunking: RecursiveCharacterTextSplitter splits documents into fixed-size chunks (chunk_size=800, chunk_overlap=150).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4. Rate-Limited Embedding: Chunks pass through _RateLimitedEmbeddings (gemini-embedding-001, 3072 dimensions) with batching (90 items / 65s delay) to comply with Google free-tier 100 RPM quotas.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5. Chroma Storage: Embeddings and chunks are stored in an isolated, disk-backed Chroma collection dedicated to the active workspace.</w:t>
      </w:r>
    </w:p>
    <w:p>
      <w:pPr>
        <w:keepNext/>
        <w:spacing w:before="240" w:after="80"/>
      </w:pPr>
      <w:r>
        <w:rPr>
          <w:rFonts w:ascii="Arial" w:hAnsi="Arial"/>
          <w:b/>
          <w:color w:val="2F5597"/>
          <w:sz w:val="25"/>
        </w:rPr>
        <w:t>Multi-Workspace Isolation Architecture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Rather than storing all documents in a single flat collection with metadata filters, the system assigns one physical Chroma collection per workspace. Workspace metadata (display_name, embedding_model, created_at) is stored directly inside Chroma collection metadata. Scanning collection metadata serves as a free workspace registry, guaranteeing zero cross-workspace document leakage.</w:t>
      </w:r>
    </w:p>
    <w:p>
      <w:pPr>
        <w:keepNext/>
        <w:spacing w:before="320" w:after="120"/>
      </w:pPr>
      <w:r>
        <w:rPr>
          <w:rFonts w:ascii="Arial" w:hAnsi="Arial"/>
          <w:b/>
          <w:color w:val="1F4E78"/>
          <w:sz w:val="30"/>
        </w:rPr>
        <w:t>2. Code Base &amp; Technical Component Deep Dives</w:t>
      </w:r>
    </w:p>
    <w:p>
      <w:pPr>
        <w:keepNext/>
        <w:spacing w:before="240" w:after="80"/>
      </w:pPr>
      <w:r>
        <w:rPr>
          <w:rFonts w:ascii="Arial" w:hAnsi="Arial"/>
          <w:b/>
          <w:color w:val="2F5597"/>
          <w:sz w:val="25"/>
        </w:rPr>
        <w:t>2.1 UI &amp; Application Host — src/api/app.py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Streamlit manages two primary screens: the Workspace Picker (when no active workspace is selected) and the Workspace View (upload &amp; chat). Streamlit reruns the script on every user interaction. Expensive objects (embeddings, vectorstores, compiled graphs) are cached using st.cache_resource, keyed explicitly on persist_dir, collection_name, and model_name to prevent stale reference bugs.</w:t>
      </w:r>
    </w:p>
    <w:p>
      <w:pPr>
        <w:keepNext/>
        <w:spacing w:before="240" w:after="80"/>
      </w:pPr>
      <w:r>
        <w:rPr>
          <w:rFonts w:ascii="Arial" w:hAnsi="Arial"/>
          <w:b/>
          <w:color w:val="2F5597"/>
          <w:sz w:val="25"/>
        </w:rPr>
        <w:t>2.2 LangGraph RAG Agent — src/core/agent.py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The agent is structured as a 2-node stateful LangGraph graph (START -&gt; retrieve -&gt; generate -&gt; END). The retrieve node executes vectorstore.as_retriever().invoke(question), fetching the top k=4 most relevant chunks. The generate node constructs a grounded prompt and invokes ChatGoogleGenerativeAI.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1F4E78"/>
              <w:top w:val="none"/>
              <w:right w:val="none"/>
              <w:bottom w:val="non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GROUNDING_INSTRUCTION = (</w:t>
              <w:br/>
              <w:t xml:space="preserve">    "Answer only using the provided context. If the answer isn't in the "</w:t>
              <w:br/>
              <w:t xml:space="preserve">    "context, say so explicitly - do not guess."</w:t>
              <w:br/>
              <w:t>)</w:t>
              <w:br/>
              <w:br/>
              <w:t>class GraphState(TypedDict):</w:t>
              <w:br/>
              <w:t xml:space="preserve">    question: str</w:t>
              <w:br/>
              <w:t xml:space="preserve">    documents: list[Document]</w:t>
              <w:br/>
              <w:t xml:space="preserve">    answer: str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2F5597"/>
          <w:sz w:val="25"/>
        </w:rPr>
        <w:t>2.3 Rate-Limited Embedding Registry — src/core/embedding_registry.py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Google's free-tier API meters embeddings per text item (RPM) rather than per HTTP request. Large PDFs producing ~400 chunks trigger 429 quota errors if unpaced. The _RateLimitedEmbeddings wrapper paces document embedding into 90-item batches with a 65-second delay between batches, incorporating automatic backoff retries.</w:t>
      </w:r>
    </w:p>
    <w:p>
      <w:pPr>
        <w:keepNext/>
        <w:spacing w:before="240" w:after="80"/>
      </w:pPr>
      <w:r>
        <w:rPr>
          <w:rFonts w:ascii="Arial" w:hAnsi="Arial"/>
          <w:b/>
          <w:color w:val="2F5597"/>
          <w:sz w:val="25"/>
        </w:rPr>
        <w:t>2.4 Ingestion &amp; Citation Metadata — src/core/ingestion.py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ingest_pdf_bytes overrides default temporary file paths in chunk metadata with the real user-facing filename. During chat generation, source filename and page numbers are preserved and rendered in Streamlit source expanders.</w:t>
      </w:r>
    </w:p>
    <w:p>
      <w:pPr>
        <w:keepNext/>
        <w:spacing w:before="320" w:after="120"/>
      </w:pPr>
      <w:r>
        <w:rPr>
          <w:rFonts w:ascii="Arial" w:hAnsi="Arial"/>
          <w:b/>
          <w:color w:val="1F4E78"/>
          <w:sz w:val="30"/>
        </w:rPr>
        <w:t>3. Key Technical Design Decisions &amp; Trade-offs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Every architectural choice was evaluated for its pedagogical and operational trade-offs.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Architectural Decision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Alternative Rejected</w:t>
            </w:r>
          </w:p>
        </w:tc>
        <w:tc>
          <w:tcPr>
            <w:tcW w:type="dxa" w:w="4176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Rationale &amp; Technical Justification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Streamlit In-Process Host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FastAPI + React Frontend</w:t>
            </w:r>
          </w:p>
        </w:tc>
        <w:tc>
          <w:tcPr>
            <w:tcW w:type="dxa" w:w="417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Zero network boundary cost for a local single-user tool. Eliminates redundant serialization and API boilerplate.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LangGraph 2-Node Graph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Linear LangChain LCEL Chain</w:t>
            </w:r>
          </w:p>
        </w:tc>
        <w:tc>
          <w:tcPr>
            <w:tcW w:type="dxa" w:w="4176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Brief requirement. Provides the exact stateful graph skeleton required for future agentic grading and retry loops.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PyPDFLoader (Naive Loader)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PDFPlumber / Unstructured</w:t>
            </w:r>
          </w:p>
        </w:tc>
        <w:tc>
          <w:tcPr>
            <w:tcW w:type="dxa" w:w="417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Deliberate choice to observe and document real PDF table layout collapse failure modes in dense policy manuals.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RecursiveCharacterSplitter (800/150)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Semantic Sentence Splitter</w:t>
            </w:r>
          </w:p>
        </w:tc>
        <w:tc>
          <w:tcPr>
            <w:tcW w:type="dxa" w:w="4176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Simple fixed-size baseline choice allowing clear measurement of chunk boundary splitting failure modes.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Chroma Collection per Workspace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Shared Collection + Metadata Filter</w:t>
            </w:r>
          </w:p>
        </w:tc>
        <w:tc>
          <w:tcPr>
            <w:tcW w:type="dxa" w:w="417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Physical isolation guarantees no metadata filter bug can ever leak documents between workspaces on query time.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gemini-embedding-001 (3072-dim)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OpenAI text-embedding-3</w:t>
            </w:r>
          </w:p>
        </w:tc>
        <w:tc>
          <w:tcPr>
            <w:tcW w:type="dxa" w:w="4176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Free tier integration matching Google Gemini LLM API keys without adding second provider dependencies.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color w:val="2F5597"/>
          <w:sz w:val="25"/>
        </w:rPr>
        <w:t>Comparative RAG Architecture Options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Option A: Naive LCEL Chain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Option B: LangGraph 2-Node (Implemented)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Option C: Full Agentic RAG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Execution Topology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Linear single-pass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Stateful Graph (START-&gt;retrieve-&gt;generate-&gt;END)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Graph with conditional retries &amp; web search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Latency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Fastest (1 LLM call)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Fast (1 LLM call + vector search)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Variable (~3-7 LLM calls)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Groundedness Control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Prompt-level only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Prompt-level + Graph state verification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Explicit Grader &amp; Checker loop nodes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Code Complexity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Minimal (~10 lines)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Clean (~30 lines, graph abstractions)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High (complex edge branching)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Best Used For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Quick prototype / demo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Production RAG baseline (This Repo)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Unbounded internet knowledge search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1F4E78"/>
          <w:sz w:val="30"/>
        </w:rPr>
        <w:t>4. Guardrail Prompts &amp; System Rules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Grounding instructions are hardcoded into src/core/agent.py to ensure zero hallucination on unanswerable queries.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1F4E78"/>
              <w:top w:val="none"/>
              <w:right w:val="none"/>
              <w:bottom w:val="non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SystemMessage(content=(</w:t>
              <w:br/>
              <w:t xml:space="preserve">    "Answer only using the provided context. If the answer isn't in the "</w:t>
              <w:br/>
              <w:t xml:space="preserve">    "context, say so explicitly - do not guess."</w:t>
              <w:br/>
              <w:t>))</w:t>
              <w:br/>
              <w:t>HumanMessage(content=f"Context:\n{context}\n\nQuestion: {question}")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Arial" w:hAnsi="Arial"/>
          <w:b/>
          <w:color w:val="1F4E78"/>
          <w:sz w:val="30"/>
        </w:rPr>
        <w:t>5. Data Models &amp; Pipeline Schemas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Data Model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Type / Location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Attributes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GraphState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TypedDict (src/core/agent.py)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question: str, documents: list[Document], answer: str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State object flowing between retrieve and generate nodes.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WorkspaceInfo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dataclass (src/core/workspace.py)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collection_name: str, display_name: str, embedding_model: str, created_at: str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Metadata defining workspace identity and Chroma collection target.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Document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LangChain Core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page_content: str, metadata: dict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Chunk data object with source filename and page number metadata.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1F4E78"/>
          <w:sz w:val="30"/>
        </w:rPr>
        <w:t>6. Comprehensive Quality Gate &amp; Test Suite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The repository includes 37 unit and integration tests executed offline via pytest.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• Unit Coverage (tests/unit/): Agent graph compiling, embedding rate limiter logic, PyPDFLoader chunking, Chroma reset, and workspace collection creation/deletion.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• Headless Integration Suite (tests/integration/): Streamlit AppTest tests workspace creation, PDF file upload rerun persistence, citation expander verification, and physical workspace isolation (proving search in Workspace B returns 0 hits from Workspace A).</w:t>
      </w:r>
    </w:p>
    <w:p>
      <w:pPr>
        <w:keepNext/>
        <w:spacing w:before="320" w:after="120"/>
      </w:pPr>
      <w:r>
        <w:rPr>
          <w:rFonts w:ascii="Arial" w:hAnsi="Arial"/>
          <w:b/>
          <w:color w:val="1F4E78"/>
          <w:sz w:val="30"/>
        </w:rPr>
        <w:t>7. 15-Question Evaluation Report &amp; Failure Analysis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The system was evaluated against 15 real questions across four categories, run live through this repository's actual ingestion pipeline and LangGraph agent against the two real documents checked into docs/Input/: the 96-page City of Youngstown Employee Handbook and the 11-page Endeavor Health Services (EHS) Code of Conduct &amp; Ethics. Every answer and citation below is a genuine model output, not a hand-authored example.</w:t>
      </w:r>
    </w:p>
    <w:p>
      <w:pPr>
        <w:spacing w:before="0"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Methodology Note: </w:t>
      </w:r>
      <w:r>
        <w:rPr>
          <w:rFonts w:ascii="Calibri" w:hAnsi="Calibri"/>
          <w:color w:val="333333"/>
          <w:sz w:val="22"/>
        </w:rPr>
        <w:t>Evaluation LLM: gemini-2.5-flash, not the app's configured gemini-3.6-flash.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gemini-3.6-flash's free-tier quota (20 generate_content requests/day) was exhausted two questions into this run; gemini-2.5-flash was substituted for the remaining evaluation calls only. The app's default configuration (CHAT_MODEL_NAME) is unaffected. Retrieval (embeddings, Chroma, k=4 similarity search) is identical to production in all 15 runs.</w:t>
      </w:r>
    </w:p>
    <w:p>
      <w:pPr>
        <w:keepNext/>
        <w:spacing w:before="240" w:after="80"/>
      </w:pPr>
      <w:r>
        <w:rPr>
          <w:rFonts w:ascii="Arial" w:hAnsi="Arial"/>
          <w:b/>
          <w:color w:val="2F5597"/>
          <w:sz w:val="25"/>
        </w:rPr>
        <w:t>7.1 Quantitative Performance Summary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Overall Mean Retrieval Quality Score: 4.93 / 5.00 | Groundedness Rate: 100% | Citation Accuracy: 100%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Queries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Mean Score (1-5)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Groundedness %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Primary Observed Performance / Bottleneck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HR Handbook (Youngstown)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Q1 – Q5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5.00 / 5.0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100%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Clean single-fact retrieval on explicit numeric policy clauses (leave, pay, benefits).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Conduct &amp; Safety (Youngstown)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Q6 – Q9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5.00 / 5.0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100%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Precise retrieval on prohibition/procedure language across scattered sections.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Compliance (EHS Code of Conduct)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Q10 – Q13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5.00 / 5.0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100%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Short 11-page document; every clause landed in a single dominant chunk.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Cross-Document &amp; Trap Queries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Q14 – Q15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4.50 / 5.0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100%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Retriever under-served the Youngstown side of one cross-document question (see 7.2); the out-of-scope trap was correctly refused.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color w:val="2F5597"/>
          <w:sz w:val="25"/>
        </w:rPr>
        <w:t>7.2 In-Depth Failure Mode &amp; Root-Cause Analysis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1. Cross-Document Retrieval Imbalance (Q14): Asked whether both documents address protecting confidential information, the retriever returned four chunks - three squarely on EHS's PHI/records-retention language, only one from Youngstown (a Removal-from-Premises passage, not the more relevant Workplace Privacy / Personnel Records sections). The generator correctly reported EHS's approach in detail and explicitly stated the Youngstown context provided did not address the topic, rather than fabricating a parallel. This is a retrieval-recall gap, not a hallucination: k=4 similarity search on the smaller 11-page EHS collection out-competed the larger 96-page Youngstown handbook for a topic where Youngstown's most relevant section (Workplace Privacy, on employer search rights) uses different vocabulary than "confidential information."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2. Trap Query Refusal Efficacy (Q15): Asked for the current federal minimum wage - a fact absent from both source documents - the grounding prompt correctly produced an explicit "not stated in the provided context" refusal instead of pulling in the model's own world knowledge.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3. No Table-Collapse or Chunk-Boundary Failures Observed: Unlike a dense multi-column corpus, neither real source document contains layout-dependent tables; PyPDFLoader's plain-text extraction and the 800/150 fixed-size splitter introduced no observed distortion across any of the 15 queries.</w:t>
      </w:r>
    </w:p>
    <w:p>
      <w:pPr>
        <w:keepNext/>
        <w:spacing w:before="240" w:after="80"/>
      </w:pPr>
      <w:r>
        <w:rPr>
          <w:rFonts w:ascii="Arial" w:hAnsi="Arial"/>
          <w:b/>
          <w:color w:val="2F5597"/>
          <w:sz w:val="25"/>
        </w:rPr>
        <w:t>7.3 Complete 15-Question Evaluation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Q#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Question Text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Generated System Response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Score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F4E78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Source Pages (PyPDFLoader, 0-indexed)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Q1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HR Handbook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How much paid vacation does a full-time employee receive after 5 years of service?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A full-time employee receives 3 weeks of paid vacation leave after five (5) years of service.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5/5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Youngstown p68-70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Q2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HR Handbook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How many days of paid bereavement leave for an immediate family member's death?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Time off with regular pay not to exceed three scheduled duty days.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5/5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Youngstown p70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Q3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HR Handbook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At what rate do full-time employees accrue sick leave, and what is the annual cap?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10 hours/month, capped at 120 hours/year (Fire Dept 51-hr schedule: 14 hours/month, capped at 168.22 hours/year).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5/5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Youngstown p71, 73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Q4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HR Handbook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What is the overtime pay rate for hours worked beyond 40 per week?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One and one-half times the normal rate of pay.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5/5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Youngstown p60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Q5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HR Handbook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How many paid personal leave days per year for management employees with accumulated sick leave?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Up to two (2) paid personal days per year.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5/5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Youngstown p74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Q6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Conduct &amp; Safety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Can an employee licensed to carry a concealed firearm bring it to work?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No - the weapons prohibition applies even to employees licensed to carry a firearm or weapon.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5/5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Youngstown p8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Q7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Conduct &amp; Safety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Can the City search an employee's personal vehicle if parked on City property?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Yes - the City may search a personal vehicle driven or parked on company property.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5/5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Youngstown p8-9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Q8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Conduct &amp; Safety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Within how many working days must a sexual harassment incident be reported to the department head?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Within 15 working days of the incident.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5/5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Youngstown p14, 17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Q9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Conduct &amp; Safety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What does the dress code say about visible tattoos and facial piercings?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Visible tattoos may need to be covered if offensive; no tongue, brow, or nose rings, facial piercings, or visible belly-button rings allowed.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5/5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Youngstown p6-7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Q10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Compliance (EHS)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How often does the EHS Staff Compliance Committee meet, and who sits on it?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Quarterly; CEO, Corporate Compliance Officer, Clinical Documentation Specialists, Compliance Auditors, Billing Manager, Clinical/Associate Clinical Directors, Clinical Supervisors, HR Manager, Office Manager, Board Member(s).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5/5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EHS p2-3, 6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Q11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Compliance (EHS)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How can an employee anonymously report a suspected compliance violation?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Anonymous Compliance telephone Hotline (855) 252-7606 or the anonymous email website compliance-services.com.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5/5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EHS p3-6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Q12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Compliance (EHS)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What federal whistleblower law does the Code of Conduct reference, and what protection does it give?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The False Claims Act - its qui tam provision lets anyone with knowledge of false claims to the government sue on the government's behalf.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5/5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EHS p2-3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Q13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Compliance (EHS)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Can EHS change its Code of Conduct and Ethics after adoption?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Yes - EHS reserves the right to change any provision at any time; the Code is a "living document."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5/5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EHS p2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Q14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Cross-Document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Do both documents address protecting confidential information, and how does each approach it?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Described EHS's PHI/records/access-control provisions in detail; correctly stated the Youngstown context provided did not address the topic rather than inventing a parallel.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4/5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EHS p3, 9; Youngstown p4, 19 (see 7.2 #1)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Q15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Out-of-Scope Trap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What is the current federal minimum wage?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The provided context does not state the current federal minimum wage.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5/5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333333"/>
                <w:sz w:val="19"/>
              </w:rPr>
              <w:t>N/A - correct refusal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88888"/>
        <w:sz w:val="17"/>
      </w:rPr>
      <w:t>Enterprise Policy Q&amp;A Bot  ·  System Architecture &amp; 15-Question Evaluation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